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235" w:lineRule="auto"/>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19"/>
          <w:szCs w:val="19"/>
          <w:u w:val="single" w:color="auto"/>
          <w:color w:val="0000EE"/>
        </w:rPr>
      </w:pPr>
      <w:hyperlink w:anchor="page227">
        <w:r>
          <w:rPr>
            <w:rFonts w:ascii="Arial" w:cs="Arial" w:eastAsia="Arial" w:hAnsi="Arial"/>
            <w:sz w:val="19"/>
            <w:szCs w:val="19"/>
            <w:u w:val="single" w:color="auto"/>
            <w:color w:val="0000EE"/>
          </w:rPr>
          <w:t>TABLE OF CONTENTS 2</w:t>
        </w:r>
      </w:hyperlink>
    </w:p>
    <w:p>
      <w:pPr>
        <w:spacing w:after="0" w:line="167"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Filed pursuant to Rule 424(b)(4)</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333-211555</w:t>
      </w:r>
    </w:p>
    <w:p>
      <w:pPr>
        <w:spacing w:after="0" w:line="249" w:lineRule="exact"/>
        <w:rPr>
          <w:sz w:val="24"/>
          <w:szCs w:val="24"/>
          <w:color w:val="auto"/>
        </w:rPr>
      </w:pPr>
    </w:p>
    <w:p>
      <w:pPr>
        <w:ind w:left="40"/>
        <w:spacing w:after="0"/>
        <w:tabs>
          <w:tab w:leader="none" w:pos="10760" w:val="left"/>
        </w:tabs>
        <w:rPr>
          <w:sz w:val="20"/>
          <w:szCs w:val="20"/>
          <w:color w:val="auto"/>
        </w:rPr>
      </w:pPr>
      <w:r>
        <w:rPr>
          <w:rFonts w:ascii="Arial" w:cs="Arial" w:eastAsia="Arial" w:hAnsi="Arial"/>
          <w:sz w:val="10"/>
          <w:szCs w:val="10"/>
          <w:color w:val="auto"/>
        </w:rPr>
        <w:t>PROSPECTUS</w:t>
      </w:r>
      <w:r>
        <w:rPr>
          <w:sz w:val="20"/>
          <w:szCs w:val="20"/>
          <w:color w:val="auto"/>
        </w:rPr>
        <w:tab/>
      </w:r>
      <w:r>
        <w:rPr>
          <w:rFonts w:ascii="Arial" w:cs="Arial" w:eastAsia="Arial" w:hAnsi="Arial"/>
          <w:sz w:val="10"/>
          <w:szCs w:val="10"/>
          <w:color w:val="auto"/>
        </w:rPr>
        <w:t>June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8091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2515235"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5235" cy="6248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280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6" w:lineRule="exact"/>
        <w:rPr>
          <w:sz w:val="24"/>
          <w:szCs w:val="24"/>
          <w:color w:val="auto"/>
        </w:rPr>
      </w:pPr>
    </w:p>
    <w:p>
      <w:pPr>
        <w:ind w:right="80"/>
        <w:spacing w:after="0" w:line="282" w:lineRule="auto"/>
        <w:rPr>
          <w:sz w:val="20"/>
          <w:szCs w:val="20"/>
          <w:color w:val="auto"/>
        </w:rPr>
      </w:pPr>
      <w:r>
        <w:rPr>
          <w:rFonts w:ascii="Arial" w:cs="Arial" w:eastAsia="Arial" w:hAnsi="Arial"/>
          <w:sz w:val="15"/>
          <w:szCs w:val="15"/>
          <w:color w:val="auto"/>
        </w:rPr>
        <w:t>This is the initial public offering of our common stock. No public market for our common stock currently exists. We are offering all of the 5,000,000 shares of common stock offered by this prospectus. The initial public offering price per share is $14.00.</w:t>
      </w: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Our common stock has been approved for listing on The NASDAQ Global Market under the symbol "SELB."</w:t>
      </w:r>
    </w:p>
    <w:p>
      <w:pPr>
        <w:spacing w:after="0" w:line="198" w:lineRule="exact"/>
        <w:rPr>
          <w:sz w:val="24"/>
          <w:szCs w:val="24"/>
          <w:color w:val="auto"/>
        </w:rPr>
      </w:pPr>
    </w:p>
    <w:p>
      <w:pPr>
        <w:ind w:right="240"/>
        <w:spacing w:after="0" w:line="282" w:lineRule="auto"/>
        <w:rPr>
          <w:sz w:val="20"/>
          <w:szCs w:val="20"/>
          <w:color w:val="auto"/>
        </w:rPr>
      </w:pPr>
      <w:r>
        <w:rPr>
          <w:rFonts w:ascii="Arial" w:cs="Arial" w:eastAsia="Arial" w:hAnsi="Arial"/>
          <w:sz w:val="15"/>
          <w:szCs w:val="15"/>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47" w:lineRule="exact"/>
        <w:rPr>
          <w:sz w:val="24"/>
          <w:szCs w:val="24"/>
          <w:color w:val="auto"/>
        </w:rPr>
      </w:pPr>
    </w:p>
    <w:p>
      <w:pPr>
        <w:ind w:right="340"/>
        <w:spacing w:after="0" w:line="287" w:lineRule="auto"/>
        <w:rPr>
          <w:sz w:val="20"/>
          <w:szCs w:val="20"/>
          <w:color w:val="auto"/>
        </w:rPr>
      </w:pPr>
      <w:r>
        <w:rPr>
          <w:rFonts w:ascii="Arial" w:cs="Arial" w:eastAsia="Arial" w:hAnsi="Arial"/>
          <w:sz w:val="15"/>
          <w:szCs w:val="15"/>
          <w:b w:val="1"/>
          <w:bCs w:val="1"/>
          <w:color w:val="auto"/>
        </w:rPr>
        <w:t>Investing in our common stock involves a high degree of risk. Before buying any shares, you should carefully read the discussion of material risks of investing in our common shares in "Risk Factors" beginning on page 14 of this prospectus.</w:t>
      </w:r>
    </w:p>
    <w:p>
      <w:pPr>
        <w:spacing w:after="0" w:line="143" w:lineRule="exact"/>
        <w:rPr>
          <w:sz w:val="24"/>
          <w:szCs w:val="24"/>
          <w:color w:val="auto"/>
        </w:rPr>
      </w:pPr>
    </w:p>
    <w:p>
      <w:pPr>
        <w:ind w:right="480"/>
        <w:spacing w:after="0" w:line="287"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144" w:lineRule="exact"/>
        <w:rPr>
          <w:sz w:val="24"/>
          <w:szCs w:val="24"/>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w w:val="84"/>
              </w:rPr>
              <w:t>Per share</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Total</w:t>
            </w:r>
          </w:p>
        </w:tc>
      </w:tr>
      <w:tr>
        <w:trPr>
          <w:trHeight w:val="177"/>
        </w:trPr>
        <w:tc>
          <w:tcPr>
            <w:tcW w:w="2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Public offering price</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14.00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70,000,000</w:t>
            </w:r>
          </w:p>
        </w:tc>
      </w:tr>
      <w:tr>
        <w:trPr>
          <w:trHeight w:val="212"/>
        </w:trPr>
        <w:tc>
          <w:tcPr>
            <w:tcW w:w="4620" w:type="dxa"/>
            <w:vAlign w:val="bottom"/>
            <w:tcBorders>
              <w:bottom w:val="single" w:sz="8" w:color="auto"/>
            </w:tcBorders>
            <w:gridSpan w:val="2"/>
          </w:tcPr>
          <w:p>
            <w:pPr>
              <w:spacing w:after="0" w:line="212" w:lineRule="exact"/>
              <w:rPr>
                <w:sz w:val="20"/>
                <w:szCs w:val="20"/>
                <w:color w:val="auto"/>
              </w:rPr>
            </w:pPr>
            <w:r>
              <w:rPr>
                <w:rFonts w:ascii="Arial" w:cs="Arial" w:eastAsia="Arial" w:hAnsi="Arial"/>
                <w:sz w:val="15"/>
                <w:szCs w:val="15"/>
                <w:color w:val="auto"/>
              </w:rPr>
              <w:t>Underwriting discounts</w:t>
            </w:r>
            <w:r>
              <w:rPr>
                <w:rFonts w:ascii="Arial" w:cs="Arial" w:eastAsia="Arial" w:hAnsi="Arial"/>
                <w:sz w:val="24"/>
                <w:szCs w:val="24"/>
                <w:color w:val="auto"/>
                <w:vertAlign w:val="superscript"/>
              </w:rPr>
              <w:t>(1)</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0.98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4,900,000</w:t>
            </w:r>
          </w:p>
        </w:tc>
      </w:tr>
      <w:tr>
        <w:trPr>
          <w:trHeight w:val="177"/>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Proceeds, before expenses, to us</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13.02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65,100,000</w:t>
            </w:r>
          </w:p>
        </w:tc>
      </w:tr>
    </w:tbl>
    <w:p>
      <w:pPr>
        <w:spacing w:after="0" w:line="165" w:lineRule="exact"/>
        <w:rPr>
          <w:sz w:val="24"/>
          <w:szCs w:val="24"/>
          <w:color w:val="auto"/>
        </w:rPr>
      </w:pPr>
    </w:p>
    <w:p>
      <w:pPr>
        <w:ind w:left="1600" w:hanging="463"/>
        <w:spacing w:after="0"/>
        <w:tabs>
          <w:tab w:leader="none" w:pos="1600" w:val="left"/>
        </w:tabs>
        <w:numPr>
          <w:ilvl w:val="0"/>
          <w:numId w:val="1"/>
        </w:numPr>
        <w:rPr>
          <w:rFonts w:ascii="Arial" w:cs="Arial" w:eastAsia="Arial" w:hAnsi="Arial"/>
          <w:sz w:val="12"/>
          <w:szCs w:val="12"/>
          <w:color w:val="auto"/>
        </w:rPr>
      </w:pPr>
      <w:r>
        <w:rPr>
          <w:rFonts w:ascii="Arial" w:cs="Arial" w:eastAsia="Arial" w:hAnsi="Arial"/>
          <w:sz w:val="12"/>
          <w:szCs w:val="12"/>
          <w:color w:val="auto"/>
        </w:rPr>
        <w:t>We refer you to "Underwriting" beginning on page 215 for additional information regarding total underwriting compensation.</w:t>
      </w:r>
    </w:p>
    <w:p>
      <w:pPr>
        <w:spacing w:after="0" w:line="177" w:lineRule="exact"/>
        <w:rPr>
          <w:sz w:val="24"/>
          <w:szCs w:val="24"/>
          <w:color w:val="auto"/>
        </w:rPr>
      </w:pPr>
    </w:p>
    <w:p>
      <w:pPr>
        <w:ind w:right="20"/>
        <w:spacing w:after="0" w:line="263" w:lineRule="auto"/>
        <w:rPr>
          <w:sz w:val="20"/>
          <w:szCs w:val="20"/>
          <w:color w:val="auto"/>
        </w:rPr>
      </w:pPr>
      <w:r>
        <w:rPr>
          <w:rFonts w:ascii="Arial" w:cs="Arial" w:eastAsia="Arial" w:hAnsi="Arial"/>
          <w:sz w:val="15"/>
          <w:szCs w:val="15"/>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67" w:lineRule="exact"/>
        <w:rPr>
          <w:sz w:val="24"/>
          <w:szCs w:val="24"/>
          <w:color w:val="auto"/>
        </w:rPr>
      </w:pPr>
    </w:p>
    <w:p>
      <w:pPr>
        <w:ind w:right="200"/>
        <w:spacing w:after="0" w:line="282" w:lineRule="auto"/>
        <w:rPr>
          <w:sz w:val="20"/>
          <w:szCs w:val="20"/>
          <w:color w:val="auto"/>
        </w:rPr>
      </w:pPr>
      <w:r>
        <w:rPr>
          <w:rFonts w:ascii="Arial" w:cs="Arial" w:eastAsia="Arial" w:hAnsi="Arial"/>
          <w:sz w:val="15"/>
          <w:szCs w:val="15"/>
          <w:color w:val="auto"/>
        </w:rPr>
        <w:t>The underwriters may also purchase up to an additional 750,000 shares of common stock from us at the public offering price, less the underwriting discounts payable by us, to cover over-allotments, if any, within 30 days from the date of this prospectus.</w:t>
      </w: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The underwriters expect to deliver the shares of common stock to investors on or about June 27, 2016.</w:t>
      </w: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4220" w:type="dxa"/>
            <w:vAlign w:val="bottom"/>
          </w:tcPr>
          <w:p>
            <w:pPr>
              <w:jc w:val="center"/>
              <w:ind w:left="1156"/>
              <w:spacing w:after="0"/>
              <w:rPr>
                <w:sz w:val="20"/>
                <w:szCs w:val="20"/>
                <w:color w:val="auto"/>
              </w:rPr>
            </w:pPr>
            <w:r>
              <w:rPr>
                <w:rFonts w:ascii="Arial" w:cs="Arial" w:eastAsia="Arial" w:hAnsi="Arial"/>
                <w:sz w:val="21"/>
                <w:szCs w:val="21"/>
                <w:b w:val="1"/>
                <w:bCs w:val="1"/>
                <w:color w:val="auto"/>
                <w:w w:val="98"/>
              </w:rPr>
              <w:t>UBS Investment Bank</w:t>
            </w:r>
          </w:p>
        </w:tc>
        <w:tc>
          <w:tcPr>
            <w:tcW w:w="2980" w:type="dxa"/>
            <w:vAlign w:val="bottom"/>
          </w:tcPr>
          <w:p>
            <w:pPr>
              <w:spacing w:after="0"/>
              <w:rPr>
                <w:sz w:val="24"/>
                <w:szCs w:val="24"/>
                <w:color w:val="auto"/>
              </w:rPr>
            </w:pPr>
          </w:p>
        </w:tc>
        <w:tc>
          <w:tcPr>
            <w:tcW w:w="4240" w:type="dxa"/>
            <w:vAlign w:val="bottom"/>
          </w:tcPr>
          <w:p>
            <w:pPr>
              <w:jc w:val="center"/>
              <w:ind w:right="1216"/>
              <w:spacing w:after="0"/>
              <w:rPr>
                <w:sz w:val="20"/>
                <w:szCs w:val="20"/>
                <w:color w:val="auto"/>
              </w:rPr>
            </w:pPr>
            <w:r>
              <w:rPr>
                <w:rFonts w:ascii="Arial" w:cs="Arial" w:eastAsia="Arial" w:hAnsi="Arial"/>
                <w:sz w:val="21"/>
                <w:szCs w:val="21"/>
                <w:b w:val="1"/>
                <w:bCs w:val="1"/>
                <w:color w:val="auto"/>
              </w:rPr>
              <w:t>Stifel</w:t>
            </w:r>
          </w:p>
        </w:tc>
        <w:tc>
          <w:tcPr>
            <w:tcW w:w="0" w:type="dxa"/>
            <w:vAlign w:val="bottom"/>
          </w:tcPr>
          <w:p>
            <w:pPr>
              <w:spacing w:after="0"/>
              <w:rPr>
                <w:sz w:val="1"/>
                <w:szCs w:val="1"/>
                <w:color w:val="auto"/>
              </w:rPr>
            </w:pPr>
          </w:p>
        </w:tc>
      </w:tr>
      <w:tr>
        <w:trPr>
          <w:trHeight w:val="181"/>
        </w:trPr>
        <w:tc>
          <w:tcPr>
            <w:tcW w:w="4220" w:type="dxa"/>
            <w:vAlign w:val="bottom"/>
            <w:vMerge w:val="restart"/>
          </w:tcPr>
          <w:p>
            <w:pPr>
              <w:jc w:val="center"/>
              <w:ind w:left="1156"/>
              <w:spacing w:after="0"/>
              <w:rPr>
                <w:sz w:val="20"/>
                <w:szCs w:val="20"/>
                <w:color w:val="auto"/>
              </w:rPr>
            </w:pPr>
            <w:r>
              <w:rPr>
                <w:rFonts w:ascii="Arial" w:cs="Arial" w:eastAsia="Arial" w:hAnsi="Arial"/>
                <w:sz w:val="21"/>
                <w:szCs w:val="21"/>
                <w:b w:val="1"/>
                <w:bCs w:val="1"/>
                <w:color w:val="auto"/>
                <w:w w:val="99"/>
              </w:rPr>
              <w:t>Canaccord Genuity</w:t>
            </w:r>
          </w:p>
        </w:tc>
        <w:tc>
          <w:tcPr>
            <w:tcW w:w="2980" w:type="dxa"/>
            <w:vAlign w:val="bottom"/>
            <w:tcBorders>
              <w:bottom w:val="single" w:sz="8" w:color="auto"/>
            </w:tcBorders>
          </w:tcPr>
          <w:p>
            <w:pPr>
              <w:spacing w:after="0"/>
              <w:rPr>
                <w:sz w:val="15"/>
                <w:szCs w:val="15"/>
                <w:color w:val="auto"/>
              </w:rPr>
            </w:pPr>
          </w:p>
        </w:tc>
        <w:tc>
          <w:tcPr>
            <w:tcW w:w="4240" w:type="dxa"/>
            <w:vAlign w:val="bottom"/>
            <w:vMerge w:val="restart"/>
          </w:tcPr>
          <w:p>
            <w:pPr>
              <w:jc w:val="center"/>
              <w:ind w:right="1156"/>
              <w:spacing w:after="0"/>
              <w:rPr>
                <w:sz w:val="20"/>
                <w:szCs w:val="20"/>
                <w:color w:val="auto"/>
              </w:rPr>
            </w:pPr>
            <w:r>
              <w:rPr>
                <w:rFonts w:ascii="Arial" w:cs="Arial" w:eastAsia="Arial" w:hAnsi="Arial"/>
                <w:sz w:val="21"/>
                <w:szCs w:val="21"/>
                <w:b w:val="1"/>
                <w:bCs w:val="1"/>
                <w:color w:val="auto"/>
                <w:w w:val="98"/>
              </w:rPr>
              <w:t>Needham &amp; Company</w:t>
            </w:r>
          </w:p>
        </w:tc>
        <w:tc>
          <w:tcPr>
            <w:tcW w:w="0" w:type="dxa"/>
            <w:vAlign w:val="bottom"/>
          </w:tcPr>
          <w:p>
            <w:pPr>
              <w:spacing w:after="0"/>
              <w:rPr>
                <w:sz w:val="1"/>
                <w:szCs w:val="1"/>
                <w:color w:val="auto"/>
              </w:rPr>
            </w:pPr>
          </w:p>
        </w:tc>
      </w:tr>
      <w:tr>
        <w:trPr>
          <w:trHeight w:val="702"/>
        </w:trPr>
        <w:tc>
          <w:tcPr>
            <w:tcW w:w="4220" w:type="dxa"/>
            <w:vAlign w:val="bottom"/>
            <w:vMerge w:val="continue"/>
          </w:tcPr>
          <w:p>
            <w:pPr>
              <w:spacing w:after="0"/>
              <w:rPr>
                <w:sz w:val="24"/>
                <w:szCs w:val="24"/>
                <w:color w:val="auto"/>
              </w:rPr>
            </w:pPr>
          </w:p>
        </w:tc>
        <w:tc>
          <w:tcPr>
            <w:tcW w:w="29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220" w:type="dxa"/>
            <w:vAlign w:val="bottom"/>
            <w:tcBorders>
              <w:bottom w:val="single" w:sz="8" w:color="808080"/>
            </w:tcBorders>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1" w:name="page2"/>
    <w:bookmarkEnd w:id="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6687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1385" cy="66878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0910" cy="76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060" w:type="dxa"/>
            <w:vAlign w:val="bottom"/>
            <w:gridSpan w:val="24"/>
            <w:vMerge w:val="restart"/>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Prospectus summary</w:t>
              </w:r>
            </w:hyperlink>
          </w:p>
        </w:tc>
        <w:tc>
          <w:tcPr>
            <w:tcW w:w="2500" w:type="dxa"/>
            <w:vAlign w:val="bottom"/>
          </w:tcPr>
          <w:p>
            <w:pPr>
              <w:spacing w:after="0"/>
              <w:rPr>
                <w:sz w:val="12"/>
                <w:szCs w:val="12"/>
                <w:color w:val="auto"/>
              </w:rPr>
            </w:pPr>
          </w:p>
        </w:tc>
        <w:tc>
          <w:tcPr>
            <w:tcW w:w="460" w:type="dxa"/>
            <w:vAlign w:val="bottom"/>
            <w:gridSpan w:val="5"/>
          </w:tcPr>
          <w:p>
            <w:pPr>
              <w:ind w:lef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6060" w:type="dxa"/>
            <w:vAlign w:val="bottom"/>
            <w:gridSpan w:val="24"/>
            <w:vMerge w:val="continue"/>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Borders>
              <w:top w:val="single" w:sz="8" w:color="auto"/>
            </w:tcBorders>
            <w:gridSpan w:val="4"/>
          </w:tcPr>
          <w:p>
            <w:pPr>
              <w:jc w:val="right"/>
              <w:spacing w:after="0" w:line="131" w:lineRule="exact"/>
              <w:rPr>
                <w:rFonts w:ascii="Arial" w:cs="Arial" w:eastAsia="Arial" w:hAnsi="Arial"/>
                <w:sz w:val="15"/>
                <w:szCs w:val="15"/>
                <w:b w:val="1"/>
                <w:bCs w:val="1"/>
                <w:color w:val="0000EE"/>
              </w:rPr>
            </w:pPr>
            <w:hyperlink w:anchor="page4">
              <w:r>
                <w:rPr>
                  <w:rFonts w:ascii="Arial" w:cs="Arial" w:eastAsia="Arial" w:hAnsi="Arial"/>
                  <w:sz w:val="15"/>
                  <w:szCs w:val="15"/>
                  <w:b w:val="1"/>
                  <w:bCs w:val="1"/>
                  <w:color w:val="0000EE"/>
                </w:rPr>
                <w:t>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0000EE"/>
            </w:tcBorders>
            <w:gridSpan w:val="9"/>
            <w:vMerge w:val="restart"/>
          </w:tcPr>
          <w:p>
            <w:pPr>
              <w:spacing w:after="0" w:line="154" w:lineRule="exact"/>
              <w:rPr>
                <w:rFonts w:ascii="Arial" w:cs="Arial" w:eastAsia="Arial" w:hAnsi="Arial"/>
                <w:sz w:val="15"/>
                <w:szCs w:val="15"/>
                <w:color w:val="0000EE"/>
              </w:rPr>
            </w:pPr>
            <w:hyperlink w:anchor="page17">
              <w:r>
                <w:rPr>
                  <w:rFonts w:ascii="Arial" w:cs="Arial" w:eastAsia="Arial" w:hAnsi="Arial"/>
                  <w:sz w:val="15"/>
                  <w:szCs w:val="15"/>
                  <w:color w:val="0000EE"/>
                </w:rPr>
                <w:t>Risk factors</w:t>
              </w:r>
            </w:hyperlink>
          </w:p>
        </w:tc>
        <w:tc>
          <w:tcPr>
            <w:tcW w:w="4820" w:type="dxa"/>
            <w:vAlign w:val="bottom"/>
            <w:gridSpan w:val="15"/>
            <w:vMerge w:val="restart"/>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40" w:type="dxa"/>
            <w:vAlign w:val="bottom"/>
            <w:gridSpan w:val="9"/>
            <w:vMerge w:val="continue"/>
          </w:tcPr>
          <w:p>
            <w:pPr>
              <w:spacing w:after="0"/>
              <w:rPr>
                <w:sz w:val="12"/>
                <w:szCs w:val="12"/>
                <w:color w:val="auto"/>
              </w:rPr>
            </w:pPr>
          </w:p>
        </w:tc>
        <w:tc>
          <w:tcPr>
            <w:tcW w:w="4820" w:type="dxa"/>
            <w:vAlign w:val="bottom"/>
            <w:gridSpan w:val="15"/>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7">
              <w:r>
                <w:rPr>
                  <w:rFonts w:ascii="Arial" w:cs="Arial" w:eastAsia="Arial" w:hAnsi="Arial"/>
                  <w:sz w:val="15"/>
                  <w:szCs w:val="15"/>
                  <w:b w:val="1"/>
                  <w:bCs w:val="1"/>
                  <w:color w:val="0000EE"/>
                </w:rPr>
                <w:t>14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60" w:type="dxa"/>
            <w:vAlign w:val="bottom"/>
            <w:tcBorders>
              <w:bottom w:val="single" w:sz="8" w:color="0000EE"/>
            </w:tcBorders>
            <w:gridSpan w:val="19"/>
          </w:tcPr>
          <w:p>
            <w:pPr>
              <w:spacing w:after="0" w:line="134" w:lineRule="exact"/>
              <w:rPr>
                <w:rFonts w:ascii="Arial" w:cs="Arial" w:eastAsia="Arial" w:hAnsi="Arial"/>
                <w:sz w:val="15"/>
                <w:szCs w:val="15"/>
                <w:color w:val="0000EE"/>
                <w:w w:val="90"/>
              </w:rPr>
            </w:pPr>
            <w:hyperlink w:anchor="page69">
              <w:r>
                <w:rPr>
                  <w:rFonts w:ascii="Arial" w:cs="Arial" w:eastAsia="Arial" w:hAnsi="Arial"/>
                  <w:sz w:val="15"/>
                  <w:szCs w:val="15"/>
                  <w:color w:val="0000EE"/>
                  <w:w w:val="90"/>
                </w:rPr>
                <w:t>Special note regarding forward-looking statements</w:t>
              </w:r>
            </w:hyperlink>
          </w:p>
        </w:tc>
        <w:tc>
          <w:tcPr>
            <w:tcW w:w="3000" w:type="dxa"/>
            <w:vAlign w:val="bottom"/>
            <w:gridSpan w:val="5"/>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69">
              <w:r>
                <w:rPr>
                  <w:rFonts w:ascii="Arial" w:cs="Arial" w:eastAsia="Arial" w:hAnsi="Arial"/>
                  <w:sz w:val="15"/>
                  <w:szCs w:val="15"/>
                  <w:b w:val="1"/>
                  <w:bCs w:val="1"/>
                  <w:color w:val="0000EE"/>
                  <w:w w:val="83"/>
                </w:rPr>
                <w:t>66</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00" w:type="dxa"/>
            <w:vAlign w:val="bottom"/>
            <w:tcBorders>
              <w:bottom w:val="single" w:sz="8" w:color="0000EE"/>
            </w:tcBorders>
            <w:gridSpan w:val="11"/>
          </w:tcPr>
          <w:p>
            <w:pPr>
              <w:spacing w:after="0" w:line="134" w:lineRule="exact"/>
              <w:rPr>
                <w:rFonts w:ascii="Arial" w:cs="Arial" w:eastAsia="Arial" w:hAnsi="Arial"/>
                <w:sz w:val="15"/>
                <w:szCs w:val="15"/>
                <w:color w:val="0000EE"/>
                <w:w w:val="89"/>
              </w:rPr>
            </w:pPr>
            <w:hyperlink w:anchor="page70">
              <w:r>
                <w:rPr>
                  <w:rFonts w:ascii="Arial" w:cs="Arial" w:eastAsia="Arial" w:hAnsi="Arial"/>
                  <w:sz w:val="15"/>
                  <w:szCs w:val="15"/>
                  <w:color w:val="0000EE"/>
                  <w:w w:val="89"/>
                </w:rPr>
                <w:t>Industry and other data</w:t>
              </w:r>
            </w:hyperlink>
          </w:p>
        </w:tc>
        <w:tc>
          <w:tcPr>
            <w:tcW w:w="4660" w:type="dxa"/>
            <w:vAlign w:val="bottom"/>
            <w:gridSpan w:val="13"/>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0">
              <w:r>
                <w:rPr>
                  <w:rFonts w:ascii="Arial" w:cs="Arial" w:eastAsia="Arial" w:hAnsi="Arial"/>
                  <w:sz w:val="15"/>
                  <w:szCs w:val="15"/>
                  <w:b w:val="1"/>
                  <w:bCs w:val="1"/>
                  <w:color w:val="0000EE"/>
                  <w:w w:val="83"/>
                </w:rPr>
                <w:t>67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00" w:type="dxa"/>
            <w:vAlign w:val="bottom"/>
            <w:tcBorders>
              <w:bottom w:val="single" w:sz="8" w:color="0000EE"/>
            </w:tcBorders>
            <w:gridSpan w:val="18"/>
          </w:tcPr>
          <w:p>
            <w:pPr>
              <w:spacing w:after="0" w:line="134" w:lineRule="exact"/>
              <w:rPr>
                <w:rFonts w:ascii="Arial" w:cs="Arial" w:eastAsia="Arial" w:hAnsi="Arial"/>
                <w:sz w:val="15"/>
                <w:szCs w:val="15"/>
                <w:color w:val="0000EE"/>
                <w:w w:val="87"/>
              </w:rPr>
            </w:pPr>
            <w:hyperlink w:anchor="page70">
              <w:r>
                <w:rPr>
                  <w:rFonts w:ascii="Arial" w:cs="Arial" w:eastAsia="Arial" w:hAnsi="Arial"/>
                  <w:sz w:val="15"/>
                  <w:szCs w:val="15"/>
                  <w:color w:val="0000EE"/>
                  <w:w w:val="87"/>
                </w:rPr>
                <w:t>Trademarks, service marks and tradenames</w:t>
              </w:r>
            </w:hyperlink>
          </w:p>
        </w:tc>
        <w:tc>
          <w:tcPr>
            <w:tcW w:w="3460" w:type="dxa"/>
            <w:vAlign w:val="bottom"/>
            <w:gridSpan w:val="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0">
              <w:r>
                <w:rPr>
                  <w:rFonts w:ascii="Arial" w:cs="Arial" w:eastAsia="Arial" w:hAnsi="Arial"/>
                  <w:sz w:val="15"/>
                  <w:szCs w:val="15"/>
                  <w:b w:val="1"/>
                  <w:bCs w:val="1"/>
                  <w:color w:val="0000EE"/>
                  <w:w w:val="83"/>
                </w:rPr>
                <w:t>67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71">
              <w:r>
                <w:rPr>
                  <w:rFonts w:ascii="Arial" w:cs="Arial" w:eastAsia="Arial" w:hAnsi="Arial"/>
                  <w:sz w:val="15"/>
                  <w:szCs w:val="15"/>
                  <w:color w:val="0000EE"/>
                </w:rPr>
                <w:t>Use of proceeds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1">
              <w:r>
                <w:rPr>
                  <w:rFonts w:ascii="Arial" w:cs="Arial" w:eastAsia="Arial" w:hAnsi="Arial"/>
                  <w:sz w:val="15"/>
                  <w:szCs w:val="15"/>
                  <w:b w:val="1"/>
                  <w:bCs w:val="1"/>
                  <w:color w:val="0000EE"/>
                </w:rPr>
                <w:t>68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80" w:type="dxa"/>
            <w:vAlign w:val="bottom"/>
            <w:tcBorders>
              <w:bottom w:val="single" w:sz="8" w:color="0000EE"/>
            </w:tcBorders>
            <w:gridSpan w:val="8"/>
          </w:tcPr>
          <w:p>
            <w:pPr>
              <w:spacing w:after="0" w:line="134" w:lineRule="exact"/>
              <w:rPr>
                <w:rFonts w:ascii="Arial" w:cs="Arial" w:eastAsia="Arial" w:hAnsi="Arial"/>
                <w:sz w:val="15"/>
                <w:szCs w:val="15"/>
                <w:color w:val="0000EE"/>
                <w:w w:val="95"/>
              </w:rPr>
            </w:pPr>
            <w:hyperlink w:anchor="page72">
              <w:r>
                <w:rPr>
                  <w:rFonts w:ascii="Arial" w:cs="Arial" w:eastAsia="Arial" w:hAnsi="Arial"/>
                  <w:sz w:val="15"/>
                  <w:szCs w:val="15"/>
                  <w:color w:val="0000EE"/>
                  <w:w w:val="95"/>
                </w:rPr>
                <w:t>Dividend policy</w:t>
              </w:r>
            </w:hyperlink>
          </w:p>
        </w:tc>
        <w:tc>
          <w:tcPr>
            <w:tcW w:w="5080" w:type="dxa"/>
            <w:vAlign w:val="bottom"/>
            <w:gridSpan w:val="1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2">
              <w:r>
                <w:rPr>
                  <w:rFonts w:ascii="Arial" w:cs="Arial" w:eastAsia="Arial" w:hAnsi="Arial"/>
                  <w:sz w:val="15"/>
                  <w:szCs w:val="15"/>
                  <w:b w:val="1"/>
                  <w:bCs w:val="1"/>
                  <w:color w:val="0000EE"/>
                  <w:w w:val="83"/>
                </w:rPr>
                <w:t>69</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60" w:type="dxa"/>
            <w:vAlign w:val="bottom"/>
            <w:gridSpan w:val="24"/>
          </w:tcPr>
          <w:p>
            <w:pPr>
              <w:spacing w:after="0" w:line="134" w:lineRule="exact"/>
              <w:rPr>
                <w:rFonts w:ascii="Arial" w:cs="Arial" w:eastAsia="Arial" w:hAnsi="Arial"/>
                <w:sz w:val="15"/>
                <w:szCs w:val="15"/>
                <w:color w:val="0000EE"/>
              </w:rPr>
            </w:pPr>
            <w:hyperlink w:anchor="page73">
              <w:r>
                <w:rPr>
                  <w:rFonts w:ascii="Arial" w:cs="Arial" w:eastAsia="Arial" w:hAnsi="Arial"/>
                  <w:sz w:val="15"/>
                  <w:szCs w:val="15"/>
                  <w:color w:val="0000EE"/>
                </w:rPr>
                <w:t>Capitalization</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3">
              <w:r>
                <w:rPr>
                  <w:rFonts w:ascii="Arial" w:cs="Arial" w:eastAsia="Arial" w:hAnsi="Arial"/>
                  <w:sz w:val="15"/>
                  <w:szCs w:val="15"/>
                  <w:b w:val="1"/>
                  <w:bCs w:val="1"/>
                  <w:color w:val="0000EE"/>
                </w:rPr>
                <w:t>70</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40" w:type="dxa"/>
            <w:vAlign w:val="bottom"/>
            <w:tcBorders>
              <w:top w:val="single" w:sz="8" w:color="0000EE"/>
            </w:tcBorders>
            <w:gridSpan w:val="6"/>
          </w:tcPr>
          <w:p>
            <w:pPr>
              <w:spacing w:after="0" w:line="134" w:lineRule="exact"/>
              <w:rPr>
                <w:rFonts w:ascii="Arial" w:cs="Arial" w:eastAsia="Arial" w:hAnsi="Arial"/>
                <w:sz w:val="15"/>
                <w:szCs w:val="15"/>
                <w:color w:val="0000EE"/>
              </w:rPr>
            </w:pPr>
            <w:hyperlink w:anchor="page75">
              <w:r>
                <w:rPr>
                  <w:rFonts w:ascii="Arial" w:cs="Arial" w:eastAsia="Arial" w:hAnsi="Arial"/>
                  <w:sz w:val="15"/>
                  <w:szCs w:val="15"/>
                  <w:color w:val="0000EE"/>
                </w:rPr>
                <w:t>Dilution</w:t>
              </w:r>
            </w:hyperlink>
          </w:p>
        </w:tc>
        <w:tc>
          <w:tcPr>
            <w:tcW w:w="5220" w:type="dxa"/>
            <w:vAlign w:val="bottom"/>
            <w:gridSpan w:val="18"/>
          </w:tcPr>
          <w:p>
            <w:pPr>
              <w:spacing w:after="0"/>
              <w:rPr>
                <w:sz w:val="12"/>
                <w:szCs w:val="12"/>
                <w:color w:val="auto"/>
              </w:rPr>
            </w:pPr>
          </w:p>
        </w:tc>
        <w:tc>
          <w:tcPr>
            <w:tcW w:w="2780" w:type="dxa"/>
            <w:vAlign w:val="bottom"/>
            <w:gridSpan w:val="3"/>
          </w:tcPr>
          <w:p>
            <w:pPr>
              <w:spacing w:after="0"/>
              <w:rPr>
                <w:sz w:val="12"/>
                <w:szCs w:val="12"/>
                <w:color w:val="auto"/>
              </w:rPr>
            </w:pPr>
          </w:p>
        </w:tc>
        <w:tc>
          <w:tcPr>
            <w:tcW w:w="160" w:type="dxa"/>
            <w:vAlign w:val="bottom"/>
            <w:tcBorders>
              <w:top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5">
              <w:r>
                <w:rPr>
                  <w:rFonts w:ascii="Arial" w:cs="Arial" w:eastAsia="Arial" w:hAnsi="Arial"/>
                  <w:sz w:val="15"/>
                  <w:szCs w:val="15"/>
                  <w:b w:val="1"/>
                  <w:bCs w:val="1"/>
                  <w:color w:val="0000EE"/>
                  <w:w w:val="83"/>
                </w:rPr>
                <w:t>72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78">
              <w:r>
                <w:rPr>
                  <w:rFonts w:ascii="Arial" w:cs="Arial" w:eastAsia="Arial" w:hAnsi="Arial"/>
                  <w:sz w:val="15"/>
                  <w:szCs w:val="15"/>
                  <w:color w:val="0000EE"/>
                </w:rPr>
                <w:t>Selected consolidated financial data</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8">
              <w:r>
                <w:rPr>
                  <w:rFonts w:ascii="Arial" w:cs="Arial" w:eastAsia="Arial" w:hAnsi="Arial"/>
                  <w:sz w:val="15"/>
                  <w:szCs w:val="15"/>
                  <w:b w:val="1"/>
                  <w:bCs w:val="1"/>
                  <w:color w:val="0000EE"/>
                </w:rPr>
                <w:t>75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81">
              <w:r>
                <w:rPr>
                  <w:rFonts w:ascii="Arial" w:cs="Arial" w:eastAsia="Arial" w:hAnsi="Arial"/>
                  <w:sz w:val="15"/>
                  <w:szCs w:val="15"/>
                  <w:color w:val="0000EE"/>
                </w:rPr>
                <w:t>Management's discussion and analysis of financial condition and results of operations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81">
              <w:r>
                <w:rPr>
                  <w:rFonts w:ascii="Arial" w:cs="Arial" w:eastAsia="Arial" w:hAnsi="Arial"/>
                  <w:sz w:val="15"/>
                  <w:szCs w:val="15"/>
                  <w:b w:val="1"/>
                  <w:bCs w:val="1"/>
                  <w:color w:val="0000EE"/>
                </w:rPr>
                <w:t>78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gridSpan w:val="2"/>
            <w:vMerge w:val="restart"/>
          </w:tcPr>
          <w:p>
            <w:pPr>
              <w:spacing w:after="0" w:line="154" w:lineRule="exact"/>
              <w:rPr>
                <w:rFonts w:ascii="Arial" w:cs="Arial" w:eastAsia="Arial" w:hAnsi="Arial"/>
                <w:sz w:val="15"/>
                <w:szCs w:val="15"/>
                <w:color w:val="0000EE"/>
                <w:w w:val="85"/>
              </w:rPr>
            </w:pPr>
            <w:hyperlink w:anchor="page103">
              <w:r>
                <w:rPr>
                  <w:rFonts w:ascii="Arial" w:cs="Arial" w:eastAsia="Arial" w:hAnsi="Arial"/>
                  <w:sz w:val="15"/>
                  <w:szCs w:val="15"/>
                  <w:color w:val="0000EE"/>
                  <w:w w:val="85"/>
                </w:rPr>
                <w:t>Business</w:t>
              </w:r>
            </w:hyperlink>
          </w:p>
        </w:tc>
        <w:tc>
          <w:tcPr>
            <w:tcW w:w="4620" w:type="dxa"/>
            <w:vAlign w:val="bottom"/>
            <w:tcBorders>
              <w:top w:val="single" w:sz="8" w:color="0000EE"/>
            </w:tcBorders>
            <w:gridSpan w:val="21"/>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0" w:type="dxa"/>
            <w:vAlign w:val="bottom"/>
            <w:tcBorders>
              <w:bottom w:val="single" w:sz="8" w:color="0000EE"/>
            </w:tcBorders>
            <w:gridSpan w:val="2"/>
            <w:vMerge w:val="continue"/>
          </w:tcPr>
          <w:p>
            <w:pPr>
              <w:spacing w:after="0"/>
              <w:rPr>
                <w:sz w:val="12"/>
                <w:szCs w:val="12"/>
                <w:color w:val="auto"/>
              </w:rPr>
            </w:pPr>
          </w:p>
        </w:tc>
        <w:tc>
          <w:tcPr>
            <w:tcW w:w="4620" w:type="dxa"/>
            <w:vAlign w:val="bottom"/>
            <w:gridSpan w:val="21"/>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03">
              <w:r>
                <w:rPr>
                  <w:rFonts w:ascii="Arial" w:cs="Arial" w:eastAsia="Arial" w:hAnsi="Arial"/>
                  <w:sz w:val="15"/>
                  <w:szCs w:val="15"/>
                  <w:b w:val="1"/>
                  <w:bCs w:val="1"/>
                  <w:color w:val="0000EE"/>
                </w:rPr>
                <w:t>100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174">
              <w:r>
                <w:rPr>
                  <w:rFonts w:ascii="Arial" w:cs="Arial" w:eastAsia="Arial" w:hAnsi="Arial"/>
                  <w:sz w:val="15"/>
                  <w:szCs w:val="15"/>
                  <w:color w:val="0000EE"/>
                </w:rPr>
                <w:t>Management</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74">
              <w:r>
                <w:rPr>
                  <w:rFonts w:ascii="Arial" w:cs="Arial" w:eastAsia="Arial" w:hAnsi="Arial"/>
                  <w:sz w:val="15"/>
                  <w:szCs w:val="15"/>
                  <w:b w:val="1"/>
                  <w:bCs w:val="1"/>
                  <w:color w:val="0000EE"/>
                </w:rPr>
                <w:t>171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40" w:type="dxa"/>
            <w:vAlign w:val="bottom"/>
            <w:tcBorders>
              <w:bottom w:val="single" w:sz="8" w:color="0000EE"/>
            </w:tcBorders>
            <w:gridSpan w:val="16"/>
          </w:tcPr>
          <w:p>
            <w:pPr>
              <w:spacing w:after="0" w:line="134" w:lineRule="exact"/>
              <w:rPr>
                <w:rFonts w:ascii="Arial" w:cs="Arial" w:eastAsia="Arial" w:hAnsi="Arial"/>
                <w:sz w:val="15"/>
                <w:szCs w:val="15"/>
                <w:color w:val="0000EE"/>
                <w:w w:val="90"/>
              </w:rPr>
            </w:pPr>
            <w:hyperlink w:anchor="page184">
              <w:r>
                <w:rPr>
                  <w:rFonts w:ascii="Arial" w:cs="Arial" w:eastAsia="Arial" w:hAnsi="Arial"/>
                  <w:sz w:val="15"/>
                  <w:szCs w:val="15"/>
                  <w:color w:val="0000EE"/>
                  <w:w w:val="90"/>
                </w:rPr>
                <w:t>Executive and director compensation</w:t>
              </w:r>
            </w:hyperlink>
          </w:p>
        </w:tc>
        <w:tc>
          <w:tcPr>
            <w:tcW w:w="3820" w:type="dxa"/>
            <w:vAlign w:val="bottom"/>
            <w:gridSpan w:val="8"/>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84">
              <w:r>
                <w:rPr>
                  <w:rFonts w:ascii="Arial" w:cs="Arial" w:eastAsia="Arial" w:hAnsi="Arial"/>
                  <w:sz w:val="15"/>
                  <w:szCs w:val="15"/>
                  <w:b w:val="1"/>
                  <w:bCs w:val="1"/>
                  <w:color w:val="0000EE"/>
                </w:rPr>
                <w:t>181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198">
              <w:r>
                <w:rPr>
                  <w:rFonts w:ascii="Arial" w:cs="Arial" w:eastAsia="Arial" w:hAnsi="Arial"/>
                  <w:sz w:val="15"/>
                  <w:szCs w:val="15"/>
                  <w:color w:val="0000EE"/>
                </w:rPr>
                <w:t>Certain relationships and related person transactions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98">
              <w:r>
                <w:rPr>
                  <w:rFonts w:ascii="Arial" w:cs="Arial" w:eastAsia="Arial" w:hAnsi="Arial"/>
                  <w:sz w:val="15"/>
                  <w:szCs w:val="15"/>
                  <w:b w:val="1"/>
                  <w:bCs w:val="1"/>
                  <w:color w:val="0000EE"/>
                </w:rPr>
                <w:t>195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0000EE"/>
            </w:tcBorders>
            <w:gridSpan w:val="21"/>
            <w:vMerge w:val="restart"/>
          </w:tcPr>
          <w:p>
            <w:pPr>
              <w:spacing w:after="0" w:line="154" w:lineRule="exact"/>
              <w:rPr>
                <w:rFonts w:ascii="Arial" w:cs="Arial" w:eastAsia="Arial" w:hAnsi="Arial"/>
                <w:sz w:val="15"/>
                <w:szCs w:val="15"/>
                <w:color w:val="0000EE"/>
              </w:rPr>
            </w:pPr>
            <w:hyperlink w:anchor="page202">
              <w:r>
                <w:rPr>
                  <w:rFonts w:ascii="Arial" w:cs="Arial" w:eastAsia="Arial" w:hAnsi="Arial"/>
                  <w:sz w:val="15"/>
                  <w:szCs w:val="15"/>
                  <w:color w:val="0000EE"/>
                </w:rPr>
                <w:t>Principal stockholders</w:t>
              </w:r>
            </w:hyperlink>
          </w:p>
        </w:tc>
        <w:tc>
          <w:tcPr>
            <w:tcW w:w="2920" w:type="dxa"/>
            <w:vAlign w:val="bottom"/>
            <w:gridSpan w:val="3"/>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40" w:type="dxa"/>
            <w:vAlign w:val="bottom"/>
            <w:gridSpan w:val="21"/>
            <w:vMerge w:val="continue"/>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2">
              <w:r>
                <w:rPr>
                  <w:rFonts w:ascii="Arial" w:cs="Arial" w:eastAsia="Arial" w:hAnsi="Arial"/>
                  <w:sz w:val="15"/>
                  <w:szCs w:val="15"/>
                  <w:b w:val="1"/>
                  <w:bCs w:val="1"/>
                  <w:color w:val="0000EE"/>
                </w:rPr>
                <w:t>199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660" w:type="dxa"/>
            <w:vAlign w:val="bottom"/>
            <w:tcBorders>
              <w:bottom w:val="single" w:sz="8" w:color="0000EE"/>
            </w:tcBorders>
            <w:gridSpan w:val="12"/>
          </w:tcPr>
          <w:p>
            <w:pPr>
              <w:spacing w:after="0" w:line="134" w:lineRule="exact"/>
              <w:rPr>
                <w:rFonts w:ascii="Arial" w:cs="Arial" w:eastAsia="Arial" w:hAnsi="Arial"/>
                <w:sz w:val="15"/>
                <w:szCs w:val="15"/>
                <w:color w:val="0000EE"/>
                <w:w w:val="91"/>
              </w:rPr>
            </w:pPr>
            <w:hyperlink w:anchor="page205">
              <w:r>
                <w:rPr>
                  <w:rFonts w:ascii="Arial" w:cs="Arial" w:eastAsia="Arial" w:hAnsi="Arial"/>
                  <w:sz w:val="15"/>
                  <w:szCs w:val="15"/>
                  <w:color w:val="0000EE"/>
                  <w:w w:val="91"/>
                </w:rPr>
                <w:t>Description of capital stock</w:t>
              </w:r>
            </w:hyperlink>
          </w:p>
        </w:tc>
        <w:tc>
          <w:tcPr>
            <w:tcW w:w="4400" w:type="dxa"/>
            <w:vAlign w:val="bottom"/>
            <w:gridSpan w:val="12"/>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5">
              <w:r>
                <w:rPr>
                  <w:rFonts w:ascii="Arial" w:cs="Arial" w:eastAsia="Arial" w:hAnsi="Arial"/>
                  <w:sz w:val="15"/>
                  <w:szCs w:val="15"/>
                  <w:b w:val="1"/>
                  <w:bCs w:val="1"/>
                  <w:color w:val="0000EE"/>
                </w:rPr>
                <w:t>202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gridSpan w:val="14"/>
            <w:vMerge w:val="restart"/>
          </w:tcPr>
          <w:p>
            <w:pPr>
              <w:spacing w:after="0" w:line="154" w:lineRule="exact"/>
              <w:rPr>
                <w:rFonts w:ascii="Arial" w:cs="Arial" w:eastAsia="Arial" w:hAnsi="Arial"/>
                <w:sz w:val="15"/>
                <w:szCs w:val="15"/>
                <w:color w:val="0000EE"/>
                <w:w w:val="90"/>
              </w:rPr>
            </w:pPr>
            <w:hyperlink w:anchor="page211">
              <w:r>
                <w:rPr>
                  <w:rFonts w:ascii="Arial" w:cs="Arial" w:eastAsia="Arial" w:hAnsi="Arial"/>
                  <w:sz w:val="15"/>
                  <w:szCs w:val="15"/>
                  <w:color w:val="0000EE"/>
                  <w:w w:val="90"/>
                </w:rPr>
                <w:t>Shares eligible for future sale</w:t>
              </w:r>
            </w:hyperlink>
          </w:p>
        </w:tc>
        <w:tc>
          <w:tcPr>
            <w:tcW w:w="4280" w:type="dxa"/>
            <w:vAlign w:val="bottom"/>
            <w:gridSpan w:val="10"/>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80" w:type="dxa"/>
            <w:vAlign w:val="bottom"/>
            <w:tcBorders>
              <w:bottom w:val="single" w:sz="8" w:color="0000EE"/>
            </w:tcBorders>
            <w:gridSpan w:val="14"/>
            <w:vMerge w:val="continue"/>
          </w:tcPr>
          <w:p>
            <w:pPr>
              <w:spacing w:after="0"/>
              <w:rPr>
                <w:sz w:val="12"/>
                <w:szCs w:val="12"/>
                <w:color w:val="auto"/>
              </w:rPr>
            </w:pPr>
          </w:p>
        </w:tc>
        <w:tc>
          <w:tcPr>
            <w:tcW w:w="4280" w:type="dxa"/>
            <w:vAlign w:val="bottom"/>
            <w:gridSpan w:val="10"/>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1">
              <w:r>
                <w:rPr>
                  <w:rFonts w:ascii="Arial" w:cs="Arial" w:eastAsia="Arial" w:hAnsi="Arial"/>
                  <w:sz w:val="15"/>
                  <w:szCs w:val="15"/>
                  <w:b w:val="1"/>
                  <w:bCs w:val="1"/>
                  <w:color w:val="0000EE"/>
                </w:rPr>
                <w:t>208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gridSpan w:val="22"/>
            <w:vMerge w:val="restart"/>
          </w:tcPr>
          <w:p>
            <w:pPr>
              <w:spacing w:after="0" w:line="154" w:lineRule="exact"/>
              <w:rPr>
                <w:rFonts w:ascii="Arial" w:cs="Arial" w:eastAsia="Arial" w:hAnsi="Arial"/>
                <w:sz w:val="15"/>
                <w:szCs w:val="15"/>
                <w:color w:val="0000EE"/>
                <w:w w:val="90"/>
              </w:rPr>
            </w:pPr>
            <w:hyperlink w:anchor="page214">
              <w:r>
                <w:rPr>
                  <w:rFonts w:ascii="Arial" w:cs="Arial" w:eastAsia="Arial" w:hAnsi="Arial"/>
                  <w:sz w:val="15"/>
                  <w:szCs w:val="15"/>
                  <w:color w:val="0000EE"/>
                  <w:w w:val="90"/>
                </w:rPr>
                <w:t>Material U.S. federal income tax consequences to non-U.S. holders</w:t>
              </w:r>
            </w:hyperlink>
          </w:p>
        </w:tc>
        <w:tc>
          <w:tcPr>
            <w:tcW w:w="2000" w:type="dxa"/>
            <w:vAlign w:val="bottom"/>
            <w:gridSpan w:val="2"/>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60" w:type="dxa"/>
            <w:vAlign w:val="bottom"/>
            <w:tcBorders>
              <w:bottom w:val="single" w:sz="8" w:color="0000EE"/>
            </w:tcBorders>
            <w:gridSpan w:val="2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4">
              <w:r>
                <w:rPr>
                  <w:rFonts w:ascii="Arial" w:cs="Arial" w:eastAsia="Arial" w:hAnsi="Arial"/>
                  <w:sz w:val="15"/>
                  <w:szCs w:val="15"/>
                  <w:b w:val="1"/>
                  <w:bCs w:val="1"/>
                  <w:color w:val="0000EE"/>
                </w:rPr>
                <w:t>211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gridSpan w:val="5"/>
            <w:vMerge w:val="restart"/>
          </w:tcPr>
          <w:p>
            <w:pPr>
              <w:spacing w:after="0" w:line="154" w:lineRule="exact"/>
              <w:rPr>
                <w:rFonts w:ascii="Arial" w:cs="Arial" w:eastAsia="Arial" w:hAnsi="Arial"/>
                <w:sz w:val="15"/>
                <w:szCs w:val="15"/>
                <w:color w:val="0000EE"/>
                <w:w w:val="94"/>
              </w:rPr>
            </w:pPr>
            <w:hyperlink w:anchor="page218">
              <w:r>
                <w:rPr>
                  <w:rFonts w:ascii="Arial" w:cs="Arial" w:eastAsia="Arial" w:hAnsi="Arial"/>
                  <w:sz w:val="15"/>
                  <w:szCs w:val="15"/>
                  <w:color w:val="0000EE"/>
                  <w:w w:val="94"/>
                </w:rPr>
                <w:t>Underwriting</w:t>
              </w:r>
            </w:hyperlink>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tcBorders>
              <w:bottom w:val="single" w:sz="8" w:color="0000EE"/>
            </w:tcBorders>
            <w:gridSpan w:val="5"/>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8">
              <w:r>
                <w:rPr>
                  <w:rFonts w:ascii="Arial" w:cs="Arial" w:eastAsia="Arial" w:hAnsi="Arial"/>
                  <w:sz w:val="15"/>
                  <w:szCs w:val="15"/>
                  <w:b w:val="1"/>
                  <w:bCs w:val="1"/>
                  <w:color w:val="0000EE"/>
                </w:rPr>
                <w:t>215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26">
              <w:r>
                <w:rPr>
                  <w:rFonts w:ascii="Arial" w:cs="Arial" w:eastAsia="Arial" w:hAnsi="Arial"/>
                  <w:sz w:val="15"/>
                  <w:szCs w:val="15"/>
                  <w:color w:val="0000EE"/>
                </w:rPr>
                <w:t>Legal matters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26">
              <w:r>
                <w:rPr>
                  <w:rFonts w:ascii="Arial" w:cs="Arial" w:eastAsia="Arial" w:hAnsi="Arial"/>
                  <w:sz w:val="15"/>
                  <w:szCs w:val="15"/>
                  <w:b w:val="1"/>
                  <w:bCs w:val="1"/>
                  <w:color w:val="0000EE"/>
                </w:rPr>
                <w:t>223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0000EE"/>
            </w:tcBorders>
            <w:vMerge w:val="restart"/>
          </w:tcPr>
          <w:p>
            <w:pPr>
              <w:spacing w:after="0" w:line="154" w:lineRule="exact"/>
              <w:rPr>
                <w:rFonts w:ascii="Arial" w:cs="Arial" w:eastAsia="Arial" w:hAnsi="Arial"/>
                <w:sz w:val="15"/>
                <w:szCs w:val="15"/>
                <w:color w:val="0000EE"/>
                <w:w w:val="90"/>
              </w:rPr>
            </w:pPr>
            <w:hyperlink w:anchor="page226">
              <w:r>
                <w:rPr>
                  <w:rFonts w:ascii="Arial" w:cs="Arial" w:eastAsia="Arial" w:hAnsi="Arial"/>
                  <w:sz w:val="15"/>
                  <w:szCs w:val="15"/>
                  <w:color w:val="0000EE"/>
                  <w:w w:val="90"/>
                </w:rPr>
                <w:t>Experts</w:t>
              </w:r>
            </w:hyperlink>
          </w:p>
        </w:tc>
        <w:tc>
          <w:tcPr>
            <w:tcW w:w="320" w:type="dxa"/>
            <w:vAlign w:val="bottom"/>
            <w:tcBorders>
              <w:top w:val="single" w:sz="8" w:color="0000EE"/>
            </w:tcBorders>
            <w:gridSpan w:val="4"/>
            <w:vMerge w:val="restart"/>
          </w:tcPr>
          <w:p>
            <w:pPr>
              <w:spacing w:after="0" w:line="20" w:lineRule="exact"/>
              <w:rPr>
                <w:sz w:val="1"/>
                <w:szCs w:val="1"/>
                <w:color w:val="auto"/>
              </w:rPr>
            </w:pPr>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tcBorders>
              <w:bottom w:val="single" w:sz="8" w:color="0000EE"/>
            </w:tcBorders>
            <w:vMerge w:val="continue"/>
          </w:tcPr>
          <w:p>
            <w:pPr>
              <w:spacing w:after="0"/>
              <w:rPr>
                <w:sz w:val="12"/>
                <w:szCs w:val="12"/>
                <w:color w:val="auto"/>
              </w:rPr>
            </w:pPr>
          </w:p>
        </w:tc>
        <w:tc>
          <w:tcPr>
            <w:tcW w:w="320" w:type="dxa"/>
            <w:vAlign w:val="bottom"/>
            <w:gridSpan w:val="4"/>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26">
              <w:r>
                <w:rPr>
                  <w:rFonts w:ascii="Arial" w:cs="Arial" w:eastAsia="Arial" w:hAnsi="Arial"/>
                  <w:sz w:val="15"/>
                  <w:szCs w:val="15"/>
                  <w:b w:val="1"/>
                  <w:bCs w:val="1"/>
                  <w:color w:val="0000EE"/>
                </w:rPr>
                <w:t>223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26">
              <w:r>
                <w:rPr>
                  <w:rFonts w:ascii="Arial" w:cs="Arial" w:eastAsia="Arial" w:hAnsi="Arial"/>
                  <w:sz w:val="15"/>
                  <w:szCs w:val="15"/>
                  <w:color w:val="0000EE"/>
                </w:rPr>
                <w:t>Where you can find more information</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gridSpan w:val="24"/>
            <w:vMerge w:val="continue"/>
          </w:tcPr>
          <w:p>
            <w:pPr>
              <w:spacing w:after="0"/>
              <w:rPr>
                <w:sz w:val="14"/>
                <w:szCs w:val="14"/>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26">
              <w:r>
                <w:rPr>
                  <w:rFonts w:ascii="Arial" w:cs="Arial" w:eastAsia="Arial" w:hAnsi="Arial"/>
                  <w:sz w:val="15"/>
                  <w:szCs w:val="15"/>
                  <w:b w:val="1"/>
                  <w:bCs w:val="1"/>
                  <w:color w:val="0000EE"/>
                </w:rPr>
                <w:t>223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Borders>
              <w:top w:val="single" w:sz="8" w:color="0000EE"/>
            </w:tcBorders>
            <w:gridSpan w:val="17"/>
          </w:tcPr>
          <w:p>
            <w:pPr>
              <w:spacing w:after="0" w:line="134" w:lineRule="exact"/>
              <w:rPr>
                <w:rFonts w:ascii="Arial" w:cs="Arial" w:eastAsia="Arial" w:hAnsi="Arial"/>
                <w:sz w:val="15"/>
                <w:szCs w:val="15"/>
                <w:color w:val="0000EE"/>
              </w:rPr>
            </w:pPr>
            <w:hyperlink w:anchor="page227">
              <w:r>
                <w:rPr>
                  <w:rFonts w:ascii="Arial" w:cs="Arial" w:eastAsia="Arial" w:hAnsi="Arial"/>
                  <w:sz w:val="15"/>
                  <w:szCs w:val="15"/>
                  <w:color w:val="0000EE"/>
                </w:rPr>
                <w:t>Index to financial statements</w:t>
              </w:r>
            </w:hyperlink>
          </w:p>
        </w:tc>
        <w:tc>
          <w:tcPr>
            <w:tcW w:w="3780" w:type="dxa"/>
            <w:vAlign w:val="bottom"/>
            <w:gridSpan w:val="7"/>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0000EE"/>
            </w:tcBorders>
            <w:gridSpan w:val="3"/>
          </w:tcPr>
          <w:p>
            <w:pPr>
              <w:jc w:val="right"/>
              <w:spacing w:after="0" w:line="142" w:lineRule="exact"/>
              <w:rPr>
                <w:rFonts w:ascii="Arial" w:cs="Arial" w:eastAsia="Arial" w:hAnsi="Arial"/>
                <w:sz w:val="15"/>
                <w:szCs w:val="15"/>
                <w:b w:val="1"/>
                <w:bCs w:val="1"/>
                <w:color w:val="0000EE"/>
                <w:w w:val="88"/>
              </w:rPr>
            </w:pPr>
            <w:hyperlink w:anchor="page227">
              <w:r>
                <w:rPr>
                  <w:rFonts w:ascii="Arial" w:cs="Arial" w:eastAsia="Arial" w:hAnsi="Arial"/>
                  <w:sz w:val="15"/>
                  <w:szCs w:val="15"/>
                  <w:b w:val="1"/>
                  <w:bCs w:val="1"/>
                  <w:color w:val="0000EE"/>
                  <w:w w:val="88"/>
                </w:rPr>
                <w:t>F-1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3" w:lineRule="exact"/>
        <w:rPr>
          <w:sz w:val="20"/>
          <w:szCs w:val="20"/>
          <w:color w:val="auto"/>
        </w:rPr>
      </w:pPr>
    </w:p>
    <w:p>
      <w:pPr>
        <w:jc w:val="both"/>
        <w:ind w:right="40"/>
        <w:spacing w:after="0" w:line="272" w:lineRule="auto"/>
        <w:rPr>
          <w:sz w:val="20"/>
          <w:szCs w:val="20"/>
          <w:color w:val="auto"/>
        </w:rPr>
      </w:pPr>
      <w:r>
        <w:rPr>
          <w:rFonts w:ascii="Arial" w:cs="Arial" w:eastAsia="Arial" w:hAnsi="Arial"/>
          <w:sz w:val="15"/>
          <w:szCs w:val="15"/>
          <w:b w:val="1"/>
          <w:bCs w:val="1"/>
          <w:color w:val="auto"/>
        </w:rPr>
        <w:t>Through and including July 16, 2016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59"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4521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1385" cy="452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Prospectus summary</w:t>
      </w:r>
    </w:p>
    <w:p>
      <w:pPr>
        <w:spacing w:after="0" w:line="183" w:lineRule="exact"/>
        <w:rPr>
          <w:sz w:val="20"/>
          <w:szCs w:val="20"/>
          <w:color w:val="auto"/>
        </w:rPr>
      </w:pPr>
    </w:p>
    <w:p>
      <w:pPr>
        <w:ind w:left="200" w:right="340"/>
        <w:spacing w:after="0" w:line="266" w:lineRule="auto"/>
        <w:rPr>
          <w:sz w:val="20"/>
          <w:szCs w:val="20"/>
          <w:color w:val="auto"/>
        </w:rPr>
      </w:pPr>
      <w:r>
        <w:rPr>
          <w:rFonts w:ascii="Arial" w:cs="Arial" w:eastAsia="Arial" w:hAnsi="Arial"/>
          <w:sz w:val="15"/>
          <w:szCs w:val="15"/>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"Risk factors" section beginning on page 15 and our consolidated financial statements and the related notes appearing at the end of this prospectus, before making an investment decision. As used in this prospectus, unless the context otherwise requires, references to "we," "us," "our" and "Selecta" refer to Selecta Biosciences, Inc. together with its consolidated subsidiaries.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200" w:right="240"/>
        <w:spacing w:after="0" w:line="280"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Based on preliminary data from our ongoing Phase 1b clinical trial, we believe that SEL-212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w:t>
      </w:r>
    </w:p>
    <w:p>
      <w:pPr>
        <w:spacing w:after="0" w:line="155" w:lineRule="exact"/>
        <w:rPr>
          <w:sz w:val="20"/>
          <w:szCs w:val="20"/>
          <w:color w:val="auto"/>
        </w:rPr>
      </w:pPr>
    </w:p>
    <w:p>
      <w:pPr>
        <w:ind w:left="200" w:right="220"/>
        <w:spacing w:after="0" w:line="308" w:lineRule="auto"/>
        <w:rPr>
          <w:sz w:val="20"/>
          <w:szCs w:val="20"/>
          <w:color w:val="auto"/>
        </w:rPr>
      </w:pPr>
      <w:r>
        <w:rPr>
          <w:rFonts w:ascii="Arial" w:cs="Arial" w:eastAsia="Arial" w:hAnsi="Arial"/>
          <w:sz w:val="13"/>
          <w:szCs w:val="13"/>
          <w:color w:val="auto"/>
        </w:rPr>
        <w:t>Despite rapid advancement in biologic treatment of rare and serious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the co-administration of our SVP technology with biologic treatments has the potential to overcome these limitations without requiring changes in dosing or formulation. We intend to build a platform based on our SVP technology applied to the mitigation of ADAs for a wide range of biologics.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200" w:right="580"/>
        <w:spacing w:after="0" w:line="282" w:lineRule="auto"/>
        <w:rPr>
          <w:sz w:val="20"/>
          <w:szCs w:val="20"/>
          <w:color w:val="auto"/>
        </w:rPr>
      </w:pPr>
      <w:r>
        <w:rPr>
          <w:rFonts w:ascii="Arial" w:cs="Arial" w:eastAsia="Arial" w:hAnsi="Arial"/>
          <w:sz w:val="15"/>
          <w:szCs w:val="15"/>
          <w:color w:val="auto"/>
        </w:rPr>
        <w:t>Our SVP technology utilizes a biodegradable nanoparticle to selectively modulate an immune response in an antigen-specific manner. We believe that nanoparticles are uniquely suited to deliver precise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035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1385" cy="50355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instructions to the immune system as a result of the natural predisposition of the immune system to interrogate nanoparticles, such as viruses.</w:t>
      </w:r>
    </w:p>
    <w:p>
      <w:pPr>
        <w:spacing w:after="0" w:line="198" w:lineRule="exact"/>
        <w:rPr>
          <w:sz w:val="20"/>
          <w:szCs w:val="20"/>
          <w:color w:val="auto"/>
        </w:rPr>
      </w:pPr>
    </w:p>
    <w:p>
      <w:pPr>
        <w:ind w:left="200" w:right="14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74" w:lineRule="exact"/>
        <w:rPr>
          <w:sz w:val="20"/>
          <w:szCs w:val="20"/>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antigen-specific immune tolerance for gene therapy involving gene augmentation, replacement or editing;</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treatment of a life threatening food allergy, celiac disease and type 1 diabetes under a collaboration with Sanofi; and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200"/>
        <w:spacing w:after="0" w:line="282"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Depending on the type of immunomodulator encapsulated in the SVP, our technology is designed to induce either a:</w:t>
      </w:r>
    </w:p>
    <w:p>
      <w:pPr>
        <w:spacing w:after="0" w:line="162" w:lineRule="exact"/>
        <w:rPr>
          <w:sz w:val="20"/>
          <w:szCs w:val="20"/>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tolerogenic response to mitigate the formation of ADAs against a biologic drug or treat allergies and autoimmune diseases; or</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200" w:right="20"/>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51" w:lineRule="exact"/>
        <w:rPr>
          <w:sz w:val="20"/>
          <w:szCs w:val="20"/>
          <w:color w:val="auto"/>
        </w:rPr>
      </w:pPr>
    </w:p>
    <w:p>
      <w:pPr>
        <w:ind w:left="200"/>
        <w:spacing w:after="0" w:line="263"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In preclinical studies, we have observed that SVP-Rapamycin, unlike free rapamycin, can be co-administered at the beginning of therapy with a biologic drug to mitigate the formation of ADAs without altering the drug or its dose regimen. As a result, we believe that SVP-Rapamycin may provide us with significant growth opportunities in the area of tolerance because SVP-Rapamycin can be co-administered at the beginning of therapy with many different biologic drugs.</w:t>
      </w:r>
    </w:p>
    <w:p>
      <w:pPr>
        <w:spacing w:after="0" w:line="167" w:lineRule="exact"/>
        <w:rPr>
          <w:sz w:val="20"/>
          <w:szCs w:val="20"/>
          <w:color w:val="auto"/>
        </w:rPr>
      </w:pPr>
    </w:p>
    <w:p>
      <w:pPr>
        <w:ind w:left="200"/>
        <w:spacing w:after="0" w:line="290" w:lineRule="auto"/>
        <w:rPr>
          <w:sz w:val="20"/>
          <w:szCs w:val="20"/>
          <w:color w:val="auto"/>
        </w:rPr>
      </w:pPr>
      <w:r>
        <w:rPr>
          <w:rFonts w:ascii="Arial" w:cs="Arial" w:eastAsia="Arial" w:hAnsi="Arial"/>
          <w:sz w:val="14"/>
          <w:szCs w:val="14"/>
          <w:color w:val="auto"/>
        </w:rPr>
        <w:t>In addition, we believe our SVP technology has the potential to be used for therapies that stimulate the immune system to treat cancer, infectious diseases and other diseases. Our SVP immune stimulation programs are designed to encapsulate an antigen and a toll-like receptor, or TLR, agonist. Activation of TLRs alert the immune system that a potential pathogen is present and that the immune system should mount a response. TLR agonists can be used as supplements, or adjuvants, to vaccines to increase the immune response to the vaccine by activating the TLRs in antigen-presenting cells. We currently finance these programs primarily through grants.</w:t>
      </w:r>
    </w:p>
    <w:p>
      <w:pPr>
        <w:spacing w:after="0" w:line="148" w:lineRule="exact"/>
        <w:rPr>
          <w:sz w:val="20"/>
          <w:szCs w:val="20"/>
          <w:color w:val="auto"/>
        </w:rPr>
      </w:pPr>
    </w:p>
    <w:p>
      <w:pPr>
        <w:ind w:left="200" w:right="20"/>
        <w:spacing w:after="0" w:line="282" w:lineRule="auto"/>
        <w:rPr>
          <w:sz w:val="20"/>
          <w:szCs w:val="20"/>
          <w:color w:val="auto"/>
        </w:rPr>
      </w:pPr>
      <w:r>
        <w:rPr>
          <w:rFonts w:ascii="Arial" w:cs="Arial" w:eastAsia="Arial" w:hAnsi="Arial"/>
          <w:sz w:val="15"/>
          <w:szCs w:val="15"/>
          <w:color w:val="auto"/>
        </w:rPr>
        <w:t>Our SVP technology is based in part on the pioneering research performed by our co-founders at Harvard University, Massachusetts Institute of Technology, or MIT, and Brigham and Women's Hospital, or Brigham. In connection with our company's founding, we licensed 17 patent families</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3439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1385" cy="343979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related to certain aspects of our SVP technology as applied to nanoparticles for use in vaccines from our co-founders' institutions pursuant to an agreement with MIT.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PRODUCT CANDIDATE AND DISCOVERY PIPELINES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78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Description</w:t>
            </w:r>
          </w:p>
        </w:tc>
        <w:tc>
          <w:tcPr>
            <w:tcW w:w="2920" w:type="dxa"/>
            <w:vAlign w:val="bottom"/>
            <w:tcBorders>
              <w:bottom w:val="single" w:sz="8" w:color="auto"/>
            </w:tcBorders>
          </w:tcPr>
          <w:p>
            <w:pPr>
              <w:ind w:left="940"/>
              <w:spacing w:after="0"/>
              <w:rPr>
                <w:sz w:val="20"/>
                <w:szCs w:val="20"/>
                <w:color w:val="auto"/>
              </w:rPr>
            </w:pPr>
            <w:r>
              <w:rPr>
                <w:rFonts w:ascii="Arial" w:cs="Arial" w:eastAsia="Arial" w:hAnsi="Arial"/>
                <w:sz w:val="12"/>
                <w:szCs w:val="12"/>
                <w:b w:val="1"/>
                <w:bCs w:val="1"/>
                <w:color w:val="auto"/>
              </w:rPr>
              <w:t>Development status</w:t>
            </w:r>
          </w:p>
        </w:tc>
        <w:tc>
          <w:tcPr>
            <w:tcW w:w="276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5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307"/>
        </w:trPr>
        <w:tc>
          <w:tcPr>
            <w:tcW w:w="2580" w:type="dxa"/>
            <w:vAlign w:val="bottom"/>
          </w:tcPr>
          <w:p>
            <w:pPr>
              <w:spacing w:after="0"/>
              <w:rPr>
                <w:sz w:val="20"/>
                <w:szCs w:val="20"/>
                <w:color w:val="auto"/>
              </w:rPr>
            </w:pPr>
            <w:r>
              <w:rPr>
                <w:rFonts w:ascii="Arial" w:cs="Arial" w:eastAsia="Arial" w:hAnsi="Arial"/>
                <w:sz w:val="12"/>
                <w:szCs w:val="12"/>
                <w:color w:val="auto"/>
                <w:w w:val="94"/>
              </w:rPr>
              <w:t>Refractory and chronic tophaceous gout (SEL-212)</w:t>
            </w:r>
          </w:p>
        </w:tc>
        <w:tc>
          <w:tcPr>
            <w:tcW w:w="2780" w:type="dxa"/>
            <w:vAlign w:val="bottom"/>
          </w:tcPr>
          <w:p>
            <w:pPr>
              <w:ind w:left="200"/>
              <w:spacing w:after="0"/>
              <w:rPr>
                <w:sz w:val="20"/>
                <w:szCs w:val="20"/>
                <w:color w:val="auto"/>
              </w:rPr>
            </w:pPr>
            <w:r>
              <w:rPr>
                <w:rFonts w:ascii="Arial" w:cs="Arial" w:eastAsia="Arial" w:hAnsi="Arial"/>
                <w:sz w:val="12"/>
                <w:szCs w:val="12"/>
                <w:color w:val="auto"/>
                <w:w w:val="96"/>
              </w:rPr>
              <w:t>SVP-Rapamycin co-administered with pegsiticase</w:t>
            </w:r>
          </w:p>
        </w:tc>
        <w:tc>
          <w:tcPr>
            <w:tcW w:w="2920" w:type="dxa"/>
            <w:vAlign w:val="bottom"/>
          </w:tcPr>
          <w:p>
            <w:pPr>
              <w:ind w:left="220"/>
              <w:spacing w:after="0"/>
              <w:rPr>
                <w:sz w:val="20"/>
                <w:szCs w:val="20"/>
                <w:color w:val="auto"/>
              </w:rPr>
            </w:pPr>
            <w:r>
              <w:rPr>
                <w:rFonts w:ascii="Arial" w:cs="Arial" w:eastAsia="Arial" w:hAnsi="Arial"/>
                <w:sz w:val="12"/>
                <w:szCs w:val="12"/>
                <w:color w:val="auto"/>
              </w:rPr>
              <w:t>Final data from Phase 1a and Phase 1b trials and</w:t>
            </w:r>
          </w:p>
        </w:tc>
        <w:tc>
          <w:tcPr>
            <w:tcW w:w="2760" w:type="dxa"/>
            <w:vAlign w:val="bottom"/>
          </w:tcPr>
          <w:p>
            <w:pPr>
              <w:ind w:left="120"/>
              <w:spacing w:after="0"/>
              <w:rPr>
                <w:sz w:val="20"/>
                <w:szCs w:val="20"/>
                <w:color w:val="auto"/>
              </w:rPr>
            </w:pPr>
            <w:r>
              <w:rPr>
                <w:rFonts w:ascii="Arial" w:cs="Arial" w:eastAsia="Arial" w:hAnsi="Arial"/>
                <w:sz w:val="12"/>
                <w:szCs w:val="12"/>
                <w:color w:val="auto"/>
              </w:rPr>
              <w:t>Own development</w:t>
            </w:r>
          </w:p>
        </w:tc>
      </w:tr>
      <w:tr>
        <w:trPr>
          <w:trHeight w:val="127"/>
        </w:trPr>
        <w:tc>
          <w:tcPr>
            <w:tcW w:w="2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920" w:type="dxa"/>
            <w:vAlign w:val="bottom"/>
          </w:tcPr>
          <w:p>
            <w:pPr>
              <w:ind w:left="220"/>
              <w:spacing w:after="0" w:line="128" w:lineRule="exact"/>
              <w:rPr>
                <w:sz w:val="20"/>
                <w:szCs w:val="20"/>
                <w:color w:val="auto"/>
              </w:rPr>
            </w:pPr>
            <w:r>
              <w:rPr>
                <w:rFonts w:ascii="Arial" w:cs="Arial" w:eastAsia="Arial" w:hAnsi="Arial"/>
                <w:sz w:val="12"/>
                <w:szCs w:val="12"/>
                <w:color w:val="auto"/>
                <w:w w:val="92"/>
              </w:rPr>
              <w:t>initiation of Phase 2 trial expected in the second half of</w:t>
            </w:r>
          </w:p>
        </w:tc>
        <w:tc>
          <w:tcPr>
            <w:tcW w:w="2760" w:type="dxa"/>
            <w:vAlign w:val="bottom"/>
          </w:tcPr>
          <w:p>
            <w:pPr>
              <w:spacing w:after="0"/>
              <w:rPr>
                <w:sz w:val="11"/>
                <w:szCs w:val="11"/>
                <w:color w:val="auto"/>
              </w:rPr>
            </w:pPr>
          </w:p>
        </w:tc>
      </w:tr>
      <w:tr>
        <w:trPr>
          <w:trHeight w:val="147"/>
        </w:trPr>
        <w:tc>
          <w:tcPr>
            <w:tcW w:w="2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920" w:type="dxa"/>
            <w:vAlign w:val="bottom"/>
          </w:tcPr>
          <w:p>
            <w:pPr>
              <w:ind w:left="220"/>
              <w:spacing w:after="0"/>
              <w:rPr>
                <w:sz w:val="20"/>
                <w:szCs w:val="20"/>
                <w:color w:val="auto"/>
              </w:rPr>
            </w:pPr>
            <w:r>
              <w:rPr>
                <w:rFonts w:ascii="Arial" w:cs="Arial" w:eastAsia="Arial" w:hAnsi="Arial"/>
                <w:sz w:val="12"/>
                <w:szCs w:val="12"/>
                <w:color w:val="auto"/>
              </w:rPr>
              <w:t>2016</w:t>
            </w:r>
          </w:p>
        </w:tc>
        <w:tc>
          <w:tcPr>
            <w:tcW w:w="2760" w:type="dxa"/>
            <w:vAlign w:val="bottom"/>
          </w:tcPr>
          <w:p>
            <w:pPr>
              <w:spacing w:after="0"/>
              <w:rPr>
                <w:sz w:val="12"/>
                <w:szCs w:val="12"/>
                <w:color w:val="auto"/>
              </w:rPr>
            </w:pPr>
          </w:p>
        </w:tc>
      </w:tr>
    </w:tbl>
    <w:p>
      <w:pPr>
        <w:spacing w:after="0" w:line="178"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line="11" w:lineRule="exact"/>
        <w:rPr>
          <w:sz w:val="20"/>
          <w:szCs w:val="20"/>
          <w:color w:val="auto"/>
        </w:rPr>
      </w:pPr>
    </w:p>
    <w:p>
      <w:pPr>
        <w:ind w:left="200"/>
        <w:spacing w:after="0" w:line="238" w:lineRule="auto"/>
        <w:rPr>
          <w:sz w:val="20"/>
          <w:szCs w:val="20"/>
          <w:color w:val="auto"/>
        </w:rPr>
      </w:pPr>
      <w:r>
        <w:rPr>
          <w:rFonts w:ascii="Arial" w:cs="Arial" w:eastAsia="Arial" w:hAnsi="Arial"/>
          <w:sz w:val="12"/>
          <w:szCs w:val="12"/>
          <w:color w:val="auto"/>
        </w:rPr>
        <w:t>Gene therapy for an autosomal recessive metabolic, or ARM, disorder</w:t>
      </w:r>
    </w:p>
    <w:p>
      <w:pPr>
        <w:spacing w:after="0" w:line="190" w:lineRule="exact"/>
        <w:rPr>
          <w:sz w:val="20"/>
          <w:szCs w:val="20"/>
          <w:color w:val="auto"/>
        </w:rPr>
      </w:pPr>
    </w:p>
    <w:p>
      <w:pPr>
        <w:ind w:left="200" w:right="200"/>
        <w:spacing w:after="0" w:line="238" w:lineRule="auto"/>
        <w:rPr>
          <w:sz w:val="20"/>
          <w:szCs w:val="20"/>
          <w:color w:val="auto"/>
        </w:rPr>
      </w:pPr>
      <w:r>
        <w:rPr>
          <w:rFonts w:ascii="Arial" w:cs="Arial" w:eastAsia="Arial" w:hAnsi="Arial"/>
          <w:sz w:val="12"/>
          <w:szCs w:val="12"/>
          <w:color w:val="auto"/>
        </w:rPr>
        <w:t>Gene therapy for an X-linked metabolic, or XLM, disorder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SVP for immune stimulation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680" w:type="dxa"/>
            <w:vAlign w:val="bottom"/>
          </w:tcPr>
          <w:p>
            <w:pPr>
              <w:spacing w:after="0"/>
              <w:rPr>
                <w:sz w:val="20"/>
                <w:szCs w:val="20"/>
                <w:color w:val="auto"/>
              </w:rPr>
            </w:pPr>
            <w:r>
              <w:rPr>
                <w:rFonts w:ascii="Arial" w:cs="Arial" w:eastAsia="Arial" w:hAnsi="Arial"/>
                <w:sz w:val="12"/>
                <w:szCs w:val="12"/>
                <w:color w:val="auto"/>
                <w:w w:val="92"/>
              </w:rPr>
              <w:t>SVP-Rapamycin co-administered with the Anc80 gene</w:t>
            </w:r>
          </w:p>
        </w:tc>
        <w:tc>
          <w:tcPr>
            <w:tcW w:w="2860" w:type="dxa"/>
            <w:vAlign w:val="bottom"/>
          </w:tcPr>
          <w:p>
            <w:pPr>
              <w:ind w:left="120"/>
              <w:spacing w:after="0"/>
              <w:rPr>
                <w:sz w:val="20"/>
                <w:szCs w:val="20"/>
                <w:color w:val="auto"/>
              </w:rPr>
            </w:pPr>
            <w:r>
              <w:rPr>
                <w:rFonts w:ascii="Arial" w:cs="Arial" w:eastAsia="Arial" w:hAnsi="Arial"/>
                <w:sz w:val="12"/>
                <w:szCs w:val="12"/>
                <w:color w:val="auto"/>
                <w:w w:val="95"/>
              </w:rPr>
              <w:t>Investigational New Drug Application, or IND, filing for</w:t>
            </w:r>
          </w:p>
        </w:tc>
        <w:tc>
          <w:tcPr>
            <w:tcW w:w="920" w:type="dxa"/>
            <w:vAlign w:val="bottom"/>
          </w:tcPr>
          <w:p>
            <w:pPr>
              <w:ind w:left="80"/>
              <w:spacing w:after="0"/>
              <w:rPr>
                <w:sz w:val="20"/>
                <w:szCs w:val="20"/>
                <w:color w:val="auto"/>
              </w:rPr>
            </w:pPr>
            <w:r>
              <w:rPr>
                <w:rFonts w:ascii="Arial" w:cs="Arial" w:eastAsia="Arial" w:hAnsi="Arial"/>
                <w:sz w:val="12"/>
                <w:szCs w:val="12"/>
                <w:color w:val="auto"/>
                <w:w w:val="84"/>
              </w:rPr>
              <w:t>Own development</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therapy vector, or Anc80</w:t>
            </w:r>
          </w:p>
        </w:tc>
        <w:tc>
          <w:tcPr>
            <w:tcW w:w="2860" w:type="dxa"/>
            <w:vAlign w:val="bottom"/>
          </w:tcPr>
          <w:p>
            <w:pPr>
              <w:ind w:left="120"/>
              <w:spacing w:after="0"/>
              <w:rPr>
                <w:sz w:val="20"/>
                <w:szCs w:val="20"/>
                <w:color w:val="auto"/>
              </w:rPr>
            </w:pPr>
            <w:r>
              <w:rPr>
                <w:rFonts w:ascii="Arial" w:cs="Arial" w:eastAsia="Arial" w:hAnsi="Arial"/>
                <w:sz w:val="12"/>
                <w:szCs w:val="12"/>
                <w:color w:val="auto"/>
              </w:rPr>
              <w:t>first indication expected by the end of 2017</w:t>
            </w:r>
          </w:p>
        </w:tc>
        <w:tc>
          <w:tcPr>
            <w:tcW w:w="920" w:type="dxa"/>
            <w:vAlign w:val="bottom"/>
          </w:tcPr>
          <w:p>
            <w:pPr>
              <w:spacing w:after="0"/>
              <w:rPr>
                <w:sz w:val="12"/>
                <w:szCs w:val="12"/>
                <w:color w:val="auto"/>
              </w:rPr>
            </w:pPr>
          </w:p>
        </w:tc>
      </w:tr>
      <w:tr>
        <w:trPr>
          <w:trHeight w:val="316"/>
        </w:trPr>
        <w:tc>
          <w:tcPr>
            <w:tcW w:w="2680" w:type="dxa"/>
            <w:vAlign w:val="bottom"/>
          </w:tcPr>
          <w:p>
            <w:pPr>
              <w:spacing w:after="0"/>
              <w:rPr>
                <w:sz w:val="20"/>
                <w:szCs w:val="20"/>
                <w:color w:val="auto"/>
              </w:rPr>
            </w:pPr>
            <w:r>
              <w:rPr>
                <w:rFonts w:ascii="Arial" w:cs="Arial" w:eastAsia="Arial" w:hAnsi="Arial"/>
                <w:sz w:val="12"/>
                <w:szCs w:val="12"/>
                <w:color w:val="auto"/>
              </w:rPr>
              <w:t>SVP-Rapamycin co-administered with an adeno-</w:t>
            </w:r>
          </w:p>
        </w:tc>
        <w:tc>
          <w:tcPr>
            <w:tcW w:w="2860" w:type="dxa"/>
            <w:vAlign w:val="bottom"/>
          </w:tcPr>
          <w:p>
            <w:pPr>
              <w:ind w:left="120"/>
              <w:spacing w:after="0"/>
              <w:rPr>
                <w:sz w:val="20"/>
                <w:szCs w:val="20"/>
                <w:color w:val="auto"/>
              </w:rPr>
            </w:pPr>
            <w:r>
              <w:rPr>
                <w:rFonts w:ascii="Arial" w:cs="Arial" w:eastAsia="Arial" w:hAnsi="Arial"/>
                <w:sz w:val="12"/>
                <w:szCs w:val="12"/>
                <w:color w:val="auto"/>
              </w:rPr>
              <w:t>IND filing for first indication expected in 2018</w:t>
            </w:r>
          </w:p>
        </w:tc>
        <w:tc>
          <w:tcPr>
            <w:tcW w:w="920" w:type="dxa"/>
            <w:vAlign w:val="bottom"/>
          </w:tcPr>
          <w:p>
            <w:pPr>
              <w:ind w:left="80"/>
              <w:spacing w:after="0"/>
              <w:rPr>
                <w:sz w:val="20"/>
                <w:szCs w:val="20"/>
                <w:color w:val="auto"/>
              </w:rPr>
            </w:pPr>
            <w:r>
              <w:rPr>
                <w:rFonts w:ascii="Arial" w:cs="Arial" w:eastAsia="Arial" w:hAnsi="Arial"/>
                <w:sz w:val="12"/>
                <w:szCs w:val="12"/>
                <w:color w:val="auto"/>
                <w:w w:val="84"/>
              </w:rPr>
              <w:t>Own development</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associated virus, or AAV</w:t>
            </w:r>
          </w:p>
        </w:tc>
        <w:tc>
          <w:tcPr>
            <w:tcW w:w="28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523" w:lineRule="exact"/>
        <w:rPr>
          <w:sz w:val="20"/>
          <w:szCs w:val="20"/>
          <w:color w:val="auto"/>
        </w:rPr>
      </w:pPr>
    </w:p>
    <w:p>
      <w:pPr>
        <w:sectPr>
          <w:pgSz w:w="11900" w:h="16838" w:orient="portrait"/>
          <w:cols w:equalWidth="0" w:num="2">
            <w:col w:w="2720" w:space="260"/>
            <w:col w:w="8460"/>
          </w:cols>
          <w:pgMar w:left="240" w:top="132" w:right="219" w:bottom="1440" w:gutter="0" w:footer="0" w:header="0"/>
          <w:type w:val="continuous"/>
        </w:sectPr>
      </w:pPr>
    </w:p>
    <w:p>
      <w:pPr>
        <w:ind w:left="200"/>
        <w:spacing w:after="0"/>
        <w:tabs>
          <w:tab w:leader="none" w:pos="2960" w:val="left"/>
          <w:tab w:leader="none" w:pos="576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Good laboratory practice, or GLP, toxicology studies</w:t>
      </w:r>
    </w:p>
    <w:p>
      <w:pPr>
        <w:ind w:left="5780"/>
        <w:spacing w:after="0"/>
        <w:rPr>
          <w:sz w:val="20"/>
          <w:szCs w:val="20"/>
          <w:color w:val="auto"/>
        </w:rPr>
      </w:pPr>
      <w:r>
        <w:rPr>
          <w:rFonts w:ascii="Arial" w:cs="Arial" w:eastAsia="Arial" w:hAnsi="Arial"/>
          <w:sz w:val="12"/>
          <w:szCs w:val="12"/>
          <w:color w:val="auto"/>
        </w:rPr>
        <w:t>ongoing</w:t>
      </w:r>
    </w:p>
    <w:p>
      <w:pPr>
        <w:spacing w:after="0" w:line="188" w:lineRule="exact"/>
        <w:rPr>
          <w:sz w:val="20"/>
          <w:szCs w:val="20"/>
          <w:color w:val="auto"/>
        </w:rPr>
      </w:pPr>
    </w:p>
    <w:p>
      <w:pPr>
        <w:ind w:left="200"/>
        <w:spacing w:after="0"/>
        <w:tabs>
          <w:tab w:leader="none" w:pos="2960" w:val="left"/>
          <w:tab w:leader="none" w:pos="5760" w:val="left"/>
        </w:tabs>
        <w:rPr>
          <w:sz w:val="20"/>
          <w:szCs w:val="20"/>
          <w:color w:val="auto"/>
        </w:rPr>
      </w:pPr>
      <w:r>
        <w:rPr>
          <w:rFonts w:ascii="Arial" w:cs="Arial" w:eastAsia="Arial" w:hAnsi="Arial"/>
          <w:sz w:val="12"/>
          <w:szCs w:val="12"/>
          <w:color w:val="auto"/>
        </w:rPr>
        <w:t>HPV-associated cancer (SEL-701)</w:t>
      </w:r>
      <w:r>
        <w:rPr>
          <w:sz w:val="20"/>
          <w:szCs w:val="20"/>
          <w:color w:val="auto"/>
        </w:rPr>
        <w:tab/>
      </w:r>
      <w:r>
        <w:rPr>
          <w:rFonts w:ascii="Arial" w:cs="Arial" w:eastAsia="Arial" w:hAnsi="Arial"/>
          <w:sz w:val="12"/>
          <w:szCs w:val="12"/>
          <w:color w:val="auto"/>
        </w:rPr>
        <w:t>SVP-adjuvant and SVP-HPV antigen</w:t>
      </w:r>
      <w:r>
        <w:rPr>
          <w:sz w:val="20"/>
          <w:szCs w:val="20"/>
          <w:color w:val="auto"/>
        </w:rPr>
        <w:tab/>
      </w:r>
      <w:r>
        <w:rPr>
          <w:rFonts w:ascii="Arial" w:cs="Arial" w:eastAsia="Arial" w:hAnsi="Arial"/>
          <w:sz w:val="10"/>
          <w:szCs w:val="10"/>
          <w:color w:val="auto"/>
        </w:rPr>
        <w:t>Preclinical</w:t>
      </w:r>
    </w:p>
    <w:p>
      <w:pPr>
        <w:spacing w:after="0" w:line="20" w:lineRule="exact"/>
        <w:rPr>
          <w:sz w:val="20"/>
          <w:szCs w:val="20"/>
          <w:color w:val="auto"/>
        </w:rPr>
      </w:pPr>
      <w:r>
        <w:rPr>
          <w:sz w:val="20"/>
          <w:szCs w:val="20"/>
          <w:color w:val="auto"/>
        </w:rPr>
        <w:br w:type="column"/>
      </w:r>
    </w:p>
    <w:p>
      <w:pPr>
        <w:ind w:right="620"/>
        <w:spacing w:after="0" w:line="333" w:lineRule="auto"/>
        <w:rPr>
          <w:sz w:val="20"/>
          <w:szCs w:val="20"/>
          <w:color w:val="auto"/>
        </w:rPr>
      </w:pPr>
      <w:r>
        <w:rPr>
          <w:rFonts w:ascii="Arial" w:cs="Arial" w:eastAsia="Arial" w:hAnsi="Arial"/>
          <w:sz w:val="10"/>
          <w:szCs w:val="10"/>
          <w:color w:val="auto"/>
        </w:rPr>
        <w:t>Own development, with grant from the National Institute on Drug Abuse, or NIDA</w:t>
      </w:r>
    </w:p>
    <w:p>
      <w:pPr>
        <w:spacing w:after="0" w:line="144" w:lineRule="exact"/>
        <w:rPr>
          <w:sz w:val="20"/>
          <w:szCs w:val="20"/>
          <w:color w:val="auto"/>
        </w:rPr>
      </w:pPr>
    </w:p>
    <w:p>
      <w:pPr>
        <w:ind w:right="280"/>
        <w:spacing w:after="0" w:line="230" w:lineRule="auto"/>
        <w:rPr>
          <w:sz w:val="20"/>
          <w:szCs w:val="20"/>
          <w:color w:val="auto"/>
        </w:rPr>
      </w:pPr>
      <w:r>
        <w:rPr>
          <w:rFonts w:ascii="Arial" w:cs="Arial" w:eastAsia="Arial" w:hAnsi="Arial"/>
          <w:sz w:val="12"/>
          <w:szCs w:val="12"/>
          <w:color w:val="auto"/>
        </w:rPr>
        <w:t>Own development, with grant from the Russian-based Development Fund of New Technologies Development and Commercialization Center, or the Skolkovo Foundation</w:t>
      </w:r>
    </w:p>
    <w:p>
      <w:pPr>
        <w:spacing w:after="0" w:line="200" w:lineRule="exact"/>
        <w:rPr>
          <w:sz w:val="20"/>
          <w:szCs w:val="20"/>
          <w:color w:val="auto"/>
        </w:rPr>
      </w:pPr>
    </w:p>
    <w:p>
      <w:pPr>
        <w:sectPr>
          <w:pgSz w:w="11900" w:h="16838" w:orient="portrait"/>
          <w:cols w:equalWidth="0" w:num="2">
            <w:col w:w="8240" w:space="360"/>
            <w:col w:w="2840"/>
          </w:cols>
          <w:pgMar w:left="240" w:top="132"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380"/>
        <w:spacing w:after="0"/>
        <w:rPr>
          <w:sz w:val="20"/>
          <w:szCs w:val="20"/>
          <w:color w:val="auto"/>
        </w:rPr>
      </w:pP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6" w:name="page7"/>
    <w:bookmarkEnd w:id="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977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497713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020" w:type="dxa"/>
            <w:vAlign w:val="bottom"/>
            <w:tcBorders>
              <w:bottom w:val="single" w:sz="8" w:color="auto"/>
            </w:tcBorders>
          </w:tcPr>
          <w:p>
            <w:pPr>
              <w:ind w:left="1680"/>
              <w:spacing w:after="0"/>
              <w:rPr>
                <w:sz w:val="20"/>
                <w:szCs w:val="20"/>
                <w:color w:val="auto"/>
              </w:rPr>
            </w:pPr>
            <w:r>
              <w:rPr>
                <w:rFonts w:ascii="Arial" w:cs="Arial" w:eastAsia="Arial" w:hAnsi="Arial"/>
                <w:sz w:val="12"/>
                <w:szCs w:val="12"/>
                <w:b w:val="1"/>
                <w:bCs w:val="1"/>
                <w:color w:val="auto"/>
              </w:rPr>
              <w:t>Description</w:t>
            </w:r>
          </w:p>
        </w:tc>
        <w:tc>
          <w:tcPr>
            <w:tcW w:w="2840" w:type="dxa"/>
            <w:vAlign w:val="bottom"/>
            <w:tcBorders>
              <w:bottom w:val="single" w:sz="8" w:color="auto"/>
            </w:tcBorders>
          </w:tcPr>
          <w:p>
            <w:pPr>
              <w:ind w:left="1200"/>
              <w:spacing w:after="0"/>
              <w:rPr>
                <w:sz w:val="20"/>
                <w:szCs w:val="20"/>
                <w:color w:val="auto"/>
              </w:rPr>
            </w:pPr>
            <w:r>
              <w:rPr>
                <w:rFonts w:ascii="Arial" w:cs="Arial" w:eastAsia="Arial" w:hAnsi="Arial"/>
                <w:sz w:val="12"/>
                <w:szCs w:val="12"/>
                <w:b w:val="1"/>
                <w:bCs w:val="1"/>
                <w:color w:val="auto"/>
              </w:rPr>
              <w:t>Development status</w:t>
            </w:r>
          </w:p>
        </w:tc>
        <w:tc>
          <w:tcPr>
            <w:tcW w:w="310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0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327"/>
        </w:trPr>
        <w:tc>
          <w:tcPr>
            <w:tcW w:w="2080" w:type="dxa"/>
            <w:vAlign w:val="bottom"/>
          </w:tcPr>
          <w:p>
            <w:pPr>
              <w:spacing w:after="0"/>
              <w:rPr>
                <w:sz w:val="20"/>
                <w:szCs w:val="20"/>
                <w:color w:val="auto"/>
              </w:rPr>
            </w:pPr>
            <w:r>
              <w:rPr>
                <w:rFonts w:ascii="Arial" w:cs="Arial" w:eastAsia="Arial" w:hAnsi="Arial"/>
                <w:sz w:val="12"/>
                <w:szCs w:val="12"/>
                <w:color w:val="auto"/>
              </w:rPr>
              <w:t>Food allergy</w:t>
            </w:r>
          </w:p>
        </w:tc>
        <w:tc>
          <w:tcPr>
            <w:tcW w:w="3020" w:type="dxa"/>
            <w:vAlign w:val="bottom"/>
          </w:tcPr>
          <w:p>
            <w:pPr>
              <w:ind w:left="700"/>
              <w:spacing w:after="0"/>
              <w:rPr>
                <w:sz w:val="20"/>
                <w:szCs w:val="20"/>
                <w:color w:val="auto"/>
              </w:rPr>
            </w:pPr>
            <w:r>
              <w:rPr>
                <w:rFonts w:ascii="Arial" w:cs="Arial" w:eastAsia="Arial" w:hAnsi="Arial"/>
                <w:sz w:val="12"/>
                <w:szCs w:val="12"/>
                <w:color w:val="auto"/>
              </w:rPr>
              <w:t>SVP-adjuvant and SVP-food allergen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080" w:type="dxa"/>
            <w:vAlign w:val="bottom"/>
          </w:tcPr>
          <w:p>
            <w:pPr>
              <w:spacing w:after="0"/>
              <w:rPr>
                <w:sz w:val="20"/>
                <w:szCs w:val="20"/>
                <w:color w:val="auto"/>
              </w:rPr>
            </w:pPr>
            <w:r>
              <w:rPr>
                <w:rFonts w:ascii="Arial" w:cs="Arial" w:eastAsia="Arial" w:hAnsi="Arial"/>
                <w:sz w:val="12"/>
                <w:szCs w:val="12"/>
                <w:color w:val="auto"/>
              </w:rPr>
              <w:t>Celiac disease</w:t>
            </w:r>
          </w:p>
        </w:tc>
        <w:tc>
          <w:tcPr>
            <w:tcW w:w="3020" w:type="dxa"/>
            <w:vAlign w:val="bottom"/>
          </w:tcPr>
          <w:p>
            <w:pPr>
              <w:ind w:left="700"/>
              <w:spacing w:after="0"/>
              <w:rPr>
                <w:sz w:val="20"/>
                <w:szCs w:val="20"/>
                <w:color w:val="auto"/>
              </w:rPr>
            </w:pPr>
            <w:r>
              <w:rPr>
                <w:rFonts w:ascii="Arial" w:cs="Arial" w:eastAsia="Arial" w:hAnsi="Arial"/>
                <w:sz w:val="12"/>
                <w:szCs w:val="12"/>
                <w:color w:val="auto"/>
              </w:rPr>
              <w:t>SVP-Rapamycin and SVP-gluten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080" w:type="dxa"/>
            <w:vAlign w:val="bottom"/>
          </w:tcPr>
          <w:p>
            <w:pPr>
              <w:spacing w:after="0"/>
              <w:rPr>
                <w:sz w:val="20"/>
                <w:szCs w:val="20"/>
                <w:color w:val="auto"/>
              </w:rPr>
            </w:pPr>
            <w:r>
              <w:rPr>
                <w:rFonts w:ascii="Arial" w:cs="Arial" w:eastAsia="Arial" w:hAnsi="Arial"/>
                <w:sz w:val="12"/>
                <w:szCs w:val="12"/>
                <w:color w:val="auto"/>
              </w:rPr>
              <w:t>Type 1 diabetes</w:t>
            </w:r>
          </w:p>
        </w:tc>
        <w:tc>
          <w:tcPr>
            <w:tcW w:w="3020" w:type="dxa"/>
            <w:vAlign w:val="bottom"/>
          </w:tcPr>
          <w:p>
            <w:pPr>
              <w:ind w:left="700"/>
              <w:spacing w:after="0"/>
              <w:rPr>
                <w:sz w:val="20"/>
                <w:szCs w:val="20"/>
                <w:color w:val="auto"/>
              </w:rPr>
            </w:pPr>
            <w:r>
              <w:rPr>
                <w:rFonts w:ascii="Arial" w:cs="Arial" w:eastAsia="Arial" w:hAnsi="Arial"/>
                <w:sz w:val="12"/>
                <w:szCs w:val="12"/>
                <w:color w:val="auto"/>
              </w:rPr>
              <w:t>SVP-Rapamycin and SVP-insulin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0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0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16"/>
        </w:trPr>
        <w:tc>
          <w:tcPr>
            <w:tcW w:w="2080" w:type="dxa"/>
            <w:vAlign w:val="bottom"/>
          </w:tcPr>
          <w:p>
            <w:pPr>
              <w:spacing w:after="0"/>
              <w:rPr>
                <w:sz w:val="20"/>
                <w:szCs w:val="20"/>
                <w:color w:val="auto"/>
              </w:rPr>
            </w:pPr>
            <w:r>
              <w:rPr>
                <w:rFonts w:ascii="Arial" w:cs="Arial" w:eastAsia="Arial" w:hAnsi="Arial"/>
                <w:sz w:val="12"/>
                <w:szCs w:val="12"/>
                <w:color w:val="auto"/>
              </w:rPr>
              <w:t>Malaria</w:t>
            </w:r>
          </w:p>
        </w:tc>
        <w:tc>
          <w:tcPr>
            <w:tcW w:w="3020" w:type="dxa"/>
            <w:vAlign w:val="bottom"/>
          </w:tcPr>
          <w:p>
            <w:pPr>
              <w:ind w:left="700"/>
              <w:spacing w:after="0"/>
              <w:rPr>
                <w:sz w:val="20"/>
                <w:szCs w:val="20"/>
                <w:color w:val="auto"/>
              </w:rPr>
            </w:pPr>
            <w:r>
              <w:rPr>
                <w:rFonts w:ascii="Arial" w:cs="Arial" w:eastAsia="Arial" w:hAnsi="Arial"/>
                <w:sz w:val="12"/>
                <w:szCs w:val="12"/>
                <w:color w:val="auto"/>
              </w:rPr>
              <w:t>SVP-adjuvant and SVP-malaria antigen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0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research program</w:t>
            </w:r>
          </w:p>
        </w:tc>
      </w:tr>
    </w:tbl>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95" w:lineRule="exact"/>
        <w:rPr>
          <w:sz w:val="20"/>
          <w:szCs w:val="20"/>
          <w:color w:val="auto"/>
        </w:rPr>
      </w:pPr>
    </w:p>
    <w:p>
      <w:pPr>
        <w:ind w:left="200" w:right="220"/>
        <w:spacing w:after="0" w:line="287" w:lineRule="auto"/>
        <w:rPr>
          <w:sz w:val="20"/>
          <w:szCs w:val="20"/>
          <w:color w:val="auto"/>
        </w:rPr>
      </w:pPr>
      <w:r>
        <w:rPr>
          <w:rFonts w:ascii="Arial" w:cs="Arial" w:eastAsia="Arial" w:hAnsi="Arial"/>
          <w:sz w:val="14"/>
          <w:szCs w:val="14"/>
          <w:color w:val="auto"/>
        </w:rPr>
        <w:t>Our lead product candidate, SEL-212, consists of SVP-Rapamycin co-administered with pegsiticase, our proprietary pegylated uricase, for the treatment of refractory and chronic tophaceous gout. Our preclinical data indicate that SVP-Rapamycin, when co-administered with pegsiticase, induces antigen-specific immune tolerance to pegsiticase and substantially reduces the formation of associated ADAs. We believe that our SEL-212 has the potential to offer a uniquely effective treatment for patients with refractory or chronic tophaceous gout, while also demonstrating the clinical effectiveness of our SVP technology. We completed the patient treatment portion of our Phase 1a trial in November 2015, initiated a Phase 1b trial in December 2015 and expect final data from both Phase 1 clinical trials in the second half of 2016.</w:t>
      </w:r>
    </w:p>
    <w:p>
      <w:pPr>
        <w:spacing w:after="0" w:line="149" w:lineRule="exact"/>
        <w:rPr>
          <w:sz w:val="20"/>
          <w:szCs w:val="20"/>
          <w:color w:val="auto"/>
        </w:rPr>
      </w:pPr>
    </w:p>
    <w:p>
      <w:pPr>
        <w:ind w:left="200"/>
        <w:spacing w:after="0" w:line="260" w:lineRule="auto"/>
        <w:rPr>
          <w:sz w:val="20"/>
          <w:szCs w:val="20"/>
          <w:color w:val="auto"/>
        </w:rPr>
      </w:pPr>
      <w:r>
        <w:rPr>
          <w:rFonts w:ascii="Arial" w:cs="Arial" w:eastAsia="Arial" w:hAnsi="Arial"/>
          <w:sz w:val="15"/>
          <w:szCs w:val="15"/>
          <w:color w:val="auto"/>
        </w:rPr>
        <w:t>Approximately 8.3 million and 10 million patients in the United States and the European Union, respectively, suffer from gout, which is caused by elevated levels of serum uric acid. Excessive uric acid levels result in harmful deposits of uric acid crystals in joints and tissues, causing joint damage and painful inflammation. High concentrations of serum uric acid also increase the risk for other conditions, including cardiovascular, cardiometabolic, joint and kidney disease. No treatment has been approved to remove uric acid deposits from joints and tissues. Approximately 50,000 patients in the United States have been diagnosed with chronic refractory gout, an orphan indication defined by uric acid levels that cannot be controlled by available oral therapies. The U.S. Food and Drug Administration, or FDA, may designate a product as an orphan product if it is intended to treat a rare disease or condition, which is generally defined as a disease or condition with a patient population of fewer than 200,000 individuals annually in the United States, or a patient population of greater than 200,000 individuals in the United States but for which there is no reasonable expectation that the cost of developing and making available in the United States the drug or biologic will be recovered from sales in the United States. Although we expect to seek orphan drug designation for one or more of our product candidates, we have not yet applied for or obtained such designation.</w:t>
      </w:r>
    </w:p>
    <w:p>
      <w:pPr>
        <w:spacing w:after="0" w:line="171" w:lineRule="exact"/>
        <w:rPr>
          <w:sz w:val="20"/>
          <w:szCs w:val="20"/>
          <w:color w:val="auto"/>
        </w:rPr>
      </w:pPr>
    </w:p>
    <w:p>
      <w:pPr>
        <w:jc w:val="both"/>
        <w:ind w:left="200" w:right="100"/>
        <w:spacing w:after="0" w:line="270" w:lineRule="auto"/>
        <w:rPr>
          <w:sz w:val="20"/>
          <w:szCs w:val="20"/>
          <w:color w:val="auto"/>
        </w:rPr>
      </w:pPr>
      <w:r>
        <w:rPr>
          <w:rFonts w:ascii="Arial" w:cs="Arial" w:eastAsia="Arial" w:hAnsi="Arial"/>
          <w:sz w:val="15"/>
          <w:szCs w:val="15"/>
          <w:color w:val="auto"/>
        </w:rPr>
        <w:t>In addition,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Both refractory and chronic tophaceous gout are severe diseases that can cause pain,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020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402082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560"/>
        <w:spacing w:after="0" w:line="282" w:lineRule="auto"/>
        <w:rPr>
          <w:sz w:val="20"/>
          <w:szCs w:val="20"/>
          <w:color w:val="auto"/>
        </w:rPr>
      </w:pPr>
      <w:r>
        <w:rPr>
          <w:rFonts w:ascii="Arial" w:cs="Arial" w:eastAsia="Arial" w:hAnsi="Arial"/>
          <w:sz w:val="15"/>
          <w:szCs w:val="15"/>
          <w:color w:val="auto"/>
        </w:rPr>
        <w:t>arthritis and organ failure. Krystexxa, a pegylated uricase, is the only product approved by the FDA for the treatment of chronic refractory gout. There is no approved product for chronic tophaceous gout.</w:t>
      </w:r>
    </w:p>
    <w:p>
      <w:pPr>
        <w:spacing w:after="0" w:line="151" w:lineRule="exact"/>
        <w:rPr>
          <w:sz w:val="20"/>
          <w:szCs w:val="20"/>
          <w:color w:val="auto"/>
        </w:rPr>
      </w:pPr>
    </w:p>
    <w:p>
      <w:pPr>
        <w:ind w:left="200" w:right="480"/>
        <w:spacing w:after="0" w:line="310" w:lineRule="auto"/>
        <w:rPr>
          <w:sz w:val="20"/>
          <w:szCs w:val="20"/>
          <w:color w:val="auto"/>
        </w:rPr>
      </w:pPr>
      <w:r>
        <w:rPr>
          <w:rFonts w:ascii="Arial" w:cs="Arial" w:eastAsia="Arial" w:hAnsi="Arial"/>
          <w:sz w:val="13"/>
          <w:szCs w:val="13"/>
          <w:color w:val="auto"/>
        </w:rPr>
        <w:t>SEL-212 was designed specifically to overcome the challenges faced by Krystexxa. In clinical trials, Krystexxa demonstrated the ability to significantly reduce uric acid levels in serum upon initial dosing. However, despite these results, Krystexxa has not achieved broad commercial adoption. We believe this is primarily due to the product's undesired immunogenicity. The package insert information for Krystexxa indicates that during Phase 3 clinical trials, 92% of patients developed ADAs. The package insert information also indicates that during the drug's Phase 3 clinical trials, high Krystexxa-specific ADA levels in patients were associated with a failure to maintain normalization of uric acid levels. Similarly, in 2011, The Journal of the American Medical Association published the results of clinical trials finding that 58% of Krystexxa patients who received biweekly doses of Krystexxa were non-responders as measured by the high uric acid levels in patients, which was associated with the Krystexxa-specific ADA levels.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GENE THERAPY PROGRAMS</w:t>
      </w:r>
    </w:p>
    <w:p>
      <w:pPr>
        <w:spacing w:after="0" w:line="195" w:lineRule="exact"/>
        <w:rPr>
          <w:sz w:val="20"/>
          <w:szCs w:val="20"/>
          <w:color w:val="auto"/>
        </w:rPr>
      </w:pPr>
    </w:p>
    <w:p>
      <w:pPr>
        <w:ind w:left="200" w:right="220"/>
        <w:spacing w:after="0" w:line="308" w:lineRule="auto"/>
        <w:rPr>
          <w:sz w:val="20"/>
          <w:szCs w:val="20"/>
          <w:color w:val="auto"/>
        </w:rPr>
      </w:pPr>
      <w:r>
        <w:rPr>
          <w:rFonts w:ascii="Arial" w:cs="Arial" w:eastAsia="Arial" w:hAnsi="Arial"/>
          <w:sz w:val="13"/>
          <w:szCs w:val="13"/>
          <w:color w:val="auto"/>
        </w:rPr>
        <w:t>We are also applying our SVP technology to antigen-specific immune tolerance for gene therapy involving gene augmentation, replacement or editing. Gene therapies often use a viral vector, such as an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the first administration of a gene therapy vector and prevent effective subsequent doses of gene therapy. Subsequent doses are particularly necessary for pediatric indications due to cellular turnover in young patients. The ability to readminister gene therapies is also important for diseases where the goal is to transfect a high number of cells. Moreover, the third way in which immunogenicity can manifest itself against the viral vector is that the cellular immune system can respond to the transduced cells, which can reduce efficacy and pose safety concerns.</w:t>
      </w:r>
    </w:p>
    <w:p>
      <w:pPr>
        <w:spacing w:after="0" w:line="139" w:lineRule="exact"/>
        <w:rPr>
          <w:sz w:val="20"/>
          <w:szCs w:val="20"/>
          <w:color w:val="auto"/>
        </w:rPr>
      </w:pPr>
    </w:p>
    <w:p>
      <w:pPr>
        <w:ind w:left="200" w:right="220"/>
        <w:spacing w:after="0" w:line="281" w:lineRule="auto"/>
        <w:rPr>
          <w:sz w:val="20"/>
          <w:szCs w:val="20"/>
          <w:color w:val="auto"/>
        </w:rPr>
      </w:pPr>
      <w:r>
        <w:rPr>
          <w:rFonts w:ascii="Arial" w:cs="Arial" w:eastAsia="Arial" w:hAnsi="Arial"/>
          <w:sz w:val="14"/>
          <w:szCs w:val="14"/>
          <w:color w:val="auto"/>
        </w:rPr>
        <w:t>We have in-licensed Anc80 from the Massachusetts Eye and Ear Infirmary and The Schepens Eye Research Institute, Inc., collectively referred to as MEE. In preclinical studies, Anc80 has been observed to be a potent gene therapy vector that has demonstrated the capability of yielding superior gene expression levels in the liver compared to naturally occurring AAVs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 the use of viral vectors. In collaboration with the clinical and gene therapy laboratory at the National Institutes of Health and MEE, we plan to develop a product candidate utilizing the Anc80 vector for the treatment of an ARM disorder resulting from an inborn error of metabolism. This ARM disorder can cause severe developmental defects and premature death as a result of an accumulation of toxic metabolites. Under our license agreement with MEE, we also have the option to develop gene therapies using Anc80 for several additional diseases including lysosomal storage, muscular and genetic metabolic diseases. We plan to develop another product candidate for the treatment of an XLM disorder, which is a metabolic disorder similar to ARM disorder. We are pursuing this second indication through collaborations with third parties with preclinical and clinical experience in this area.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741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47415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PROGRAMS FOR AUTOIMMUNE DISEASES, ALLERGIES AND MARKETED BIOLOGICS</w:t>
      </w:r>
    </w:p>
    <w:p>
      <w:pPr>
        <w:spacing w:after="0" w:line="195" w:lineRule="exact"/>
        <w:rPr>
          <w:sz w:val="20"/>
          <w:szCs w:val="20"/>
          <w:color w:val="auto"/>
        </w:rPr>
      </w:pPr>
    </w:p>
    <w:p>
      <w:pPr>
        <w:ind w:left="200" w:right="220"/>
        <w:spacing w:after="0" w:line="283" w:lineRule="auto"/>
        <w:rPr>
          <w:sz w:val="20"/>
          <w:szCs w:val="20"/>
          <w:color w:val="auto"/>
        </w:rPr>
      </w:pPr>
      <w:r>
        <w:rPr>
          <w:rFonts w:ascii="Arial" w:cs="Arial" w:eastAsia="Arial" w:hAnsi="Arial"/>
          <w:sz w:val="14"/>
          <w:szCs w:val="14"/>
          <w:color w:val="auto"/>
        </w:rPr>
        <w:t>We are also applying our SVP technology to the treatment of autoimmune diseases, allergies and marketed biologics. Currently, most autoimmune diseases are treated with broadly immunosuppressive therapies that indiscriminately affect the function of the entire immune system. Our SVP technology is designed to re-program the immune system to elicit tolerance to a specific antigen that is causing the autoimmune disease, without impacting the rest of the immune system. We believe that our preclinical data may support potential applications of SVP-Rapamycin to both marketed products, such as monoclonal antibodies against human tumor necrosis factor-alpha, or TNF-alpha, which are known to induce undesired immunogenicity, and novel biologic drugs that would otherwise be too immunogenic to develop. Since 2012, we have established three collaborations with Sanofi to research novel SVP products for the treatment of a life-threatening food allergy, celiac disease and type 1 diabetes. We intend to continue our strategy of out-licensing our SVP technology for antigen-specific immune tolerance for applications that are outside our areas of focus.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IMMUNE STIMULATION PROGRAMS</w:t>
      </w:r>
    </w:p>
    <w:p>
      <w:pPr>
        <w:spacing w:after="0" w:line="195" w:lineRule="exact"/>
        <w:rPr>
          <w:sz w:val="20"/>
          <w:szCs w:val="20"/>
          <w:color w:val="auto"/>
        </w:rPr>
      </w:pPr>
    </w:p>
    <w:p>
      <w:pPr>
        <w:jc w:val="both"/>
        <w:ind w:left="200" w:right="100"/>
        <w:spacing w:after="0" w:line="270" w:lineRule="auto"/>
        <w:rPr>
          <w:sz w:val="20"/>
          <w:szCs w:val="20"/>
          <w:color w:val="auto"/>
        </w:rPr>
      </w:pPr>
      <w:r>
        <w:rPr>
          <w:rFonts w:ascii="Arial" w:cs="Arial" w:eastAsia="Arial" w:hAnsi="Arial"/>
          <w:sz w:val="15"/>
          <w:szCs w:val="15"/>
          <w:color w:val="auto"/>
        </w:rPr>
        <w:t>We also believe our SVP technology, by encapsulating antigens and adjuvants,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We currently finance these programs primarily through grants.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ind w:left="200" w:right="2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targeted therapies that are designed to modulate the immune system to effectively and safely treat rare and serious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82" w:lineRule="exact"/>
        <w:rPr>
          <w:sz w:val="20"/>
          <w:szCs w:val="20"/>
          <w:color w:val="auto"/>
        </w:rPr>
      </w:pPr>
    </w:p>
    <w:p>
      <w:pPr>
        <w:ind w:left="660" w:right="80" w:hanging="467"/>
        <w:spacing w:after="0" w:line="287"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Rapidly advance the development of our lead product candidate, SEL-212, for the treatment of refractory and chronic tophaceous gout</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believe SEL-212 has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potential to be the first biologic treatment for gout that durably controls uric acid in refractory gout and dissolves and removes harmful deposits of uric acid crystals in chronic tophaceous gout in a majority of patients. We are currently conducting a comprehensive Phase 1/2 clinical program, comprised of two Phase 1 clinical trials, for which we expect to receive final data in the second half of 2016, and a Phase 2 clinical trial, which we expect to initiate in the second half of 2016 and for which we expect to receive data in the first half of 2017. We plan to advance this program through regulatory approval and commercialization.</w:t>
      </w:r>
    </w:p>
    <w:p>
      <w:pPr>
        <w:spacing w:after="0" w:line="160" w:lineRule="exact"/>
        <w:rPr>
          <w:rFonts w:ascii="Arial" w:cs="Arial" w:eastAsia="Arial" w:hAnsi="Arial"/>
          <w:sz w:val="14"/>
          <w:szCs w:val="14"/>
          <w:color w:val="auto"/>
        </w:rPr>
      </w:pPr>
    </w:p>
    <w:p>
      <w:pPr>
        <w:ind w:left="660" w:hanging="467"/>
        <w:spacing w:after="0" w:line="263"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our SVP technology for immune tolerance to develop novel uses and classes of non-immunogenic biologics. </w:t>
      </w:r>
      <w:r>
        <w:rPr>
          <w:rFonts w:ascii="Arial" w:cs="Arial" w:eastAsia="Arial" w:hAnsi="Arial"/>
          <w:sz w:val="15"/>
          <w:szCs w:val="15"/>
          <w:color w:val="auto"/>
        </w:rPr>
        <w:t>We intend to use our SVP technology to develop gene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therapies designed to mitigate the formation of ADAs and therefore enable repeat administration and first-in-class non-immunogenic versions of therapeutic enzymes or proteins for human therapy. We have several programs in various stages of discovery and we plan to continue to identify opportunities to utilize with our technology. In addition, we intend to pursue opportunities to in-license proprietary enzymes that we can co-administer with SVP-Rapamycin to address the issues of immunogenicity and develop effective proprietary products.</w:t>
      </w:r>
    </w:p>
    <w:p>
      <w:pPr>
        <w:spacing w:after="0" w:line="178" w:lineRule="exact"/>
        <w:rPr>
          <w:rFonts w:ascii="Arial" w:cs="Arial" w:eastAsia="Arial" w:hAnsi="Arial"/>
          <w:sz w:val="15"/>
          <w:szCs w:val="15"/>
          <w:color w:val="auto"/>
        </w:rPr>
      </w:pPr>
    </w:p>
    <w:p>
      <w:pPr>
        <w:ind w:left="660" w:right="400" w:hanging="467"/>
        <w:spacing w:after="0" w:line="282"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 infrastructure and capabilities to commercialize our products in rare and orphan diseases. </w:t>
      </w:r>
      <w:r>
        <w:rPr>
          <w:rFonts w:ascii="Arial" w:cs="Arial" w:eastAsia="Arial" w:hAnsi="Arial"/>
          <w:sz w:val="15"/>
          <w:szCs w:val="15"/>
          <w:color w:val="auto"/>
        </w:rPr>
        <w:t>While we believe our SVP technology may be broadly applicable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disease areas, we</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918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49180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0" w:right="320"/>
        <w:spacing w:after="0" w:line="297" w:lineRule="auto"/>
        <w:rPr>
          <w:sz w:val="20"/>
          <w:szCs w:val="20"/>
          <w:color w:val="auto"/>
        </w:rPr>
      </w:pPr>
      <w:r>
        <w:rPr>
          <w:rFonts w:ascii="Arial" w:cs="Arial" w:eastAsia="Arial" w:hAnsi="Arial"/>
          <w:sz w:val="14"/>
          <w:szCs w:val="14"/>
          <w:color w:val="auto"/>
        </w:rPr>
        <w:t>intend to focus our efforts on developing and commercializing proprietary SVP-enabled products for rare and serious diseases where there is high unmet medical need. Therapies for treating rare and serious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67" w:lineRule="exact"/>
        <w:rPr>
          <w:sz w:val="20"/>
          <w:szCs w:val="20"/>
          <w:color w:val="auto"/>
        </w:rPr>
      </w:pPr>
    </w:p>
    <w:p>
      <w:pPr>
        <w:ind w:left="660" w:right="260" w:hanging="467"/>
        <w:spacing w:after="0" w:line="330"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Selectively pursue collaborations and maximize the value of our SVP programs for immune tolerance. </w:t>
      </w:r>
      <w:r>
        <w:rPr>
          <w:rFonts w:ascii="Arial" w:cs="Arial" w:eastAsia="Arial" w:hAnsi="Arial"/>
          <w:sz w:val="13"/>
          <w:szCs w:val="13"/>
          <w:color w:val="auto"/>
        </w:rPr>
        <w:t>In addition to our own proprietary product development efforts,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in discussions with potential collaborators and licensees to pursue novel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36" w:lineRule="exact"/>
        <w:rPr>
          <w:rFonts w:ascii="Arial" w:cs="Arial" w:eastAsia="Arial" w:hAnsi="Arial"/>
          <w:sz w:val="13"/>
          <w:szCs w:val="13"/>
          <w:color w:val="auto"/>
        </w:rPr>
      </w:pPr>
    </w:p>
    <w:p>
      <w:pPr>
        <w:ind w:left="660" w:right="360" w:hanging="467"/>
        <w:spacing w:after="0" w:line="313"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system 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relapse prevention on our own with grant funding from the Skolkovo Foundation for our HPV program and NIDA for our nicotine program. We are developing our malaria program under a sponsored research arrangement with The Bill and Melinda Gates Foundation.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RISKS FACTORS</w:t>
      </w:r>
    </w:p>
    <w:p>
      <w:pPr>
        <w:spacing w:after="0" w:line="195" w:lineRule="exact"/>
        <w:rPr>
          <w:sz w:val="20"/>
          <w:szCs w:val="20"/>
          <w:color w:val="auto"/>
        </w:rPr>
      </w:pPr>
    </w:p>
    <w:p>
      <w:pPr>
        <w:ind w:left="200" w:right="380"/>
        <w:spacing w:after="0" w:line="282"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Some of these risks are:</w:t>
      </w:r>
    </w:p>
    <w:p>
      <w:pPr>
        <w:spacing w:after="0" w:line="162" w:lineRule="exact"/>
        <w:rPr>
          <w:sz w:val="20"/>
          <w:szCs w:val="20"/>
          <w:color w:val="auto"/>
        </w:rPr>
      </w:pPr>
    </w:p>
    <w:p>
      <w:pPr>
        <w:ind w:left="660" w:right="300" w:hanging="467"/>
        <w:spacing w:after="0" w:line="28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a development-stage company, have incurred significant losses since our inception, expect to incur losses for the foreseeable future and may never achieve or maintain profitability;</w:t>
      </w:r>
    </w:p>
    <w:p>
      <w:pPr>
        <w:spacing w:after="0" w:line="173" w:lineRule="exact"/>
        <w:rPr>
          <w:rFonts w:ascii="Arial" w:cs="Arial" w:eastAsia="Arial" w:hAnsi="Arial"/>
          <w:sz w:val="15"/>
          <w:szCs w:val="15"/>
          <w:color w:val="auto"/>
        </w:rPr>
      </w:pPr>
    </w:p>
    <w:p>
      <w:pPr>
        <w:ind w:left="660" w:right="400" w:hanging="467"/>
        <w:spacing w:after="0" w:line="362"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even if this offering is successful, we will need additional funding in order to complete development of our product candidates and commercialize our products, if approved, and if we are unable to raise capital when needed, we could be forced to delay, reduce or eliminate our product development programs or commercialization efforts;</w:t>
      </w:r>
    </w:p>
    <w:p>
      <w:pPr>
        <w:spacing w:after="0" w:line="116" w:lineRule="exact"/>
        <w:rPr>
          <w:rFonts w:ascii="Arial" w:cs="Arial" w:eastAsia="Arial" w:hAnsi="Arial"/>
          <w:sz w:val="13"/>
          <w:szCs w:val="13"/>
          <w:color w:val="auto"/>
        </w:rPr>
      </w:pPr>
    </w:p>
    <w:p>
      <w:pPr>
        <w:ind w:left="660" w:right="300" w:hanging="467"/>
        <w:spacing w:after="0" w:line="28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very early in our clinical development efforts and may not be successful in our efforts to use our SVP technology to build a pipeline of product candidates and develop marketable drugs;</w:t>
      </w:r>
    </w:p>
    <w:p>
      <w:pPr>
        <w:spacing w:after="0" w:line="162" w:lineRule="exact"/>
        <w:rPr>
          <w:rFonts w:ascii="Arial" w:cs="Arial" w:eastAsia="Arial" w:hAnsi="Arial"/>
          <w:sz w:val="15"/>
          <w:szCs w:val="15"/>
          <w:color w:val="auto"/>
        </w:rPr>
      </w:pPr>
    </w:p>
    <w:p>
      <w:pPr>
        <w:ind w:left="660" w:right="320" w:hanging="467"/>
        <w:spacing w:after="0" w:line="28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product candidates are based on our SVP technology, which is an unproven approach designed to induce antigen-specific immune tolerance to biologic drugs or stimulate the immune system;</w:t>
      </w:r>
    </w:p>
    <w:p>
      <w:pPr>
        <w:spacing w:after="0" w:line="173" w:lineRule="exact"/>
        <w:rPr>
          <w:rFonts w:ascii="Arial" w:cs="Arial" w:eastAsia="Arial" w:hAnsi="Arial"/>
          <w:sz w:val="15"/>
          <w:szCs w:val="15"/>
          <w:color w:val="auto"/>
        </w:rPr>
      </w:pPr>
    </w:p>
    <w:p>
      <w:pPr>
        <w:ind w:left="660" w:right="540" w:hanging="467"/>
        <w:spacing w:after="0" w:line="28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clinical drug development involves a lengthy and expensive process, with an uncertain outcome, and we may incur additional costs or experience delays in completing, or ultimately be unable to complete, the development and commercialization of our product candidates;</w:t>
      </w:r>
    </w:p>
    <w:p>
      <w:pPr>
        <w:spacing w:after="0" w:line="162" w:lineRule="exact"/>
        <w:rPr>
          <w:rFonts w:ascii="Arial" w:cs="Arial" w:eastAsia="Arial" w:hAnsi="Arial"/>
          <w:sz w:val="15"/>
          <w:szCs w:val="15"/>
          <w:color w:val="auto"/>
        </w:rPr>
      </w:pPr>
    </w:p>
    <w:p>
      <w:pPr>
        <w:ind w:left="660" w:right="320" w:hanging="467"/>
        <w:spacing w:after="0" w:line="297"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rely, and expect to continue to rely, on Shenyang Sunshine Pharmaceutical Co., Ltd., or 3SBio, in China for pegsiticase and other third parties for the manufacture of our product candidates for preclinical and clinical testing, which increases the risk that we will not have sufficient quantities of our product candidates or that such quantities may not be available at an acceptable cost, which could delay, prevent or impair our development or commercialization efforts;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374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53740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right="32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existing collaborations are important to our business and future licenses may also be important to us, and if we are unable to maintain any of these collaborations, or if these arrangements are not successful, our business could be adversely affected;</w:t>
      </w:r>
    </w:p>
    <w:p>
      <w:pPr>
        <w:spacing w:after="0" w:line="162" w:lineRule="exact"/>
        <w:rPr>
          <w:rFonts w:ascii="Arial" w:cs="Arial" w:eastAsia="Arial" w:hAnsi="Arial"/>
          <w:sz w:val="15"/>
          <w:szCs w:val="15"/>
          <w:color w:val="auto"/>
        </w:rPr>
      </w:pPr>
    </w:p>
    <w:p>
      <w:pPr>
        <w:ind w:left="660" w:right="30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are unable to adequately protect our proprietary technology, or obtain and maintain issued patents which are sufficient to protect our product candidates, others could compete against us more directly, which would negatively impact our business; and</w:t>
      </w:r>
    </w:p>
    <w:p>
      <w:pPr>
        <w:spacing w:after="0" w:line="162" w:lineRule="exact"/>
        <w:rPr>
          <w:rFonts w:ascii="Arial" w:cs="Arial" w:eastAsia="Arial" w:hAnsi="Arial"/>
          <w:sz w:val="15"/>
          <w:szCs w:val="15"/>
          <w:color w:val="auto"/>
        </w:rPr>
      </w:pPr>
    </w:p>
    <w:p>
      <w:pPr>
        <w:ind w:left="660" w:hanging="467"/>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future success depends on our ability to retain key executives and to attract, retain and motivate qualified personnel.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200" w:right="20"/>
        <w:spacing w:after="0" w:line="270" w:lineRule="auto"/>
        <w:rPr>
          <w:sz w:val="20"/>
          <w:szCs w:val="20"/>
          <w:color w:val="auto"/>
        </w:rPr>
      </w:pPr>
      <w:r>
        <w:rPr>
          <w:rFonts w:ascii="Arial" w:cs="Arial" w:eastAsia="Arial" w:hAnsi="Arial"/>
          <w:sz w:val="15"/>
          <w:szCs w:val="15"/>
          <w:color w:val="auto"/>
        </w:rPr>
        <w:t>As a company with less than $1.0 billion in revenue during our last fiscal year, we qualify as an "emerging growth company" as defined in the Jumpstart Our Business Startups Act, or JOBS Act, enacted in April 2012. An "emerging growth company" may take advantage of reduced reporting requirements that are otherwise applicable to public companies. These provisions include, but are not limited to:</w:t>
      </w:r>
    </w:p>
    <w:p>
      <w:pPr>
        <w:spacing w:after="0" w:line="182" w:lineRule="exact"/>
        <w:rPr>
          <w:sz w:val="20"/>
          <w:szCs w:val="20"/>
          <w:color w:val="auto"/>
        </w:rPr>
      </w:pPr>
    </w:p>
    <w:p>
      <w:pPr>
        <w:ind w:left="660" w:right="40" w:hanging="467"/>
        <w:spacing w:after="0" w:line="28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being permitted to present only two years of audited financial statements and only two years of related Management's discussion and analysis of financial condition and results of operations in this prospectus;</w:t>
      </w:r>
    </w:p>
    <w:p>
      <w:pPr>
        <w:spacing w:after="0" w:line="162" w:lineRule="exact"/>
        <w:rPr>
          <w:rFonts w:ascii="Arial" w:cs="Arial" w:eastAsia="Arial" w:hAnsi="Arial"/>
          <w:sz w:val="15"/>
          <w:szCs w:val="15"/>
          <w:color w:val="auto"/>
        </w:rPr>
      </w:pPr>
    </w:p>
    <w:p>
      <w:pPr>
        <w:ind w:left="660" w:hanging="467"/>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 of 2002, as amended;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proxy statements and registration statements; and</w:t>
      </w:r>
    </w:p>
    <w:p>
      <w:pPr>
        <w:spacing w:after="0" w:line="221" w:lineRule="exact"/>
        <w:rPr>
          <w:rFonts w:ascii="Arial" w:cs="Arial" w:eastAsia="Arial" w:hAnsi="Arial"/>
          <w:sz w:val="15"/>
          <w:szCs w:val="15"/>
          <w:color w:val="auto"/>
        </w:rPr>
      </w:pPr>
    </w:p>
    <w:p>
      <w:pPr>
        <w:ind w:left="660" w:right="600" w:hanging="467"/>
        <w:spacing w:after="0" w:line="28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ind w:left="200" w:right="60"/>
        <w:spacing w:after="0" w:line="270"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completion of this offering. However, if certain events occur prior to the end of such five-year period, including if we become a "large accelerated filer," our annual gross revenue exceeds $1.0 billion or we issue more than $1.0 billion of non-convertible debt in any three-year period, we will cease to be an emerging growth company prior to the end of such five-year period.</w:t>
      </w:r>
    </w:p>
    <w:p>
      <w:pPr>
        <w:spacing w:after="0" w:line="159" w:lineRule="exact"/>
        <w:rPr>
          <w:sz w:val="20"/>
          <w:szCs w:val="20"/>
          <w:color w:val="auto"/>
        </w:rPr>
      </w:pPr>
    </w:p>
    <w:p>
      <w:pPr>
        <w:ind w:left="200" w:right="240"/>
        <w:spacing w:after="0" w:line="270"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59" w:lineRule="exact"/>
        <w:rPr>
          <w:sz w:val="20"/>
          <w:szCs w:val="20"/>
          <w:color w:val="auto"/>
        </w:rPr>
      </w:pPr>
    </w:p>
    <w:p>
      <w:pPr>
        <w:ind w:left="200" w:right="60"/>
        <w:spacing w:after="0" w:line="270"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200"/>
        <w:spacing w:after="0" w:line="270" w:lineRule="auto"/>
        <w:rPr>
          <w:sz w:val="20"/>
          <w:szCs w:val="20"/>
          <w:color w:val="auto"/>
        </w:rPr>
      </w:pPr>
      <w:r>
        <w:rPr>
          <w:rFonts w:ascii="Arial" w:cs="Arial" w:eastAsia="Arial" w:hAnsi="Arial"/>
          <w:sz w:val="15"/>
          <w:szCs w:val="15"/>
          <w:color w:val="auto"/>
        </w:rPr>
        <w:t xml:space="preserve">We were incorporated under the laws of the state of Delaware in 2007. Our principal executive offices are located at 480 Arsenal Street, Building One, Watertown, Massachusetts 02472 and our telephone number is (617) 923-1400. Our website address is </w:t>
      </w:r>
      <w:r>
        <w:rPr>
          <w:rFonts w:ascii="Arial" w:cs="Arial" w:eastAsia="Arial" w:hAnsi="Arial"/>
          <w:sz w:val="15"/>
          <w:szCs w:val="15"/>
          <w:i w:val="1"/>
          <w:iCs w:val="1"/>
          <w:color w:val="auto"/>
        </w:rPr>
        <w:t>www.selectabio.com</w:t>
      </w:r>
      <w:r>
        <w:rPr>
          <w:rFonts w:ascii="Arial" w:cs="Arial" w:eastAsia="Arial" w:hAnsi="Arial"/>
          <w:sz w:val="15"/>
          <w:szCs w:val="15"/>
          <w:color w:val="auto"/>
        </w:rPr>
        <w:t>. The information contained in, or accessible through, our website does not constitute a part of this prospectus.</w:t>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5425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542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The offering</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stock</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offered by</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90"/>
        </w:trPr>
        <w:tc>
          <w:tcPr>
            <w:tcW w:w="920" w:type="dxa"/>
            <w:vAlign w:val="bottom"/>
          </w:tcPr>
          <w:p>
            <w:pPr>
              <w:ind w:left="140"/>
              <w:spacing w:after="0"/>
              <w:rPr>
                <w:sz w:val="20"/>
                <w:szCs w:val="20"/>
                <w:color w:val="auto"/>
              </w:rPr>
            </w:pPr>
            <w:r>
              <w:rPr>
                <w:rFonts w:ascii="Arial" w:cs="Arial" w:eastAsia="Arial" w:hAnsi="Arial"/>
                <w:sz w:val="15"/>
                <w:szCs w:val="15"/>
                <w:color w:val="auto"/>
              </w:rPr>
              <w:t>us</w:t>
            </w: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rPr>
              <w:t>5,000,000 shares (or 5,750,000 shares if the underwriters exercise their option to purchase additional shares in full).</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3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stock to be</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w w:val="97"/>
              </w:rPr>
              <w:t>outstanding</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after this</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90"/>
        </w:trPr>
        <w:tc>
          <w:tcPr>
            <w:tcW w:w="920" w:type="dxa"/>
            <w:vAlign w:val="bottom"/>
          </w:tcPr>
          <w:p>
            <w:pPr>
              <w:ind w:left="140"/>
              <w:spacing w:after="0"/>
              <w:rPr>
                <w:sz w:val="20"/>
                <w:szCs w:val="20"/>
                <w:color w:val="auto"/>
              </w:rPr>
            </w:pPr>
            <w:r>
              <w:rPr>
                <w:rFonts w:ascii="Arial" w:cs="Arial" w:eastAsia="Arial" w:hAnsi="Arial"/>
                <w:sz w:val="15"/>
                <w:szCs w:val="15"/>
                <w:color w:val="auto"/>
              </w:rPr>
              <w:t>offering</w:t>
            </w: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rPr>
              <w:t>17,899,586 shares (or 18,649,586 shares if the underwriters exercise their option to purchase additional shares in full).</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Use of</w:t>
            </w: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8"/>
              </w:rPr>
              <w:t>We estimate that the net proceeds to us from this offering, after deducting underwriting discounts and estimated offering expenses payable by us, will be</w:t>
            </w: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proceeds</w:t>
            </w: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3"/>
              </w:rPr>
              <w:t>approximately $61.2 million, or approximately $71.0 million if the underwriters exercise their option to purchase additional shares in full, based on the initial public</w:t>
            </w:r>
          </w:p>
        </w:tc>
      </w:tr>
      <w:tr>
        <w:trPr>
          <w:trHeight w:val="185"/>
        </w:trPr>
        <w:tc>
          <w:tcPr>
            <w:tcW w:w="920" w:type="dxa"/>
            <w:vAlign w:val="bottom"/>
          </w:tcPr>
          <w:p>
            <w:pPr>
              <w:spacing w:after="0"/>
              <w:rPr>
                <w:sz w:val="16"/>
                <w:szCs w:val="16"/>
                <w:color w:val="auto"/>
              </w:rPr>
            </w:pP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2"/>
              </w:rPr>
              <w:t>offering price of $14.00 per share. We expect that we will use the net proceeds from this offering to support the clinical development and manufacturing scale-up of</w:t>
            </w:r>
          </w:p>
        </w:tc>
      </w:tr>
      <w:tr>
        <w:trPr>
          <w:trHeight w:val="185"/>
        </w:trPr>
        <w:tc>
          <w:tcPr>
            <w:tcW w:w="920" w:type="dxa"/>
            <w:vAlign w:val="bottom"/>
          </w:tcPr>
          <w:p>
            <w:pPr>
              <w:spacing w:after="0"/>
              <w:rPr>
                <w:sz w:val="16"/>
                <w:szCs w:val="16"/>
                <w:color w:val="auto"/>
              </w:rPr>
            </w:pP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0"/>
              </w:rPr>
              <w:t>SEL-212, advance the development of our other SVP product candidates and for working capital and general corporate purposes. See "Use of proceeds" beginning on</w:t>
            </w:r>
          </w:p>
        </w:tc>
      </w:tr>
      <w:tr>
        <w:trPr>
          <w:trHeight w:val="190"/>
        </w:trPr>
        <w:tc>
          <w:tcPr>
            <w:tcW w:w="920" w:type="dxa"/>
            <w:vAlign w:val="bottom"/>
          </w:tcPr>
          <w:p>
            <w:pPr>
              <w:spacing w:after="0"/>
              <w:rPr>
                <w:sz w:val="16"/>
                <w:szCs w:val="16"/>
                <w:color w:val="auto"/>
              </w:rPr>
            </w:pP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rPr>
              <w:t>page 69.</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Directed</w:t>
            </w: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5"/>
              </w:rPr>
              <w:t>At our request, the underwriters have reserved up to 5% of the common stock being offered by this prospectus for sale at the initial public offering price to our</w:t>
            </w: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share</w:t>
            </w: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3"/>
              </w:rPr>
              <w:t>directors, officers, employees and other individuals associated with us and members of their families. These sales will be made by UBS Financial Services Inc., a</w:t>
            </w: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program</w:t>
            </w: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1"/>
              </w:rPr>
              <w:t>selected dealer affiliated with UBS Securities LLC, an underwriter of this offering, through a directed share program. We do not know if these persons will choose to</w:t>
            </w:r>
          </w:p>
        </w:tc>
      </w:tr>
      <w:tr>
        <w:trPr>
          <w:trHeight w:val="185"/>
        </w:trPr>
        <w:tc>
          <w:tcPr>
            <w:tcW w:w="920" w:type="dxa"/>
            <w:vAlign w:val="bottom"/>
          </w:tcPr>
          <w:p>
            <w:pPr>
              <w:spacing w:after="0"/>
              <w:rPr>
                <w:sz w:val="16"/>
                <w:szCs w:val="16"/>
                <w:color w:val="auto"/>
              </w:rPr>
            </w:pP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1"/>
              </w:rPr>
              <w:t>purchase all or any portion of these reserved shares, but any purchases they do make will reduce the number of shares available to the general public. Any reserved</w:t>
            </w:r>
          </w:p>
        </w:tc>
      </w:tr>
      <w:tr>
        <w:trPr>
          <w:trHeight w:val="185"/>
        </w:trPr>
        <w:tc>
          <w:tcPr>
            <w:tcW w:w="920" w:type="dxa"/>
            <w:vAlign w:val="bottom"/>
          </w:tcPr>
          <w:p>
            <w:pPr>
              <w:spacing w:after="0"/>
              <w:rPr>
                <w:sz w:val="16"/>
                <w:szCs w:val="16"/>
                <w:color w:val="auto"/>
              </w:rPr>
            </w:pP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0"/>
              </w:rPr>
              <w:t>shares not so purchased will be offered by the underwriters to the general public on the same terms as the other shares of common stock. Participants in the directed</w:t>
            </w:r>
          </w:p>
        </w:tc>
      </w:tr>
      <w:tr>
        <w:trPr>
          <w:trHeight w:val="185"/>
        </w:trPr>
        <w:tc>
          <w:tcPr>
            <w:tcW w:w="920" w:type="dxa"/>
            <w:vAlign w:val="bottom"/>
          </w:tcPr>
          <w:p>
            <w:pPr>
              <w:spacing w:after="0"/>
              <w:rPr>
                <w:sz w:val="16"/>
                <w:szCs w:val="16"/>
                <w:color w:val="auto"/>
              </w:rPr>
            </w:pP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1"/>
              </w:rPr>
              <w:t>share program who purchase more than $1,000,000 of shares shall be subject to a 25-day lock-up with respect to any shares sold to them pursuant to that program.</w:t>
            </w:r>
          </w:p>
        </w:tc>
      </w:tr>
      <w:tr>
        <w:trPr>
          <w:trHeight w:val="185"/>
        </w:trPr>
        <w:tc>
          <w:tcPr>
            <w:tcW w:w="920" w:type="dxa"/>
            <w:vAlign w:val="bottom"/>
          </w:tcPr>
          <w:p>
            <w:pPr>
              <w:spacing w:after="0"/>
              <w:rPr>
                <w:sz w:val="16"/>
                <w:szCs w:val="16"/>
                <w:color w:val="auto"/>
              </w:rPr>
            </w:pP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2"/>
              </w:rPr>
              <w:t>Any shares sold in the directed share program to our directors or executive officers shall be subject to a 180-day lock-up. All of these lock-up agreements will have</w:t>
            </w:r>
          </w:p>
        </w:tc>
      </w:tr>
      <w:tr>
        <w:trPr>
          <w:trHeight w:val="190"/>
        </w:trPr>
        <w:tc>
          <w:tcPr>
            <w:tcW w:w="920" w:type="dxa"/>
            <w:vAlign w:val="bottom"/>
          </w:tcPr>
          <w:p>
            <w:pPr>
              <w:spacing w:after="0"/>
              <w:rPr>
                <w:sz w:val="16"/>
                <w:szCs w:val="16"/>
                <w:color w:val="auto"/>
              </w:rPr>
            </w:pP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rPr>
              <w:t>similar restrictions to the lock-up agreements described herein. See "Shares eligible for future sale—Lock-up agreements."</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Risk factors</w:t>
            </w: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w w:val="95"/>
              </w:rPr>
              <w:t>See "Risk factors" beginning on page 14 and the other information included in this prospectus for a discussion of factors you should consider carefully before</w:t>
            </w:r>
          </w:p>
        </w:tc>
      </w:tr>
      <w:tr>
        <w:trPr>
          <w:trHeight w:val="190"/>
        </w:trPr>
        <w:tc>
          <w:tcPr>
            <w:tcW w:w="920" w:type="dxa"/>
            <w:vAlign w:val="bottom"/>
          </w:tcPr>
          <w:p>
            <w:pPr>
              <w:spacing w:after="0"/>
              <w:rPr>
                <w:sz w:val="16"/>
                <w:szCs w:val="16"/>
                <w:color w:val="auto"/>
              </w:rPr>
            </w:pP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rPr>
              <w:t>deciding to invest in our common stock.</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NASDAQ</w:t>
            </w:r>
          </w:p>
        </w:tc>
        <w:tc>
          <w:tcPr>
            <w:tcW w:w="3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Global</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Market</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90"/>
        </w:trPr>
        <w:tc>
          <w:tcPr>
            <w:tcW w:w="920" w:type="dxa"/>
            <w:vAlign w:val="bottom"/>
          </w:tcPr>
          <w:p>
            <w:pPr>
              <w:ind w:left="140"/>
              <w:spacing w:after="0"/>
              <w:rPr>
                <w:sz w:val="20"/>
                <w:szCs w:val="20"/>
                <w:color w:val="auto"/>
              </w:rPr>
            </w:pPr>
            <w:r>
              <w:rPr>
                <w:rFonts w:ascii="Arial" w:cs="Arial" w:eastAsia="Arial" w:hAnsi="Arial"/>
                <w:sz w:val="15"/>
                <w:szCs w:val="15"/>
                <w:color w:val="auto"/>
              </w:rPr>
              <w:t>symbol</w:t>
            </w:r>
          </w:p>
        </w:tc>
        <w:tc>
          <w:tcPr>
            <w:tcW w:w="10060" w:type="dxa"/>
            <w:vAlign w:val="bottom"/>
            <w:gridSpan w:val="3"/>
          </w:tcPr>
          <w:p>
            <w:pPr>
              <w:ind w:left="80"/>
              <w:spacing w:after="0"/>
              <w:rPr>
                <w:sz w:val="20"/>
                <w:szCs w:val="20"/>
                <w:color w:val="auto"/>
              </w:rPr>
            </w:pPr>
            <w:r>
              <w:rPr>
                <w:rFonts w:ascii="Arial" w:cs="Arial" w:eastAsia="Arial" w:hAnsi="Arial"/>
                <w:sz w:val="15"/>
                <w:szCs w:val="15"/>
                <w:color w:val="auto"/>
              </w:rPr>
              <w:t>"SELB"</w:t>
            </w:r>
          </w:p>
        </w:tc>
      </w:tr>
      <w:tr>
        <w:trPr>
          <w:trHeight w:val="188"/>
        </w:trPr>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4020" w:type="dxa"/>
            <w:vAlign w:val="bottom"/>
          </w:tcPr>
          <w:p>
            <w:pPr>
              <w:spacing w:after="0"/>
              <w:rPr>
                <w:sz w:val="16"/>
                <w:szCs w:val="16"/>
                <w:color w:val="auto"/>
              </w:rPr>
            </w:pPr>
          </w:p>
        </w:tc>
      </w:tr>
    </w:tbl>
    <w:p>
      <w:pPr>
        <w:spacing w:after="0" w:line="200" w:lineRule="exact"/>
        <w:rPr>
          <w:sz w:val="20"/>
          <w:szCs w:val="20"/>
          <w:color w:val="auto"/>
        </w:rPr>
      </w:pPr>
    </w:p>
    <w:p>
      <w:pPr>
        <w:spacing w:after="0" w:line="256" w:lineRule="exact"/>
        <w:rPr>
          <w:sz w:val="20"/>
          <w:szCs w:val="20"/>
          <w:color w:val="auto"/>
        </w:rPr>
      </w:pPr>
    </w:p>
    <w:p>
      <w:pPr>
        <w:ind w:left="200" w:right="320"/>
        <w:spacing w:after="0" w:line="297" w:lineRule="auto"/>
        <w:rPr>
          <w:sz w:val="20"/>
          <w:szCs w:val="20"/>
          <w:color w:val="auto"/>
        </w:rPr>
      </w:pPr>
      <w:r>
        <w:rPr>
          <w:rFonts w:ascii="Arial" w:cs="Arial" w:eastAsia="Arial" w:hAnsi="Arial"/>
          <w:sz w:val="14"/>
          <w:szCs w:val="14"/>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558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55581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460"/>
        <w:spacing w:after="0" w:line="282" w:lineRule="auto"/>
        <w:rPr>
          <w:sz w:val="20"/>
          <w:szCs w:val="20"/>
          <w:color w:val="auto"/>
        </w:rPr>
      </w:pPr>
      <w:r>
        <w:rPr>
          <w:rFonts w:ascii="Arial" w:cs="Arial" w:eastAsia="Arial" w:hAnsi="Arial"/>
          <w:sz w:val="15"/>
          <w:szCs w:val="15"/>
          <w:color w:val="auto"/>
        </w:rPr>
        <w:t>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51" w:lineRule="exact"/>
        <w:rPr>
          <w:sz w:val="20"/>
          <w:szCs w:val="20"/>
          <w:color w:val="auto"/>
        </w:rPr>
      </w:pPr>
    </w:p>
    <w:p>
      <w:pPr>
        <w:ind w:left="200" w:right="220"/>
        <w:spacing w:after="0" w:line="270" w:lineRule="auto"/>
        <w:rPr>
          <w:sz w:val="20"/>
          <w:szCs w:val="20"/>
          <w:color w:val="auto"/>
        </w:rPr>
      </w:pPr>
      <w:r>
        <w:rPr>
          <w:rFonts w:ascii="Arial" w:cs="Arial" w:eastAsia="Arial" w:hAnsi="Arial"/>
          <w:sz w:val="15"/>
          <w:szCs w:val="15"/>
          <w:color w:val="auto"/>
        </w:rPr>
        <w:t>The number of shares of our common stock to be outstanding after this offering is based on 2,773,468 shares of our common stock outstanding as of May 31, 2016, which included 4,415 shares of unvested restricted stock and gives effect to the conversion of our outstanding preferred stock into 10,126,118 shares of common stock, based on the initial public offering price of $14.00 per share, upon the closing of this offering, and excludes:</w:t>
      </w:r>
    </w:p>
    <w:p>
      <w:pPr>
        <w:spacing w:after="0" w:line="182" w:lineRule="exact"/>
        <w:rPr>
          <w:sz w:val="20"/>
          <w:szCs w:val="20"/>
          <w:color w:val="auto"/>
        </w:rPr>
      </w:pPr>
    </w:p>
    <w:p>
      <w:pPr>
        <w:ind w:left="660" w:hanging="467"/>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1,723,704 shares of common stock issuable upon exercise of stock options outstanding as of May 31, 2016, at a weighted average exercise price of $4.92 per share;</w:t>
      </w:r>
    </w:p>
    <w:p>
      <w:pPr>
        <w:spacing w:after="0" w:line="221" w:lineRule="exact"/>
        <w:rPr>
          <w:rFonts w:ascii="Arial" w:cs="Arial" w:eastAsia="Arial" w:hAnsi="Arial"/>
          <w:sz w:val="14"/>
          <w:szCs w:val="14"/>
          <w:color w:val="auto"/>
        </w:rPr>
      </w:pPr>
    </w:p>
    <w:p>
      <w:pPr>
        <w:ind w:left="660" w:right="140" w:hanging="467"/>
        <w:spacing w:after="0" w:line="319"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113,795 shares of common stock issuable upon the exercise of warrants outstanding as of May 31, 2016, including outstanding warrants to purchase shares of preferred stock that will become warrants to purchase common stock upon the closing of this offering, at a weighted average exercise price of $16.60 per share;</w:t>
      </w:r>
    </w:p>
    <w:p>
      <w:pPr>
        <w:spacing w:after="0" w:line="139" w:lineRule="exact"/>
        <w:rPr>
          <w:rFonts w:ascii="Arial" w:cs="Arial" w:eastAsia="Arial" w:hAnsi="Arial"/>
          <w:sz w:val="14"/>
          <w:szCs w:val="14"/>
          <w:color w:val="auto"/>
        </w:rPr>
      </w:pPr>
    </w:p>
    <w:p>
      <w:pPr>
        <w:ind w:left="660" w:hanging="467"/>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10,163 shares of our common stock available for future issuance under our 2008 Equity Incentive Plan;</w:t>
      </w:r>
    </w:p>
    <w:p>
      <w:pPr>
        <w:spacing w:after="0" w:line="221" w:lineRule="exact"/>
        <w:rPr>
          <w:rFonts w:ascii="Arial" w:cs="Arial" w:eastAsia="Arial" w:hAnsi="Arial"/>
          <w:sz w:val="15"/>
          <w:szCs w:val="15"/>
          <w:color w:val="auto"/>
        </w:rPr>
      </w:pPr>
    </w:p>
    <w:p>
      <w:pPr>
        <w:ind w:left="660" w:hanging="467"/>
        <w:spacing w:after="0" w:line="270"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390,796 shares of common stock issuable upon the exercise of stock options granted in connection with this offering under our 2016 Incentive Award Plan, or the 2016 Plan, which became effective in connection with this offering, to some of our executive officers and employees, at an exercise price per share equal to the initial public offering price in this offering;</w:t>
      </w:r>
    </w:p>
    <w:p>
      <w:pPr>
        <w:spacing w:after="0" w:line="170" w:lineRule="exact"/>
        <w:rPr>
          <w:rFonts w:ascii="Arial" w:cs="Arial" w:eastAsia="Arial" w:hAnsi="Arial"/>
          <w:sz w:val="15"/>
          <w:szCs w:val="15"/>
          <w:color w:val="auto"/>
        </w:rPr>
      </w:pPr>
    </w:p>
    <w:p>
      <w:pPr>
        <w:ind w:left="660" w:right="440" w:hanging="467"/>
        <w:spacing w:after="0" w:line="270"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819,460 shares of our common stock available for future issuance under our 2016 Plan, which became effective in connection with this offering, as well as shares of our common stock that become available pursuant to provisions in our 2016 Plan on January 1 of each subsequent calendar year as described in "Executive and director compensation—Incentive plans—2016 Incentive Award Plan"; and</w:t>
      </w:r>
    </w:p>
    <w:p>
      <w:pPr>
        <w:spacing w:after="0" w:line="170" w:lineRule="exact"/>
        <w:rPr>
          <w:rFonts w:ascii="Arial" w:cs="Arial" w:eastAsia="Arial" w:hAnsi="Arial"/>
          <w:sz w:val="15"/>
          <w:szCs w:val="15"/>
          <w:color w:val="auto"/>
        </w:rPr>
      </w:pPr>
    </w:p>
    <w:p>
      <w:pPr>
        <w:ind w:left="660" w:right="20" w:hanging="467"/>
        <w:spacing w:after="0" w:line="330"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173,076 shares of our common stock reserved for future issuance under our 2016 Employee Stock Purchase Plan, or the 2016 ESPP, which became effective in connection with this offering, as well as shares of our common stock that become available pursuant to provisions in our 2016 ESPP that automatically increase the share reserve under our 2016 ESPP on January 1 of each subsequent calendar year as described in "Executive and director compensation—Incentive plans—2016 Employee Stock Purchase Plan."</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Unless otherwise indicated, this prospectus reflects and assumes the following:</w:t>
      </w:r>
    </w:p>
    <w:p>
      <w:pPr>
        <w:spacing w:after="0" w:line="221" w:lineRule="exact"/>
        <w:rPr>
          <w:sz w:val="20"/>
          <w:szCs w:val="20"/>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1-for-3.9 reverse stock split of our common stock effected on June 7, 2016;</w:t>
      </w:r>
    </w:p>
    <w:p>
      <w:pPr>
        <w:spacing w:after="0" w:line="209" w:lineRule="exact"/>
        <w:rPr>
          <w:rFonts w:ascii="Arial" w:cs="Arial" w:eastAsia="Arial" w:hAnsi="Arial"/>
          <w:sz w:val="15"/>
          <w:szCs w:val="15"/>
          <w:color w:val="auto"/>
        </w:rPr>
      </w:pPr>
    </w:p>
    <w:p>
      <w:pPr>
        <w:ind w:left="660" w:right="180" w:hanging="467"/>
        <w:spacing w:after="0" w:line="282"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automatic conversion of all shares of our preferred stock outstanding into common stock upon closing of this offering, which, based on the initial public offering price of $14.00 per share, will result in the issuance of 10,126,118 shares of our common stock;</w:t>
      </w:r>
    </w:p>
    <w:p>
      <w:pPr>
        <w:spacing w:after="0" w:line="162" w:lineRule="exact"/>
        <w:rPr>
          <w:rFonts w:ascii="Arial" w:cs="Arial" w:eastAsia="Arial" w:hAnsi="Arial"/>
          <w:sz w:val="15"/>
          <w:szCs w:val="15"/>
          <w:color w:val="auto"/>
        </w:rPr>
      </w:pPr>
    </w:p>
    <w:p>
      <w:pPr>
        <w:ind w:left="660" w:right="320" w:hanging="467"/>
        <w:spacing w:after="0" w:line="29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outstanding warrants to purchase shares of our series D preferred stock becoming warrants to purchase shares of our common stock upon the closing of this offering, and outstanding warrants to purchase shares of our series E preferred stock becoming warrants to purchase 15,094 shares of our common stock, at a weighted average exercise price of $11.32 per share of common stock, based on the initial public offering price of $14.00 per share, upon the closing of this offering;</w:t>
      </w:r>
    </w:p>
    <w:p>
      <w:pPr>
        <w:spacing w:after="0" w:line="166" w:lineRule="exact"/>
        <w:rPr>
          <w:rFonts w:ascii="Arial" w:cs="Arial" w:eastAsia="Arial" w:hAnsi="Arial"/>
          <w:sz w:val="14"/>
          <w:szCs w:val="14"/>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 exercise of outstanding options or warrants after May 31, 2016;</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filing of our restated certificate of incorporation and the adoption of our restated bylaws, which will occur upon the closing of this offering; and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1829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182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Summary consolidated financial data</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tables set forth, for the periods and as of the dates indicated, our summary consolidated financial data. You should read the following information together with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more detailed information contained in "Selected consolidated financial data," "Management's discussion and analysis of financial condition and results of operations" and our</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consolidated financial statements and the related notes included elsewhere in this prospectus. We have derived the consolidated statements of operations data for the years ended</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December 31, 2014 and 2015 from our audited consolidated financial statements included elsewhere in this prospectus. The consolidated statement of operations data for the</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three months ended March 31, 2015 and 2016 and the consolidated balance sheet data as of March 31, 2016 have been derived from our unaudited condensed consolidated financial</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statements appearing at the end of this prospectus and have been prepared on the same basis as the audited consolidated financial statements. In the opinion of management, the</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unaudited data reflects all adjustments, consisting only of normal recurring adjustments, necessary for a fair presentation of the financial information in those statements. Our</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historical results are not necessarily indicative of the results that should be expected in the future, and results for the three months ended March 31, 2016 are not necessarily indicative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of the results to be expected for the full year ending December 31, 2016.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314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53149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2" w:lineRule="exact"/>
        <w:rPr>
          <w:sz w:val="20"/>
          <w:szCs w:val="20"/>
          <w:color w:val="auto"/>
        </w:rPr>
      </w:pPr>
    </w:p>
    <w:tbl>
      <w:tblPr>
        <w:tblLayout w:type="fixed"/>
        <w:tblInd w:w="130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8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Years ended 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82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82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08"/>
        </w:trPr>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240"/>
              <w:spacing w:after="0" w:line="109" w:lineRule="exact"/>
              <w:rPr>
                <w:sz w:val="20"/>
                <w:szCs w:val="20"/>
                <w:color w:val="auto"/>
              </w:rPr>
            </w:pPr>
            <w:r>
              <w:rPr>
                <w:rFonts w:ascii="Arial" w:cs="Arial" w:eastAsia="Arial" w:hAnsi="Arial"/>
                <w:sz w:val="12"/>
                <w:szCs w:val="12"/>
                <w:b w:val="1"/>
                <w:bCs w:val="1"/>
                <w:color w:val="auto"/>
                <w:w w:val="91"/>
              </w:rPr>
              <w:t>(unaudited)</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jc w:val="right"/>
              <w:ind w:right="106"/>
              <w:spacing w:after="0" w:line="109" w:lineRule="exact"/>
              <w:rPr>
                <w:sz w:val="20"/>
                <w:szCs w:val="20"/>
                <w:color w:val="auto"/>
              </w:rPr>
            </w:pPr>
            <w:r>
              <w:rPr>
                <w:rFonts w:ascii="Arial" w:cs="Arial" w:eastAsia="Arial" w:hAnsi="Arial"/>
                <w:sz w:val="12"/>
                <w:szCs w:val="12"/>
                <w:b w:val="1"/>
                <w:bCs w:val="1"/>
                <w:color w:val="auto"/>
                <w:w w:val="91"/>
              </w:rPr>
              <w:t>(unaudited)</w:t>
            </w:r>
          </w:p>
        </w:tc>
        <w:tc>
          <w:tcPr>
            <w:tcW w:w="140" w:type="dxa"/>
            <w:vAlign w:val="bottom"/>
          </w:tcPr>
          <w:p>
            <w:pPr>
              <w:spacing w:after="0"/>
              <w:rPr>
                <w:sz w:val="9"/>
                <w:szCs w:val="9"/>
                <w:color w:val="auto"/>
              </w:rPr>
            </w:pPr>
          </w:p>
        </w:tc>
      </w:tr>
      <w:tr>
        <w:trPr>
          <w:trHeight w:val="138"/>
        </w:trPr>
        <w:tc>
          <w:tcPr>
            <w:tcW w:w="8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12"/>
          </w:tcPr>
          <w:p>
            <w:pPr>
              <w:jc w:val="right"/>
              <w:spacing w:after="0"/>
              <w:rPr>
                <w:sz w:val="20"/>
                <w:szCs w:val="20"/>
                <w:color w:val="auto"/>
              </w:rPr>
            </w:pPr>
            <w:r>
              <w:rPr>
                <w:rFonts w:ascii="Arial" w:cs="Arial" w:eastAsia="Arial" w:hAnsi="Arial"/>
                <w:sz w:val="12"/>
                <w:szCs w:val="12"/>
                <w:b w:val="1"/>
                <w:bCs w:val="1"/>
                <w:color w:val="auto"/>
              </w:rPr>
              <w:t>(in thousands, except share and per share data)</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4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40" w:type="dxa"/>
            <w:vAlign w:val="bottom"/>
            <w:shd w:val="clear" w:color="auto" w:fill="CCEEFF"/>
          </w:tcPr>
          <w:p>
            <w:pPr>
              <w:spacing w:after="0"/>
              <w:rPr>
                <w:sz w:val="16"/>
                <w:szCs w:val="16"/>
                <w:color w:val="auto"/>
              </w:rPr>
            </w:pPr>
          </w:p>
        </w:tc>
      </w:tr>
      <w:tr>
        <w:trPr>
          <w:trHeight w:val="185"/>
        </w:trPr>
        <w:tc>
          <w:tcPr>
            <w:tcW w:w="460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4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CEEFF"/>
          </w:tcPr>
          <w:p>
            <w:pPr>
              <w:spacing w:after="0"/>
              <w:rPr>
                <w:sz w:val="16"/>
                <w:szCs w:val="16"/>
                <w:color w:val="auto"/>
              </w:rPr>
            </w:pPr>
          </w:p>
        </w:tc>
      </w:tr>
      <w:tr>
        <w:trPr>
          <w:trHeight w:val="185"/>
        </w:trPr>
        <w:tc>
          <w:tcPr>
            <w:tcW w:w="460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w:t>
            </w:r>
          </w:p>
        </w:tc>
        <w:tc>
          <w:tcPr>
            <w:tcW w:w="140" w:type="dxa"/>
            <w:vAlign w:val="bottom"/>
          </w:tcPr>
          <w:p>
            <w:pPr>
              <w:spacing w:after="0"/>
              <w:rPr>
                <w:sz w:val="16"/>
                <w:szCs w:val="16"/>
                <w:color w:val="auto"/>
              </w:rPr>
            </w:pPr>
          </w:p>
        </w:tc>
      </w:tr>
      <w:tr>
        <w:trPr>
          <w:trHeight w:val="177"/>
        </w:trPr>
        <w:tc>
          <w:tcPr>
            <w:tcW w:w="4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9,029</w:t>
            </w:r>
          </w:p>
        </w:tc>
        <w:tc>
          <w:tcPr>
            <w:tcW w:w="140" w:type="dxa"/>
            <w:vAlign w:val="bottom"/>
            <w:shd w:val="clear" w:color="auto" w:fill="CCEEFF"/>
          </w:tcPr>
          <w:p>
            <w:pPr>
              <w:spacing w:after="0"/>
              <w:rPr>
                <w:sz w:val="15"/>
                <w:szCs w:val="15"/>
                <w:color w:val="auto"/>
              </w:rPr>
            </w:pPr>
          </w:p>
        </w:tc>
      </w:tr>
      <w:tr>
        <w:trPr>
          <w:trHeight w:val="185"/>
        </w:trPr>
        <w:tc>
          <w:tcPr>
            <w:tcW w:w="460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(15,399)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(25,304)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(5,810)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(6,941)</w:t>
            </w:r>
          </w:p>
        </w:tc>
      </w:tr>
      <w:tr>
        <w:trPr>
          <w:trHeight w:val="185"/>
        </w:trPr>
        <w:tc>
          <w:tcPr>
            <w:tcW w:w="4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600" w:type="dxa"/>
            <w:vAlign w:val="bottom"/>
            <w:gridSpan w:val="2"/>
          </w:tcPr>
          <w:p>
            <w:pPr>
              <w:spacing w:after="0"/>
              <w:rPr>
                <w:sz w:val="20"/>
                <w:szCs w:val="20"/>
                <w:color w:val="auto"/>
              </w:rPr>
            </w:pPr>
            <w:r>
              <w:rPr>
                <w:rFonts w:ascii="Arial" w:cs="Arial" w:eastAsia="Arial" w:hAnsi="Arial"/>
                <w:sz w:val="15"/>
                <w:szCs w:val="15"/>
                <w:color w:val="auto"/>
              </w:rPr>
              <w:t>Investment income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6"/>
                <w:szCs w:val="16"/>
                <w:color w:val="auto"/>
              </w:rPr>
            </w:pPr>
          </w:p>
        </w:tc>
      </w:tr>
      <w:tr>
        <w:trPr>
          <w:trHeight w:val="185"/>
        </w:trPr>
        <w:tc>
          <w:tcPr>
            <w:tcW w:w="4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(loss) gain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(220)</w:t>
            </w:r>
          </w:p>
        </w:tc>
      </w:tr>
      <w:tr>
        <w:trPr>
          <w:trHeight w:val="185"/>
        </w:trPr>
        <w:tc>
          <w:tcPr>
            <w:tcW w:w="460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(552)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(948)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(179)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(310)</w:t>
            </w:r>
          </w:p>
        </w:tc>
      </w:tr>
      <w:tr>
        <w:trPr>
          <w:trHeight w:val="185"/>
        </w:trPr>
        <w:tc>
          <w:tcPr>
            <w:tcW w:w="4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expense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w:t>
            </w:r>
          </w:p>
        </w:tc>
      </w:tr>
      <w:tr>
        <w:trPr>
          <w:trHeight w:val="177"/>
        </w:trPr>
        <w:tc>
          <w:tcPr>
            <w:tcW w:w="4600" w:type="dxa"/>
            <w:vAlign w:val="bottom"/>
            <w:gridSpan w:val="2"/>
          </w:tcPr>
          <w:p>
            <w:pPr>
              <w:spacing w:after="0"/>
              <w:rPr>
                <w:sz w:val="20"/>
                <w:szCs w:val="20"/>
                <w:color w:val="auto"/>
              </w:rPr>
            </w:pPr>
            <w:r>
              <w:rPr>
                <w:rFonts w:ascii="Arial" w:cs="Arial" w:eastAsia="Arial" w:hAnsi="Arial"/>
                <w:sz w:val="15"/>
                <w:szCs w:val="15"/>
                <w:color w:val="auto"/>
              </w:rPr>
              <w:t>Total other income (expense), net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(535)</w:t>
            </w:r>
          </w:p>
        </w:tc>
        <w:tc>
          <w:tcPr>
            <w:tcW w:w="140" w:type="dxa"/>
            <w:vAlign w:val="bottom"/>
          </w:tcPr>
          <w:p>
            <w:pPr>
              <w:spacing w:after="0"/>
              <w:rPr>
                <w:sz w:val="15"/>
                <w:szCs w:val="15"/>
                <w:color w:val="auto"/>
              </w:rPr>
            </w:pPr>
          </w:p>
        </w:tc>
      </w:tr>
      <w:tr>
        <w:trPr>
          <w:trHeight w:val="177"/>
        </w:trPr>
        <w:tc>
          <w:tcPr>
            <w:tcW w:w="4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(25,174)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(7,476)</w:t>
            </w:r>
          </w:p>
        </w:tc>
      </w:tr>
      <w:tr>
        <w:trPr>
          <w:trHeight w:val="185"/>
        </w:trPr>
        <w:tc>
          <w:tcPr>
            <w:tcW w:w="4600" w:type="dxa"/>
            <w:vAlign w:val="bottom"/>
            <w:gridSpan w:val="2"/>
          </w:tcPr>
          <w:p>
            <w:pPr>
              <w:spacing w:after="0"/>
              <w:rPr>
                <w:sz w:val="20"/>
                <w:szCs w:val="20"/>
                <w:color w:val="auto"/>
              </w:rPr>
            </w:pPr>
            <w:r>
              <w:rPr>
                <w:rFonts w:ascii="Arial" w:cs="Arial" w:eastAsia="Arial" w:hAnsi="Arial"/>
                <w:sz w:val="15"/>
                <w:szCs w:val="15"/>
                <w:color w:val="auto"/>
              </w:rPr>
              <w:t>Accretion of redeemable convertible preferred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(7,335)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(2,356)</w:t>
            </w:r>
          </w:p>
        </w:tc>
      </w:tr>
      <w:tr>
        <w:trPr>
          <w:trHeight w:val="178"/>
        </w:trPr>
        <w:tc>
          <w:tcPr>
            <w:tcW w:w="4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effect of extinguishment of Series SRN redeemable convertible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46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preferred stock</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460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(9,832)</w:t>
            </w:r>
          </w:p>
        </w:tc>
        <w:tc>
          <w:tcPr>
            <w:tcW w:w="14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0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60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22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(7.84)</w:t>
            </w: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(15.13)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(3.43)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(4.52)</w:t>
            </w:r>
          </w:p>
        </w:tc>
      </w:tr>
      <w:tr>
        <w:trPr>
          <w:trHeight w:val="20"/>
        </w:trPr>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0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60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2,090,677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60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Pro forma net loss per share attributable to common stockholders</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6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60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(2.51)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(0.58)</w:t>
            </w:r>
          </w:p>
        </w:tc>
      </w:tr>
      <w:tr>
        <w:trPr>
          <w:trHeight w:val="20"/>
        </w:trPr>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60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1"/>
              </w:rPr>
              <w:t>Pro forma weighted average common shares of common stock outstanding</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6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60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10,057,351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12,868,461</w:t>
            </w:r>
          </w:p>
        </w:tc>
        <w:tc>
          <w:tcPr>
            <w:tcW w:w="14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82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760" w:right="120" w:hanging="463"/>
        <w:spacing w:after="0" w:line="238" w:lineRule="auto"/>
        <w:tabs>
          <w:tab w:leader="none" w:pos="17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96" w:lineRule="exact"/>
        <w:rPr>
          <w:rFonts w:ascii="Arial" w:cs="Arial" w:eastAsia="Arial" w:hAnsi="Arial"/>
          <w:sz w:val="12"/>
          <w:szCs w:val="12"/>
          <w:color w:val="auto"/>
        </w:rPr>
      </w:pPr>
    </w:p>
    <w:p>
      <w:pPr>
        <w:ind w:left="1760" w:hanging="463"/>
        <w:spacing w:after="0" w:line="282" w:lineRule="auto"/>
        <w:tabs>
          <w:tab w:leader="none" w:pos="17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 upon closing of this offering, which, based on the initial public offering price of $14.00 per share, will result in the issuance of 10,126,118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15,094 shares of our common stock, at a weighted average exercise price of $11.32 per share of common stock, based on the initial public offering price of $14.00 per share, upon the closing of this offering and (iii) the automatic cashless exercise of warrants, or the series E common warrants, for 567,306 shares of our common stock.</w:t>
      </w: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00"/>
          </w:cols>
          <w:pgMar w:left="240" w:top="132" w:right="45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260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6085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balance sheet data:</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As of March 31, 2016</w:t>
            </w: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9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gridSpan w:val="2"/>
          </w:tcPr>
          <w:p>
            <w:pPr>
              <w:jc w:val="center"/>
              <w:ind w:left="9"/>
              <w:spacing w:after="0" w:line="121" w:lineRule="exact"/>
              <w:rPr>
                <w:sz w:val="20"/>
                <w:szCs w:val="20"/>
                <w:color w:val="auto"/>
              </w:rPr>
            </w:pPr>
            <w:r>
              <w:rPr>
                <w:rFonts w:ascii="Arial" w:cs="Arial" w:eastAsia="Arial" w:hAnsi="Arial"/>
                <w:sz w:val="12"/>
                <w:szCs w:val="12"/>
                <w:b w:val="1"/>
                <w:bCs w:val="1"/>
                <w:color w:val="auto"/>
              </w:rPr>
              <w:t>Pro forma as</w:t>
            </w:r>
          </w:p>
        </w:tc>
        <w:tc>
          <w:tcPr>
            <w:tcW w:w="140" w:type="dxa"/>
            <w:vAlign w:val="bottom"/>
          </w:tcPr>
          <w:p>
            <w:pPr>
              <w:spacing w:after="0"/>
              <w:rPr>
                <w:sz w:val="10"/>
                <w:szCs w:val="10"/>
                <w:color w:val="auto"/>
              </w:rPr>
            </w:pPr>
          </w:p>
        </w:tc>
      </w:tr>
      <w:tr>
        <w:trPr>
          <w:trHeight w:val="167"/>
        </w:trPr>
        <w:tc>
          <w:tcPr>
            <w:tcW w:w="9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29"/>
              <w:spacing w:after="0"/>
              <w:rPr>
                <w:sz w:val="20"/>
                <w:szCs w:val="20"/>
                <w:color w:val="auto"/>
              </w:rPr>
            </w:pPr>
            <w:r>
              <w:rPr>
                <w:rFonts w:ascii="Arial" w:cs="Arial" w:eastAsia="Arial" w:hAnsi="Arial"/>
                <w:sz w:val="12"/>
                <w:szCs w:val="12"/>
                <w:b w:val="1"/>
                <w:bCs w:val="1"/>
                <w:color w:val="auto"/>
              </w:rPr>
              <w:t>Actual</w:t>
            </w:r>
          </w:p>
        </w:tc>
        <w:tc>
          <w:tcPr>
            <w:tcW w:w="940" w:type="dxa"/>
            <w:vAlign w:val="bottom"/>
            <w:gridSpan w:val="2"/>
          </w:tcPr>
          <w:p>
            <w:pPr>
              <w:jc w:val="right"/>
              <w:ind w:right="50"/>
              <w:spacing w:after="0"/>
              <w:rPr>
                <w:sz w:val="20"/>
                <w:szCs w:val="20"/>
                <w:color w:val="auto"/>
              </w:rPr>
            </w:pPr>
            <w:r>
              <w:rPr>
                <w:rFonts w:ascii="Arial" w:cs="Arial" w:eastAsia="Arial" w:hAnsi="Arial"/>
                <w:sz w:val="12"/>
                <w:szCs w:val="12"/>
                <w:b w:val="1"/>
                <w:bCs w:val="1"/>
                <w:color w:val="auto"/>
              </w:rPr>
              <w:t>Pro forma(1)</w:t>
            </w:r>
          </w:p>
        </w:tc>
        <w:tc>
          <w:tcPr>
            <w:tcW w:w="10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adjusted(2)</w:t>
            </w:r>
          </w:p>
        </w:tc>
      </w:tr>
      <w:tr>
        <w:trPr>
          <w:trHeight w:val="113"/>
        </w:trPr>
        <w:tc>
          <w:tcPr>
            <w:tcW w:w="900" w:type="dxa"/>
            <w:vAlign w:val="bottom"/>
            <w:tcBorders>
              <w:top w:val="single" w:sz="8" w:color="auto"/>
            </w:tcBorders>
          </w:tcPr>
          <w:p>
            <w:pPr>
              <w:spacing w:after="0"/>
              <w:rPr>
                <w:sz w:val="9"/>
                <w:szCs w:val="9"/>
                <w:color w:val="auto"/>
              </w:rPr>
            </w:pPr>
          </w:p>
        </w:tc>
        <w:tc>
          <w:tcPr>
            <w:tcW w:w="360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110"/>
              <w:spacing w:after="0" w:line="113" w:lineRule="exact"/>
              <w:rPr>
                <w:sz w:val="20"/>
                <w:szCs w:val="20"/>
                <w:color w:val="auto"/>
              </w:rPr>
            </w:pPr>
            <w:r>
              <w:rPr>
                <w:rFonts w:ascii="Arial" w:cs="Arial" w:eastAsia="Arial" w:hAnsi="Arial"/>
                <w:sz w:val="12"/>
                <w:szCs w:val="12"/>
                <w:b w:val="1"/>
                <w:bCs w:val="1"/>
                <w:color w:val="auto"/>
                <w:w w:val="91"/>
              </w:rPr>
              <w:t>(unaudited)</w:t>
            </w: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28"/>
              <w:spacing w:after="0" w:line="113"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r>
      <w:tr>
        <w:trPr>
          <w:trHeight w:val="138"/>
        </w:trPr>
        <w:tc>
          <w:tcPr>
            <w:tcW w:w="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30"/>
              <w:spacing w:after="0"/>
              <w:rPr>
                <w:sz w:val="20"/>
                <w:szCs w:val="20"/>
                <w:color w:val="auto"/>
              </w:rPr>
            </w:pPr>
            <w:r>
              <w:rPr>
                <w:rFonts w:ascii="Arial" w:cs="Arial" w:eastAsia="Arial" w:hAnsi="Arial"/>
                <w:sz w:val="12"/>
                <w:szCs w:val="12"/>
                <w:b w:val="1"/>
                <w:bCs w:val="1"/>
                <w:color w:val="auto"/>
                <w:w w:val="82"/>
              </w:rPr>
              <w:t>(in thousands)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cash equivalents and short-term investments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25,979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87,179</w:t>
            </w:r>
          </w:p>
        </w:tc>
        <w:tc>
          <w:tcPr>
            <w:tcW w:w="140" w:type="dxa"/>
            <w:vAlign w:val="bottom"/>
            <w:shd w:val="clear" w:color="auto" w:fill="CCEEFF"/>
          </w:tcPr>
          <w:p>
            <w:pPr>
              <w:spacing w:after="0"/>
              <w:rPr>
                <w:sz w:val="16"/>
                <w:szCs w:val="16"/>
                <w:color w:val="auto"/>
              </w:rPr>
            </w:pPr>
          </w:p>
        </w:tc>
      </w:tr>
      <w:tr>
        <w:trPr>
          <w:trHeight w:val="185"/>
        </w:trPr>
        <w:tc>
          <w:tcPr>
            <w:tcW w:w="450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9"/>
              <w:spacing w:after="0"/>
              <w:rPr>
                <w:sz w:val="20"/>
                <w:szCs w:val="20"/>
                <w:color w:val="auto"/>
              </w:rPr>
            </w:pPr>
            <w:r>
              <w:rPr>
                <w:rFonts w:ascii="Arial" w:cs="Arial" w:eastAsia="Arial" w:hAnsi="Arial"/>
                <w:sz w:val="15"/>
                <w:szCs w:val="15"/>
                <w:color w:val="auto"/>
              </w:rPr>
              <w:t>34,723</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34,723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95,923</w:t>
            </w:r>
          </w:p>
        </w:tc>
        <w:tc>
          <w:tcPr>
            <w:tcW w:w="140" w:type="dxa"/>
            <w:vAlign w:val="bottom"/>
          </w:tcPr>
          <w:p>
            <w:pPr>
              <w:spacing w:after="0"/>
              <w:rPr>
                <w:sz w:val="16"/>
                <w:szCs w:val="16"/>
                <w:color w:val="auto"/>
              </w:rPr>
            </w:pPr>
          </w:p>
        </w:tc>
      </w:tr>
      <w:tr>
        <w:trPr>
          <w:trHeight w:val="18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Loan payables, net of current portion</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spacing w:after="0"/>
              <w:rPr>
                <w:sz w:val="16"/>
                <w:szCs w:val="16"/>
                <w:color w:val="auto"/>
              </w:rPr>
            </w:pPr>
          </w:p>
        </w:tc>
      </w:tr>
      <w:tr>
        <w:trPr>
          <w:trHeight w:val="185"/>
        </w:trPr>
        <w:tc>
          <w:tcPr>
            <w:tcW w:w="4500" w:type="dxa"/>
            <w:vAlign w:val="bottom"/>
            <w:gridSpan w:val="2"/>
          </w:tcPr>
          <w:p>
            <w:pPr>
              <w:spacing w:after="0"/>
              <w:rPr>
                <w:sz w:val="20"/>
                <w:szCs w:val="20"/>
                <w:color w:val="auto"/>
              </w:rPr>
            </w:pPr>
            <w:r>
              <w:rPr>
                <w:rFonts w:ascii="Arial" w:cs="Arial" w:eastAsia="Arial" w:hAnsi="Arial"/>
                <w:sz w:val="15"/>
                <w:szCs w:val="15"/>
                <w:color w:val="auto"/>
              </w:rPr>
              <w:t>Redeemable convertible preferred stock</w:t>
            </w: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9"/>
              <w:spacing w:after="0"/>
              <w:rPr>
                <w:sz w:val="20"/>
                <w:szCs w:val="20"/>
                <w:color w:val="auto"/>
              </w:rPr>
            </w:pPr>
            <w:r>
              <w:rPr>
                <w:rFonts w:ascii="Arial" w:cs="Arial" w:eastAsia="Arial" w:hAnsi="Arial"/>
                <w:sz w:val="15"/>
                <w:szCs w:val="15"/>
                <w:color w:val="auto"/>
              </w:rPr>
              <w:t>139,837</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75,542</w:t>
            </w:r>
          </w:p>
        </w:tc>
        <w:tc>
          <w:tcPr>
            <w:tcW w:w="140" w:type="dxa"/>
            <w:vAlign w:val="bottom"/>
            <w:shd w:val="clear" w:color="auto" w:fill="CCEEFF"/>
          </w:tcPr>
          <w:p>
            <w:pPr>
              <w:spacing w:after="0"/>
              <w:rPr>
                <w:sz w:val="16"/>
                <w:szCs w:val="16"/>
                <w:color w:val="auto"/>
              </w:rPr>
            </w:pPr>
          </w:p>
        </w:tc>
      </w:tr>
      <w:tr>
        <w:trPr>
          <w:trHeight w:val="93"/>
        </w:trPr>
        <w:tc>
          <w:tcPr>
            <w:tcW w:w="90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760" w:right="260" w:hanging="463"/>
        <w:spacing w:after="0" w:line="282" w:lineRule="auto"/>
        <w:tabs>
          <w:tab w:leader="none" w:pos="1760" w:val="left"/>
        </w:tabs>
        <w:numPr>
          <w:ilvl w:val="0"/>
          <w:numId w:val="12"/>
        </w:numPr>
        <w:rPr>
          <w:rFonts w:ascii="Arial" w:cs="Arial" w:eastAsia="Arial" w:hAnsi="Arial"/>
          <w:sz w:val="10"/>
          <w:szCs w:val="10"/>
          <w:color w:val="auto"/>
        </w:rPr>
      </w:pPr>
      <w:r>
        <w:rPr>
          <w:rFonts w:ascii="Arial" w:cs="Arial" w:eastAsia="Arial" w:hAnsi="Arial"/>
          <w:sz w:val="10"/>
          <w:szCs w:val="10"/>
          <w:color w:val="auto"/>
        </w:rPr>
        <w:t>The pro forma balance sheet data give effect to: (i) the automatic conversion of all shares of our preferred stock into common stock upon closing of this offering, which, based on the initial public offering price of $14.00 per share, will result in the issuance of 10,126,118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15,094 shares of our common stock, at a weighted average exercise price of $11.32 per share of common stock, based on the initial public offering price of $14.00 per share, upon the closing of this offering and (iii) the automatic cashless exercise of the series E common warrants for 567,306 shares of our common stock.</w:t>
      </w:r>
    </w:p>
    <w:p>
      <w:pPr>
        <w:spacing w:after="0" w:line="77" w:lineRule="exact"/>
        <w:rPr>
          <w:rFonts w:ascii="Arial" w:cs="Arial" w:eastAsia="Arial" w:hAnsi="Arial"/>
          <w:sz w:val="10"/>
          <w:szCs w:val="10"/>
          <w:color w:val="auto"/>
        </w:rPr>
      </w:pPr>
    </w:p>
    <w:p>
      <w:pPr>
        <w:ind w:left="1760" w:right="300" w:hanging="463"/>
        <w:spacing w:after="0" w:line="238" w:lineRule="auto"/>
        <w:tabs>
          <w:tab w:leader="none" w:pos="1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pro forma as adjusted consolidated balance sheet data give further effect to our issuance and sale of 5,000,000 shares of our common stock in this offering at the initial public offering price of $14.00 per share, after deducting the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 w:name="page17"/>
    <w:bookmarkEnd w:id="16"/>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Risk factors</w:t>
      </w:r>
    </w:p>
    <w:p>
      <w:pPr>
        <w:spacing w:after="0" w:line="183" w:lineRule="exact"/>
        <w:rPr>
          <w:sz w:val="20"/>
          <w:szCs w:val="20"/>
          <w:color w:val="auto"/>
        </w:rPr>
      </w:pPr>
    </w:p>
    <w:p>
      <w:pPr>
        <w:ind w:left="7"/>
        <w:spacing w:after="0" w:line="266"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results of operations and financial condition,"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FINANCIAL POSITION AND NEED FOR ADDITIONAL CAPITAL</w:t>
      </w:r>
    </w:p>
    <w:p>
      <w:pPr>
        <w:spacing w:after="0" w:line="187" w:lineRule="exact"/>
        <w:rPr>
          <w:sz w:val="20"/>
          <w:szCs w:val="20"/>
          <w:color w:val="auto"/>
        </w:rPr>
      </w:pPr>
    </w:p>
    <w:p>
      <w:pPr>
        <w:ind w:left="7" w:right="180"/>
        <w:spacing w:after="0" w:line="277" w:lineRule="auto"/>
        <w:rPr>
          <w:sz w:val="20"/>
          <w:szCs w:val="20"/>
          <w:color w:val="auto"/>
        </w:rPr>
      </w:pPr>
      <w:r>
        <w:rPr>
          <w:rFonts w:ascii="Arial" w:cs="Arial" w:eastAsia="Arial" w:hAnsi="Arial"/>
          <w:sz w:val="15"/>
          <w:szCs w:val="15"/>
          <w:b w:val="1"/>
          <w:bCs w:val="1"/>
          <w:color w:val="auto"/>
        </w:rPr>
        <w:t>We are a development-stage company and have incurred significant losses since our inception. We expect to incur losses for the foreseeable future and may never achieve or maintain profitability.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4"/>
          <w:szCs w:val="14"/>
          <w:color w:val="auto"/>
        </w:rPr>
        <w:t>Since inception, we have incurred significant operating losses. Our net loss was $12.9 million for the year ended December 31, 2014, $25.2 for the year ended December 31, 2015 and</w:t>
      </w:r>
    </w:p>
    <w:p>
      <w:pPr>
        <w:spacing w:after="0" w:line="29" w:lineRule="exact"/>
        <w:rPr>
          <w:sz w:val="20"/>
          <w:szCs w:val="20"/>
          <w:color w:val="auto"/>
        </w:rPr>
      </w:pPr>
    </w:p>
    <w:p>
      <w:pPr>
        <w:ind w:left="7" w:right="140"/>
        <w:spacing w:after="0" w:line="283" w:lineRule="auto"/>
        <w:rPr>
          <w:sz w:val="20"/>
          <w:szCs w:val="20"/>
          <w:color w:val="auto"/>
        </w:rPr>
      </w:pPr>
      <w:r>
        <w:rPr>
          <w:rFonts w:ascii="Arial" w:cs="Arial" w:eastAsia="Arial" w:hAnsi="Arial"/>
          <w:sz w:val="14"/>
          <w:szCs w:val="14"/>
          <w:color w:val="auto"/>
        </w:rPr>
        <w:t>$5.7 million and $7.5 million for the three months ended March 31, 2015 and 2016, respectively. As of March 31, 2016, we had an accumulated deficit of $121.1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165" w:lineRule="exact"/>
        <w:rPr>
          <w:sz w:val="20"/>
          <w:szCs w:val="20"/>
          <w:color w:val="auto"/>
        </w:rPr>
      </w:pPr>
    </w:p>
    <w:p>
      <w:pPr>
        <w:ind w:left="467" w:hanging="467"/>
        <w:spacing w:after="0"/>
        <w:tabs>
          <w:tab w:leader="none" w:pos="467"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conduct additional clinical trials of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 including completing preclinical studies and commencing trials for such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seek to enhance our SVP technology and discover and develop additional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221" w:lineRule="exact"/>
        <w:rPr>
          <w:rFonts w:ascii="Arial" w:cs="Arial" w:eastAsia="Arial" w:hAnsi="Arial"/>
          <w:sz w:val="15"/>
          <w:szCs w:val="15"/>
          <w:color w:val="auto"/>
        </w:rPr>
      </w:pPr>
    </w:p>
    <w:p>
      <w:pPr>
        <w:ind w:left="467" w:right="420" w:hanging="467"/>
        <w:spacing w:after="0" w:line="282" w:lineRule="auto"/>
        <w:tabs>
          <w:tab w:leader="none" w:pos="467" w:val="left"/>
        </w:tabs>
        <w:numPr>
          <w:ilvl w:val="0"/>
          <w:numId w:val="13"/>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 up external manufacturing capabilities to commercialize any products for which we may obtain regulatory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 including through licensing arrangements;</w:t>
      </w:r>
    </w:p>
    <w:p>
      <w:pPr>
        <w:spacing w:after="0" w:line="209" w:lineRule="exact"/>
        <w:rPr>
          <w:rFonts w:ascii="Arial" w:cs="Arial" w:eastAsia="Arial" w:hAnsi="Arial"/>
          <w:sz w:val="15"/>
          <w:szCs w:val="15"/>
          <w:color w:val="auto"/>
        </w:rPr>
      </w:pPr>
    </w:p>
    <w:p>
      <w:pPr>
        <w:ind w:left="467" w:right="400" w:hanging="467"/>
        <w:spacing w:after="0" w:line="282" w:lineRule="auto"/>
        <w:tabs>
          <w:tab w:leader="none" w:pos="467"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experience any delays or encounter any issues with any of the above, including, but not limited to, failed studies, complex results, safety issues or other regulatory challenges.</w:t>
      </w:r>
    </w:p>
    <w:p>
      <w:pPr>
        <w:spacing w:after="0" w:line="210"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7" w:name="page18"/>
    <w:bookmarkEnd w:id="17"/>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80"/>
        <w:spacing w:after="0" w:line="319" w:lineRule="auto"/>
        <w:rPr>
          <w:sz w:val="20"/>
          <w:szCs w:val="20"/>
          <w:color w:val="auto"/>
        </w:rPr>
      </w:pPr>
      <w:r>
        <w:rPr>
          <w:rFonts w:ascii="Arial" w:cs="Arial" w:eastAsia="Arial" w:hAnsi="Arial"/>
          <w:sz w:val="14"/>
          <w:szCs w:val="14"/>
          <w:color w:val="auto"/>
        </w:rPr>
        <w:t>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28"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62" w:lineRule="exact"/>
        <w:rPr>
          <w:sz w:val="20"/>
          <w:szCs w:val="20"/>
          <w:color w:val="auto"/>
        </w:rPr>
      </w:pPr>
    </w:p>
    <w:p>
      <w:pPr>
        <w:ind w:left="7" w:right="360"/>
        <w:spacing w:after="0" w:line="362" w:lineRule="auto"/>
        <w:rPr>
          <w:sz w:val="20"/>
          <w:szCs w:val="20"/>
          <w:color w:val="auto"/>
        </w:rPr>
      </w:pPr>
      <w:r>
        <w:rPr>
          <w:rFonts w:ascii="Arial" w:cs="Arial" w:eastAsia="Arial" w:hAnsi="Arial"/>
          <w:sz w:val="13"/>
          <w:szCs w:val="13"/>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05" w:lineRule="exact"/>
        <w:rPr>
          <w:sz w:val="20"/>
          <w:szCs w:val="20"/>
          <w:color w:val="auto"/>
        </w:rPr>
      </w:pPr>
    </w:p>
    <w:p>
      <w:pPr>
        <w:ind w:left="7" w:right="160"/>
        <w:spacing w:after="0" w:line="319" w:lineRule="auto"/>
        <w:rPr>
          <w:sz w:val="20"/>
          <w:szCs w:val="20"/>
          <w:color w:val="auto"/>
        </w:rPr>
      </w:pPr>
      <w:r>
        <w:rPr>
          <w:rFonts w:ascii="Arial" w:cs="Arial" w:eastAsia="Arial" w:hAnsi="Arial"/>
          <w:sz w:val="13"/>
          <w:szCs w:val="13"/>
          <w:color w:val="auto"/>
        </w:rPr>
        <w:t>In addition, we have recurring losses and negative cash flows from operations and will require additional capital to fund planned operations. There can be no assurance that we will be able to raise additional capital on reasonable terms, if at all, which could prevent us from continuing our operations. These conditions cast substantial doubt about our ability to continue as a going concern. In this regard, our independent registered public accounting firm's report on our December 31, 2014 and 2015 financial statements included an explanatory paragraph referring to our ability to continue as a going concern. Our financial statements do not include any adjustments that may result from the outcome of this uncertainty.</w:t>
      </w:r>
    </w:p>
    <w:p>
      <w:pPr>
        <w:spacing w:after="0" w:line="124" w:lineRule="exact"/>
        <w:rPr>
          <w:sz w:val="20"/>
          <w:szCs w:val="20"/>
          <w:color w:val="auto"/>
        </w:rPr>
      </w:pPr>
    </w:p>
    <w:p>
      <w:pPr>
        <w:ind w:left="7" w:right="300"/>
        <w:spacing w:after="0" w:line="259" w:lineRule="auto"/>
        <w:rPr>
          <w:sz w:val="20"/>
          <w:szCs w:val="20"/>
          <w:color w:val="auto"/>
        </w:rPr>
      </w:pPr>
      <w:r>
        <w:rPr>
          <w:rFonts w:ascii="Arial" w:cs="Arial" w:eastAsia="Arial" w:hAnsi="Arial"/>
          <w:sz w:val="15"/>
          <w:szCs w:val="15"/>
          <w:b w:val="1"/>
          <w:bCs w:val="1"/>
          <w:color w:val="auto"/>
        </w:rPr>
        <w:t>Even if this offering is successful, 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56"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We expect our expenses to increase in connection with our ongoing activities, particularly as we conduct our clinical trials of SEL-212,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148" w:lineRule="exact"/>
        <w:rPr>
          <w:sz w:val="20"/>
          <w:szCs w:val="20"/>
          <w:color w:val="auto"/>
        </w:rPr>
      </w:pPr>
    </w:p>
    <w:p>
      <w:pPr>
        <w:jc w:val="both"/>
        <w:ind w:left="7" w:right="160"/>
        <w:spacing w:after="0" w:line="330" w:lineRule="auto"/>
        <w:rPr>
          <w:sz w:val="20"/>
          <w:szCs w:val="20"/>
          <w:color w:val="auto"/>
        </w:rPr>
      </w:pPr>
      <w:r>
        <w:rPr>
          <w:rFonts w:ascii="Arial" w:cs="Arial" w:eastAsia="Arial" w:hAnsi="Arial"/>
          <w:sz w:val="13"/>
          <w:szCs w:val="13"/>
          <w:color w:val="auto"/>
        </w:rPr>
        <w:t>We believe that our existing cash, cash equivalents and investments, and funding that we expect to receive under our existing collaborations, together with the expected net proceeds from this offering, will enable us to fund our operating expenses and capital expenditure requirements through at least December 31, 2017. We have based this estimate on assumptions that may prove to be wrong, and we could use our capital resources sooner than we currently expect. Our future capital requirements will depend on many factors, including:</w:t>
      </w:r>
    </w:p>
    <w:p>
      <w:pPr>
        <w:spacing w:after="0" w:line="136" w:lineRule="exact"/>
        <w:rPr>
          <w:sz w:val="20"/>
          <w:szCs w:val="20"/>
          <w:color w:val="auto"/>
        </w:rPr>
      </w:pPr>
    </w:p>
    <w:p>
      <w:pPr>
        <w:ind w:left="467" w:hanging="467"/>
        <w:spacing w:after="0"/>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collaboration agreements remaining in effect, our entering into additional collaboration agreements and our ability to achieve milestones under these agreements;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 of manufacturing clinical supplies of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8" w:name="page19"/>
    <w:bookmarkEnd w:id="1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21" w:lineRule="exact"/>
        <w:rPr>
          <w:rFonts w:ascii="Arial" w:cs="Arial" w:eastAsia="Arial" w:hAnsi="Arial"/>
          <w:sz w:val="15"/>
          <w:szCs w:val="15"/>
          <w:color w:val="auto"/>
        </w:rPr>
      </w:pPr>
    </w:p>
    <w:p>
      <w:pPr>
        <w:ind w:left="467" w:right="480" w:hanging="467"/>
        <w:spacing w:after="0" w:line="282" w:lineRule="auto"/>
        <w:tabs>
          <w:tab w:leader="none" w:pos="4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09" w:lineRule="exact"/>
        <w:rPr>
          <w:rFonts w:ascii="Arial" w:cs="Arial" w:eastAsia="Arial" w:hAnsi="Arial"/>
          <w:sz w:val="15"/>
          <w:szCs w:val="15"/>
          <w:color w:val="auto"/>
        </w:rPr>
      </w:pPr>
    </w:p>
    <w:p>
      <w:pPr>
        <w:ind w:left="467" w:hanging="467"/>
        <w:spacing w:after="0" w:line="282" w:lineRule="auto"/>
        <w:tabs>
          <w:tab w:leader="none" w:pos="4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product candidates.</w:t>
      </w:r>
    </w:p>
    <w:p>
      <w:pPr>
        <w:spacing w:after="0" w:line="210"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54" w:lineRule="exact"/>
        <w:rPr>
          <w:sz w:val="20"/>
          <w:szCs w:val="20"/>
          <w:color w:val="auto"/>
        </w:rPr>
      </w:pPr>
    </w:p>
    <w:p>
      <w:pPr>
        <w:ind w:left="7" w:right="400"/>
        <w:spacing w:after="0" w:line="270" w:lineRule="auto"/>
        <w:rPr>
          <w:sz w:val="20"/>
          <w:szCs w:val="20"/>
          <w:color w:val="auto"/>
        </w:rPr>
      </w:pPr>
      <w:r>
        <w:rPr>
          <w:rFonts w:ascii="Arial" w:cs="Arial" w:eastAsia="Arial" w:hAnsi="Arial"/>
          <w:sz w:val="15"/>
          <w:szCs w:val="15"/>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limited operating history may make it difficult for you to evaluate the success of our business to date and to assess our future viability.</w:t>
      </w:r>
    </w:p>
    <w:p>
      <w:pPr>
        <w:spacing w:after="0" w:line="195" w:lineRule="exact"/>
        <w:rPr>
          <w:sz w:val="20"/>
          <w:szCs w:val="20"/>
          <w:color w:val="auto"/>
        </w:rPr>
      </w:pPr>
    </w:p>
    <w:p>
      <w:pPr>
        <w:ind w:left="7" w:right="20"/>
        <w:spacing w:after="0" w:line="308" w:lineRule="auto"/>
        <w:rPr>
          <w:sz w:val="20"/>
          <w:szCs w:val="20"/>
          <w:color w:val="auto"/>
        </w:rPr>
      </w:pPr>
      <w:r>
        <w:rPr>
          <w:rFonts w:ascii="Arial" w:cs="Arial" w:eastAsia="Arial" w:hAnsi="Arial"/>
          <w:sz w:val="13"/>
          <w:szCs w:val="13"/>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SEL-212, are still in preclinical development. We completed the patient treatment portion of our Phase 1a clinical trial of pegsiticase, a component of SEL-212, our lead product candidate, but have not yet completed any other clinical trials for SEL-212 or any other product candidates. We have not yet demonstrated our ability to successfully complete any Phase 2 clinical trial or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quarter-to-quarter and year-to-year due to a variety of factors, many of which are beyond our control. Consequently, any predictions you make about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663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future success or viability may not be as accurate as they could be if we had a longer operating history.</w:t>
      </w:r>
    </w:p>
    <w:p>
      <w:pPr>
        <w:spacing w:after="0" w:line="190" w:lineRule="exact"/>
        <w:rPr>
          <w:sz w:val="20"/>
          <w:szCs w:val="20"/>
          <w:color w:val="auto"/>
        </w:rPr>
      </w:pPr>
    </w:p>
    <w:p>
      <w:pPr>
        <w:ind w:right="280"/>
        <w:spacing w:after="0" w:line="277" w:lineRule="auto"/>
        <w:rPr>
          <w:sz w:val="20"/>
          <w:szCs w:val="20"/>
          <w:color w:val="auto"/>
        </w:rPr>
      </w:pPr>
      <w:r>
        <w:rPr>
          <w:rFonts w:ascii="Arial" w:cs="Arial" w:eastAsia="Arial" w:hAnsi="Arial"/>
          <w:sz w:val="15"/>
          <w:szCs w:val="15"/>
          <w:b w:val="1"/>
          <w:b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We have a $12.0 million credit facility with Oxford Finance LLC, or Oxford, and Pacific Western Bank, as successor in interest to Square 1 Bank, that is secured by a lien covering substantially all of our personal property, excluding intellectual property. As of March 31, 2016, the outstanding principal balance under the credit facility was $12.0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maintain unrestricted cash in a control account equal to or greater than the lesser of 105% of all outstanding amounts under the credit facility and 100% of the cash and cash equivalents of our company and our wholly-owned subsidiary, Selecta Biosciences Security Corporation,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non-ordinary course material transactions with affiliates,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 Selecta RUS held $4.2 million of total cash in Russian banks as of March 31, 2016, including $1.5 million of cash and cash equivalents, $2.0 million of short-term deposits and $0.7 million of restricted cash.</w:t>
      </w:r>
    </w:p>
    <w:p>
      <w:pPr>
        <w:spacing w:after="0" w:line="151" w:lineRule="exact"/>
        <w:rPr>
          <w:sz w:val="20"/>
          <w:szCs w:val="20"/>
          <w:color w:val="auto"/>
        </w:rPr>
      </w:pPr>
    </w:p>
    <w:p>
      <w:pPr>
        <w:ind w:right="500"/>
        <w:spacing w:after="0" w:line="277" w:lineRule="auto"/>
        <w:rPr>
          <w:sz w:val="20"/>
          <w:szCs w:val="20"/>
          <w:color w:val="auto"/>
        </w:rPr>
      </w:pPr>
      <w:r>
        <w:rPr>
          <w:rFonts w:ascii="Arial" w:cs="Arial" w:eastAsia="Arial" w:hAnsi="Arial"/>
          <w:sz w:val="15"/>
          <w:szCs w:val="15"/>
          <w:b w:val="1"/>
          <w:bCs w:val="1"/>
          <w:color w:val="auto"/>
        </w:rPr>
        <w:t>Our ability to use our net operating loss and research and development tax credit carryforwards to offset future taxable income may be subject to certain limitations.</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As of December 31, 2015, we had net operating loss carryforwards, or NOLs, for federal and state income tax purposes of $82.4 million and $76.3 million, respectively, which may be available to offset our future taxable income, if any, at various times through 2035. At December 31, 2015, we had available federal and state research and development income tax credits of approximately $1.6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 w:name="page21"/>
    <w:bookmarkEnd w:id="2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and $1.1 million, respectively, which may be available to reduce future income taxes, if any, at various times through 2035. Our federal NOLs begin to expire in 2028.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For these reasons, we may not be able to use a material portion of the NOLs reflected on our balance sheet, even if we attain profitability.</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THE DISCOVERY, DEVELOPMENT AND REGULATORY APPROVAL OF OUR PRODUCT CANDIDATES</w:t>
      </w:r>
    </w:p>
    <w:p>
      <w:pPr>
        <w:spacing w:after="0" w:line="187" w:lineRule="exact"/>
        <w:rPr>
          <w:sz w:val="20"/>
          <w:szCs w:val="20"/>
          <w:color w:val="auto"/>
        </w:rPr>
      </w:pPr>
    </w:p>
    <w:p>
      <w:pPr>
        <w:ind w:left="7" w:right="680"/>
        <w:spacing w:after="0" w:line="277" w:lineRule="auto"/>
        <w:rPr>
          <w:sz w:val="20"/>
          <w:szCs w:val="20"/>
          <w:color w:val="auto"/>
        </w:rPr>
      </w:pPr>
      <w:r>
        <w:rPr>
          <w:rFonts w:ascii="Arial" w:cs="Arial" w:eastAsia="Arial" w:hAnsi="Arial"/>
          <w:sz w:val="15"/>
          <w:szCs w:val="15"/>
          <w:b w:val="1"/>
          <w:bCs w:val="1"/>
          <w:color w:val="auto"/>
        </w:rPr>
        <w:t>We are very early in our clinical development efforts and may not be successful in our efforts to use our SVP technology to build a pipeline of product candidates and develop marketable drugs.</w:t>
      </w:r>
    </w:p>
    <w:p>
      <w:pPr>
        <w:spacing w:after="0" w:line="143" w:lineRule="exact"/>
        <w:rPr>
          <w:sz w:val="20"/>
          <w:szCs w:val="20"/>
          <w:color w:val="auto"/>
        </w:rPr>
      </w:pPr>
    </w:p>
    <w:p>
      <w:pPr>
        <w:ind w:left="7" w:right="40"/>
        <w:spacing w:after="0" w:line="261" w:lineRule="auto"/>
        <w:rPr>
          <w:sz w:val="20"/>
          <w:szCs w:val="20"/>
          <w:color w:val="auto"/>
        </w:rPr>
      </w:pPr>
      <w:r>
        <w:rPr>
          <w:rFonts w:ascii="Arial" w:cs="Arial" w:eastAsia="Arial" w:hAnsi="Arial"/>
          <w:sz w:val="15"/>
          <w:szCs w:val="15"/>
          <w:color w:val="auto"/>
        </w:rPr>
        <w:t>We are primarily using our SVP technology to improve and enable biologics that treat rare and serious diseases, with an initial focus on developing SEL-212 for the treatment of refractory and chronic tophaceous gout. While we believe our preclinical and clinical data to date, together with our collaborative relationships, have validated our technology to a degree, we are at an early stage of development and our technology has not yet led to, and may never lead to, approvable or marketable drugs. We are developing additional product candidates to address the problem of anti-drug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79" w:lineRule="exact"/>
        <w:rPr>
          <w:sz w:val="20"/>
          <w:szCs w:val="20"/>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completion of preclinical studies and clinical trials with positive results;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receipt of marketing approvals from applicable regulatory authorities;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obtaining and maintaining patent and trade secret protection and regulatory exclusivity for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making arrangements with third party manufacturers for, or establishing, commercial manufacturing capabilities, or establishing such capabilities ourselves;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launching commercial sales of our products, if and when approved, whether alone or in collaboration with others;</w:t>
      </w:r>
    </w:p>
    <w:p>
      <w:pPr>
        <w:spacing w:after="0" w:line="209" w:lineRule="exact"/>
        <w:rPr>
          <w:rFonts w:ascii="Arial" w:cs="Arial" w:eastAsia="Arial" w:hAnsi="Arial"/>
          <w:sz w:val="15"/>
          <w:szCs w:val="15"/>
          <w:color w:val="auto"/>
        </w:rPr>
      </w:pPr>
    </w:p>
    <w:p>
      <w:pPr>
        <w:ind w:left="467" w:right="400" w:hanging="467"/>
        <w:spacing w:after="0" w:line="282" w:lineRule="auto"/>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existing collaboration agreements remaining in effect and our entering into new collaborations throughout the development process as appropriate, from preclinical studies through to commercialization;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acceptance of our products, if and when approved, by patients and the medical community;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effectively competing with other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1" w:name="page22"/>
    <w:bookmarkEnd w:id="2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obtaining and maintaining coverage and adequate reimbursement by third-party payors, including government payors, for our products, if approved;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protecting our rights in our intellectual property portfolio;</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operating without infringing or violating the valid and enforceable patents or other intellectual property of third parties;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maintaining an acceptable safety profile of our products following approval;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maintaining and growing an organization of scientists and business people who can develop and commercialize our product candidates and technology.</w:t>
      </w:r>
    </w:p>
    <w:p>
      <w:pPr>
        <w:spacing w:after="0" w:line="198" w:lineRule="exact"/>
        <w:rPr>
          <w:sz w:val="20"/>
          <w:szCs w:val="20"/>
          <w:color w:val="auto"/>
        </w:rPr>
      </w:pPr>
    </w:p>
    <w:p>
      <w:pPr>
        <w:ind w:left="7" w:right="540"/>
        <w:spacing w:after="0" w:line="282" w:lineRule="auto"/>
        <w:rPr>
          <w:sz w:val="20"/>
          <w:szCs w:val="20"/>
          <w:color w:val="auto"/>
        </w:rPr>
      </w:pPr>
      <w:r>
        <w:rPr>
          <w:rFonts w:ascii="Arial" w:cs="Arial" w:eastAsia="Arial" w:hAnsi="Arial"/>
          <w:sz w:val="15"/>
          <w:szCs w:val="15"/>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42"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Our product candidates are based on our SVP technology, which is an unproven approach designed to induce antigen-specific immune tolerance to biologic drugs or stimulate the immune system.</w:t>
      </w:r>
    </w:p>
    <w:p>
      <w:pPr>
        <w:spacing w:after="0" w:line="143" w:lineRule="exact"/>
        <w:rPr>
          <w:sz w:val="20"/>
          <w:szCs w:val="20"/>
          <w:color w:val="auto"/>
        </w:rPr>
      </w:pPr>
    </w:p>
    <w:p>
      <w:pPr>
        <w:ind w:left="7" w:right="280"/>
        <w:spacing w:after="0" w:line="266" w:lineRule="auto"/>
        <w:rPr>
          <w:sz w:val="20"/>
          <w:szCs w:val="20"/>
          <w:color w:val="auto"/>
        </w:rPr>
      </w:pPr>
      <w:r>
        <w:rPr>
          <w:rFonts w:ascii="Arial" w:cs="Arial" w:eastAsia="Arial" w:hAnsi="Arial"/>
          <w:sz w:val="15"/>
          <w:szCs w:val="15"/>
          <w:color w:val="auto"/>
        </w:rPr>
        <w:t>All of our product candidates are derived from our SVP technology, which is an unproven approach to inducing antigen-specific tolerance or stimulating the immune system. In addition, SEL-212,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a result, we cannot be certain that our approach, or our development of SEL-212, will lead to the development or approval of marketable products. In addition:</w:t>
      </w:r>
    </w:p>
    <w:p>
      <w:pPr>
        <w:spacing w:after="0" w:line="210" w:lineRule="exact"/>
        <w:rPr>
          <w:sz w:val="20"/>
          <w:szCs w:val="20"/>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due to the unproven nature of our SVP therapeutics, they may have different efficacy and safety rates in various indications;</w:t>
      </w:r>
    </w:p>
    <w:p>
      <w:pPr>
        <w:spacing w:after="0" w:line="209" w:lineRule="exact"/>
        <w:rPr>
          <w:rFonts w:ascii="Arial" w:cs="Arial" w:eastAsia="Arial" w:hAnsi="Arial"/>
          <w:sz w:val="15"/>
          <w:szCs w:val="15"/>
          <w:color w:val="auto"/>
        </w:rPr>
      </w:pPr>
    </w:p>
    <w:p>
      <w:pPr>
        <w:ind w:left="467" w:right="220" w:hanging="467"/>
        <w:spacing w:after="0" w:line="270"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FDA or other regulatory agencies may lack experience in evaluating the efficacy and safety of products based on SVP or a biologic sourced from China or other jurisdictions, which could result in a longer-than-expected regulatory review process, increase our expected development costs or delay or prevent commercialization of our product candidates; and</w:t>
      </w:r>
    </w:p>
    <w:p>
      <w:pPr>
        <w:spacing w:after="0" w:line="182" w:lineRule="exact"/>
        <w:rPr>
          <w:rFonts w:ascii="Arial" w:cs="Arial" w:eastAsia="Arial" w:hAnsi="Arial"/>
          <w:sz w:val="15"/>
          <w:szCs w:val="15"/>
          <w:color w:val="auto"/>
        </w:rPr>
      </w:pPr>
    </w:p>
    <w:p>
      <w:pPr>
        <w:ind w:left="467" w:right="340" w:hanging="467"/>
        <w:spacing w:after="0" w:line="362" w:lineRule="auto"/>
        <w:tabs>
          <w:tab w:leader="none" w:pos="467"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the event of a biologics license application for SEL-212 or another product and a pre-approval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occurrence of any of the foregoing, would effectively prevent or delay approval of our lead and other product candidates.</w:t>
      </w:r>
    </w:p>
    <w:p>
      <w:pPr>
        <w:spacing w:after="0" w:line="190" w:lineRule="exact"/>
        <w:rPr>
          <w:sz w:val="20"/>
          <w:szCs w:val="20"/>
          <w:color w:val="auto"/>
        </w:rPr>
      </w:pPr>
    </w:p>
    <w:p>
      <w:pPr>
        <w:ind w:left="7" w:right="280"/>
        <w:spacing w:after="0" w:line="277" w:lineRule="auto"/>
        <w:rPr>
          <w:sz w:val="20"/>
          <w:szCs w:val="20"/>
          <w:color w:val="auto"/>
        </w:rPr>
      </w:pPr>
      <w:r>
        <w:rPr>
          <w:rFonts w:ascii="Arial" w:cs="Arial" w:eastAsia="Arial" w:hAnsi="Arial"/>
          <w:sz w:val="15"/>
          <w:szCs w:val="15"/>
          <w:b w:val="1"/>
          <w:b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143"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Because we have limited financial and management resources, we focus on a limited number of research programs and product candidates and are currently principally focused on SEL-212. As a result, we may forego or delay our pursuit of opportunities with other product candidates or for other indications that later prove to have greater commercial potential. Our resource-allocation decisions may cause us to fail to capitalize on viable commercial drugs or profitable market opportunities.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5"/>
          <w:szCs w:val="15"/>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Aside from SEL-212,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SEL-212 is currently being evaluated in a Phase 1/2 clinical program that includes a Phase 1a and Phase 1b clinical trial. As of June 3, 2016, on a combined basis, we had dosed a total of 70 subjects with either SEL-212 (SVP-Rapamycin and pegsiticase), SVP-Rapamycin alone or pegsiticase alone in the Phase 1a and Phase 1b clinical trials. We expect to receive final data from both Phase 1 clinical trials in the second half of 2016. Based on preliminary results from the Phase 1 clinical trials, we have generally observed that SEL-212 and its components, SVP-Rapamycin and pegsiticase, have been well tolerated. There can be no assurance, however, that these preliminary results will be predictive of the final results of the trial. Moreover, the biological effect observed in this trial has been observed only in the subjects of the trial, and is not statistically significant and might not be observed in any other patients treated with SEL-212 or its components, SVP-Rapamycin and pegsiticase. As of June 16, 2016, there have been three serious adverse events, or SAEs, in the Phase 1 clinical trials. One SAE occurred in a</w:t>
      </w:r>
    </w:p>
    <w:p>
      <w:pPr>
        <w:spacing w:after="0" w:line="3"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62 year-old male who received a dose level of pegsiticase alone of 0.4 mg/kg. This subject developed atrial fibrillation 13 days after administration of pegsiticase. The subject was treated and the medical records from the principal investigator indicate that this subject has recovered. The principal investigator has deemed this SAE to not have been related to the study drug, pegsiticase. The second SAE occurred in a 59 year-old male who developed a pruritic rash on his lower extremities and joint pain approximately 12 days after being dosed with SEL-212, consisting of a dose level of SVP-Rapamycin of 0.1 mg/kg and a dose level of pegsiticase of 0.4 mg/kg. This subject was treated with steroids, analgesics, anti-nausea medications and topical antihistamine cream. Following treatment, the medical records from the principal investigator indicate that the rash and joint pain experienced by the subject have been resolved. The principal investigator classified this second SAE as having been possibly related to the study drug, SEL-212. A third observation was classified by the principal investigator on June 15, 2016 as an SAE after a 59 year-old male from Cohort #7 (SVP-Rapamycin Cohort) of the Phase 1b clinical trial developed stomatitis approximately seven days after being dosed with 0.5 mg/kg of SVP-Rapamycin, the highest dose of SVP-Rapamycin in the SVP-Rapamycin Cohorts of the Phase 1b clinical trial, and experienced 4.3 kg of weight loss. Stomatitis is a form of mouth sores and inflammation of the mouth and lips that often limits food intake and, according to the label for rapamycin, is a common adverse reaction to rapamycin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 w:name="page24"/>
    <w:bookmarkEnd w:id="23"/>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This subject was treated with oral over-the-counter and topical antihistamines followed by a steroid gel. As of June 16, 2016, the principal investigator indicated that the subject's stomatitis was improving. The principal investigator classified this third SAE as having been possibly related to the study drug, SVP-Rapamycin. We can provide no assurance that additional SAEs or similar events will not arise in the course of our development of SEL-212 or other product candidates.</w:t>
      </w:r>
    </w:p>
    <w:p>
      <w:pPr>
        <w:spacing w:after="0" w:line="159" w:lineRule="exact"/>
        <w:rPr>
          <w:sz w:val="20"/>
          <w:szCs w:val="20"/>
          <w:color w:val="auto"/>
        </w:rPr>
      </w:pPr>
    </w:p>
    <w:p>
      <w:pPr>
        <w:ind w:left="7" w:right="100"/>
        <w:spacing w:after="0" w:line="282" w:lineRule="auto"/>
        <w:rPr>
          <w:sz w:val="20"/>
          <w:szCs w:val="20"/>
          <w:color w:val="auto"/>
        </w:rPr>
      </w:pPr>
      <w:r>
        <w:rPr>
          <w:rFonts w:ascii="Arial" w:cs="Arial" w:eastAsia="Arial" w:hAnsi="Arial"/>
          <w:sz w:val="14"/>
          <w:szCs w:val="14"/>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54" w:lineRule="exact"/>
        <w:rPr>
          <w:sz w:val="20"/>
          <w:szCs w:val="20"/>
          <w:color w:val="auto"/>
        </w:rPr>
      </w:pPr>
    </w:p>
    <w:p>
      <w:pPr>
        <w:ind w:left="7" w:right="60"/>
        <w:spacing w:after="0" w:line="262" w:lineRule="auto"/>
        <w:rPr>
          <w:sz w:val="20"/>
          <w:szCs w:val="20"/>
          <w:color w:val="auto"/>
        </w:rPr>
      </w:pPr>
      <w:r>
        <w:rPr>
          <w:rFonts w:ascii="Arial" w:cs="Arial" w:eastAsia="Arial" w:hAnsi="Arial"/>
          <w:sz w:val="15"/>
          <w:szCs w:val="15"/>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167" w:lineRule="exact"/>
        <w:rPr>
          <w:sz w:val="20"/>
          <w:szCs w:val="20"/>
          <w:color w:val="auto"/>
        </w:rPr>
      </w:pPr>
    </w:p>
    <w:p>
      <w:pPr>
        <w:ind w:left="7" w:right="460"/>
        <w:spacing w:after="0" w:line="282" w:lineRule="auto"/>
        <w:rPr>
          <w:sz w:val="20"/>
          <w:szCs w:val="20"/>
          <w:color w:val="auto"/>
        </w:rPr>
      </w:pPr>
      <w:r>
        <w:rPr>
          <w:rFonts w:ascii="Arial" w:cs="Arial" w:eastAsia="Arial" w:hAnsi="Arial"/>
          <w:sz w:val="15"/>
          <w:szCs w:val="15"/>
          <w:color w:val="auto"/>
        </w:rPr>
        <w:t>We may experience numerous unforeseen events during, or as a result of, clinical trials that could delay or prevent our ability to receive marketing approval for, or commercialize, our product candidates, including:</w:t>
      </w:r>
    </w:p>
    <w:p>
      <w:pPr>
        <w:spacing w:after="0" w:line="162" w:lineRule="exact"/>
        <w:rPr>
          <w:sz w:val="20"/>
          <w:szCs w:val="20"/>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regulators or institutional review boards may not authorize us or our investigators to commence a clinical trial or conduct a clinical trial at a prospective trial site;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contract research organizations, or CROs, or clinical trial sites;</w:t>
      </w:r>
    </w:p>
    <w:p>
      <w:pPr>
        <w:spacing w:after="0" w:line="209"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meet their contractual obligations to us in a timely manner, or at all;</w:t>
      </w:r>
    </w:p>
    <w:p>
      <w:pPr>
        <w:spacing w:after="0" w:line="221" w:lineRule="exact"/>
        <w:rPr>
          <w:rFonts w:ascii="Arial" w:cs="Arial" w:eastAsia="Arial" w:hAnsi="Arial"/>
          <w:sz w:val="15"/>
          <w:szCs w:val="15"/>
          <w:color w:val="auto"/>
        </w:rPr>
      </w:pPr>
    </w:p>
    <w:p>
      <w:pPr>
        <w:ind w:left="467" w:right="220" w:hanging="467"/>
        <w:spacing w:after="0" w:line="282" w:lineRule="auto"/>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may have to suspend or terminate clinical trials of our product candidates for various reasons, including a finding that the participants are being exposed to unacceptable health risks;</w:t>
      </w:r>
    </w:p>
    <w:p>
      <w:pPr>
        <w:spacing w:after="0" w:line="162" w:lineRule="exact"/>
        <w:rPr>
          <w:rFonts w:ascii="Arial" w:cs="Arial" w:eastAsia="Arial" w:hAnsi="Arial"/>
          <w:sz w:val="15"/>
          <w:szCs w:val="15"/>
          <w:color w:val="auto"/>
        </w:rPr>
      </w:pPr>
    </w:p>
    <w:p>
      <w:pPr>
        <w:ind w:left="467" w:right="400" w:hanging="467"/>
        <w:spacing w:after="0" w:line="282" w:lineRule="auto"/>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investigators, regulators, data safety monitoring boards or institutional review boards may require that we or our investigators suspend or terminate clinical research, or we may decide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4" w:name="page25"/>
    <w:bookmarkEnd w:id="24"/>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467" w:right="60"/>
        <w:spacing w:after="0" w:line="297" w:lineRule="auto"/>
        <w:rPr>
          <w:sz w:val="20"/>
          <w:szCs w:val="20"/>
          <w:color w:val="auto"/>
        </w:rPr>
      </w:pPr>
      <w:r>
        <w:rPr>
          <w:rFonts w:ascii="Arial" w:cs="Arial" w:eastAsia="Arial" w:hAnsi="Arial"/>
          <w:sz w:val="14"/>
          <w:szCs w:val="14"/>
          <w:color w:val="auto"/>
        </w:rPr>
        <w:t>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155" w:lineRule="exact"/>
        <w:rPr>
          <w:sz w:val="20"/>
          <w:szCs w:val="20"/>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 of clinical trials of our product candidates may be greater than we expect;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supply or quality of our product candidates or other materials necessary to conduct clinical trials of our product candidates may be insufficient or inadequate;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expect; and</w:t>
      </w:r>
    </w:p>
    <w:p>
      <w:pPr>
        <w:spacing w:after="0" w:line="209" w:lineRule="exact"/>
        <w:rPr>
          <w:rFonts w:ascii="Arial" w:cs="Arial" w:eastAsia="Arial" w:hAnsi="Arial"/>
          <w:sz w:val="15"/>
          <w:szCs w:val="15"/>
          <w:color w:val="auto"/>
        </w:rPr>
      </w:pPr>
    </w:p>
    <w:p>
      <w:pPr>
        <w:ind w:left="467" w:right="580" w:hanging="467"/>
        <w:spacing w:after="0" w:line="282"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51"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51"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 delayed in obtaining marketing approval for our product candidates, if at all;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lose the support of collaborators, requiring us to bear more of the burden of research and development;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not obtain marketing approval at all;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obtain marketing approval in some countries and not in others;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obtain approval for indications or patient populations that are not as broad as intended or desired;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or distribution restrictions or safety warnings;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 subject to additional post-marketing testing requirements;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have a product removed from the market after obtaining marketing approval.</w:t>
      </w:r>
    </w:p>
    <w:p>
      <w:pPr>
        <w:spacing w:after="0" w:line="198" w:lineRule="exact"/>
        <w:rPr>
          <w:sz w:val="20"/>
          <w:szCs w:val="20"/>
          <w:color w:val="auto"/>
        </w:rPr>
      </w:pPr>
    </w:p>
    <w:p>
      <w:pPr>
        <w:jc w:val="both"/>
        <w:ind w:left="7" w:right="20"/>
        <w:spacing w:after="0" w:line="266" w:lineRule="auto"/>
        <w:rPr>
          <w:sz w:val="20"/>
          <w:szCs w:val="20"/>
          <w:color w:val="auto"/>
        </w:rPr>
      </w:pPr>
      <w:r>
        <w:rPr>
          <w:rFonts w:ascii="Arial" w:cs="Arial" w:eastAsia="Arial" w:hAnsi="Arial"/>
          <w:sz w:val="15"/>
          <w:szCs w:val="15"/>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54" w:lineRule="exact"/>
        <w:rPr>
          <w:sz w:val="20"/>
          <w:szCs w:val="20"/>
          <w:color w:val="auto"/>
        </w:rPr>
      </w:pPr>
    </w:p>
    <w:p>
      <w:pPr>
        <w:ind w:left="7" w:right="780"/>
        <w:spacing w:after="0" w:line="277" w:lineRule="auto"/>
        <w:rPr>
          <w:sz w:val="20"/>
          <w:szCs w:val="20"/>
          <w:color w:val="auto"/>
        </w:rPr>
      </w:pPr>
      <w:r>
        <w:rPr>
          <w:rFonts w:ascii="Arial" w:cs="Arial" w:eastAsia="Arial" w:hAnsi="Arial"/>
          <w:sz w:val="15"/>
          <w:szCs w:val="15"/>
          <w:b w:val="1"/>
          <w:bCs w:val="1"/>
          <w:color w:val="auto"/>
        </w:rPr>
        <w:t>If we experience delays or difficulties in the enrollment of patients in clinical trials, our receipt of necessary regulatory approvals could be delayed or prevented.</w:t>
      </w:r>
    </w:p>
    <w:p>
      <w:pPr>
        <w:spacing w:after="0" w:line="143"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663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5" w:name="page26"/>
    <w:bookmarkEnd w:id="25"/>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are initially developing our lead product candidate, SEL-212, for the treatment of chronic refractory gout, which affects approximately 50,000 patients in the United States. Accordingly, there is a limited number of patients who could enroll in our clinical studies.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to the size of the patient population, patient enrollment is also affected by other factors including:</w:t>
      </w:r>
    </w:p>
    <w:p>
      <w:pPr>
        <w:spacing w:after="0" w:line="210" w:lineRule="exact"/>
        <w:rPr>
          <w:sz w:val="20"/>
          <w:szCs w:val="20"/>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severity of the disease under investigation;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patient eligibility criteria for the study in question;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perceived risks and benefits of the product candidate under study;</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availability of other treatments for the disease under investigation;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existence of competing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efforts to facilitate timely enrollment in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payments for participating in clinical trials;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patient referral practices of physicians;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nature of the trial protocol;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proximity and availability of clinical trial sites for prospective patients.</w:t>
      </w:r>
    </w:p>
    <w:p>
      <w:pPr>
        <w:spacing w:after="0" w:line="198"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51" w:lineRule="exact"/>
        <w:rPr>
          <w:sz w:val="20"/>
          <w:szCs w:val="20"/>
          <w:color w:val="auto"/>
        </w:rPr>
      </w:pPr>
    </w:p>
    <w:p>
      <w:pPr>
        <w:ind w:left="7" w:right="140"/>
        <w:spacing w:after="0" w:line="277" w:lineRule="auto"/>
        <w:rPr>
          <w:sz w:val="20"/>
          <w:szCs w:val="20"/>
          <w:color w:val="auto"/>
        </w:rPr>
      </w:pPr>
      <w:r>
        <w:rPr>
          <w:rFonts w:ascii="Arial" w:cs="Arial" w:eastAsia="Arial" w:hAnsi="Arial"/>
          <w:sz w:val="15"/>
          <w:szCs w:val="15"/>
          <w:b w:val="1"/>
          <w:b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43" w:lineRule="exact"/>
        <w:rPr>
          <w:sz w:val="20"/>
          <w:szCs w:val="20"/>
          <w:color w:val="auto"/>
        </w:rPr>
      </w:pPr>
    </w:p>
    <w:p>
      <w:pPr>
        <w:ind w:left="7" w:right="20"/>
        <w:spacing w:after="0" w:line="281"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157"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49"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Although the FDA and other regulatory authorities have approved nanotechnology-based therapeutics in the past, they are monitoring whether nanotechnology-based therapeutics pose any specific health and human safety risks. While they have not issued any regulations to date, it is possible that the FDA and other regulatory authorities could issue regulations in the future regarding nanotechnology-based therapeutics that could adversely affect our product candidates.</w:t>
      </w:r>
    </w:p>
    <w:p>
      <w:pPr>
        <w:spacing w:after="0" w:line="159"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42" w:lineRule="exact"/>
        <w:rPr>
          <w:sz w:val="20"/>
          <w:szCs w:val="20"/>
          <w:color w:val="auto"/>
        </w:rPr>
      </w:pPr>
    </w:p>
    <w:p>
      <w:pPr>
        <w:ind w:right="320"/>
        <w:spacing w:after="0" w:line="277" w:lineRule="auto"/>
        <w:rPr>
          <w:sz w:val="20"/>
          <w:szCs w:val="20"/>
          <w:color w:val="auto"/>
        </w:rPr>
      </w:pPr>
      <w:r>
        <w:rPr>
          <w:rFonts w:ascii="Arial" w:cs="Arial" w:eastAsia="Arial" w:hAnsi="Arial"/>
          <w:sz w:val="15"/>
          <w:szCs w:val="15"/>
          <w:b w:val="1"/>
          <w:b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 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In the United States, orphan designation entitles a party to financial incentives such as opportunities for grant funding towards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previously obtained orphan drug status for chronic refractory gout, although the exclusivity period has lapsed. However, Krystexxa could in the future obtain orphan drug status for chronic tophaceous gout, an indication we plan to pursue.</w:t>
      </w:r>
    </w:p>
    <w:p>
      <w:pPr>
        <w:spacing w:after="0" w:line="154"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51"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b w:val="1"/>
          <w:b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43" w:lineRule="exact"/>
        <w:rPr>
          <w:sz w:val="20"/>
          <w:szCs w:val="20"/>
          <w:color w:val="auto"/>
        </w:rPr>
      </w:pPr>
    </w:p>
    <w:p>
      <w:pPr>
        <w:jc w:val="both"/>
        <w:ind w:right="120"/>
        <w:spacing w:after="0" w:line="263" w:lineRule="auto"/>
        <w:rPr>
          <w:sz w:val="20"/>
          <w:szCs w:val="20"/>
          <w:color w:val="auto"/>
        </w:rPr>
      </w:pPr>
      <w:r>
        <w:rPr>
          <w:rFonts w:ascii="Arial" w:cs="Arial" w:eastAsia="Arial" w:hAnsi="Arial"/>
          <w:sz w:val="15"/>
          <w:szCs w:val="15"/>
          <w:color w:val="auto"/>
        </w:rPr>
        <w:t>We may in the future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b w:val="1"/>
          <w:b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3" w:lineRule="exact"/>
        <w:rPr>
          <w:sz w:val="20"/>
          <w:szCs w:val="20"/>
          <w:color w:val="auto"/>
        </w:rPr>
      </w:pPr>
    </w:p>
    <w:p>
      <w:pPr>
        <w:ind w:right="140"/>
        <w:spacing w:after="0" w:line="310" w:lineRule="auto"/>
        <w:rPr>
          <w:sz w:val="20"/>
          <w:szCs w:val="20"/>
          <w:color w:val="auto"/>
        </w:rPr>
      </w:pPr>
      <w:r>
        <w:rPr>
          <w:rFonts w:ascii="Arial" w:cs="Arial" w:eastAsia="Arial" w:hAnsi="Arial"/>
          <w:sz w:val="13"/>
          <w:szCs w:val="13"/>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8" w:name="page29"/>
    <w:bookmarkEnd w:id="2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regulatory authorities may withdraw approvals of such product;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product's label;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may be required to create a medication guide outlining the risks of such side effects for distribution to patients;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98"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51"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risk-benefit perspective, any of which would harm our business.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DEPENDENCE ON THIRD PARTIES AND MANUFACTURING</w:t>
      </w:r>
    </w:p>
    <w:p>
      <w:pPr>
        <w:spacing w:after="0" w:line="187" w:lineRule="exact"/>
        <w:rPr>
          <w:sz w:val="20"/>
          <w:szCs w:val="20"/>
          <w:color w:val="auto"/>
        </w:rPr>
      </w:pPr>
    </w:p>
    <w:p>
      <w:pPr>
        <w:ind w:left="7" w:right="160"/>
        <w:spacing w:after="0" w:line="253" w:lineRule="auto"/>
        <w:rPr>
          <w:sz w:val="20"/>
          <w:szCs w:val="20"/>
          <w:color w:val="auto"/>
        </w:rPr>
      </w:pPr>
      <w:r>
        <w:rPr>
          <w:rFonts w:ascii="Arial" w:cs="Arial" w:eastAsia="Arial" w:hAnsi="Arial"/>
          <w:sz w:val="15"/>
          <w:szCs w:val="15"/>
          <w:b w:val="1"/>
          <w:b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61"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We obtain the biologic pegsiticase, a component of SEL-212, our lead product candidate, from 3SBio in China. Under our license agreement with 3SBio, we are not permitted to manufacture pegisticase and, as a result, expect to continue to rely on 3SBio for our supply of pegsiticase for the foreseeable future. Although we intend to seek to secure a backup supplier outside of China, we cannot assure you that we will be able to do so on acceptable terms.</w:t>
      </w:r>
    </w:p>
    <w:p>
      <w:pPr>
        <w:spacing w:after="0" w:line="159"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Any disruption in production or inability of 3SBio in China to produce adequate quantities of pegsiticase to meet our needs, whether as a result of a natural disaster or other causes,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6630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9" w:name="page30"/>
    <w:bookmarkEnd w:id="2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60"/>
        <w:spacing w:after="0" w:line="282" w:lineRule="auto"/>
        <w:rPr>
          <w:sz w:val="20"/>
          <w:szCs w:val="20"/>
          <w:color w:val="auto"/>
        </w:rPr>
      </w:pPr>
      <w:r>
        <w:rPr>
          <w:rFonts w:ascii="Arial" w:cs="Arial" w:eastAsia="Arial" w:hAnsi="Arial"/>
          <w:sz w:val="15"/>
          <w:szCs w:val="15"/>
          <w:color w:val="auto"/>
        </w:rPr>
        <w:t>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51"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62"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We may be unable to establish any agreements with third-party manufacturers on acceptable terms or at all. Even if we are able to establish agreements with third-party manufacturers, reliance on third-party manufacturers entails additional risks, including the:</w:t>
      </w:r>
    </w:p>
    <w:p>
      <w:pPr>
        <w:spacing w:after="0" w:line="162" w:lineRule="exact"/>
        <w:rPr>
          <w:sz w:val="20"/>
          <w:szCs w:val="20"/>
          <w:color w:val="auto"/>
        </w:rPr>
      </w:pPr>
    </w:p>
    <w:p>
      <w:pPr>
        <w:ind w:left="467" w:right="300" w:hanging="467"/>
        <w:spacing w:after="0" w:line="282" w:lineRule="auto"/>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inability, failure or unwillingness of third-party manufacturers to comply with regulatory requirements, maintain quality assurance, meet our needs, specifications or schedules or continue to supply products to 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reduced control we have over product development, including with respect to our lead product candidate, due to our reliance on such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breach of manufacturing agreements by the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misappropriation or disclosure of our proprietary information, including our trade secrets and know-how;</w:t>
      </w:r>
    </w:p>
    <w:p>
      <w:pPr>
        <w:spacing w:after="0" w:line="221" w:lineRule="exact"/>
        <w:rPr>
          <w:rFonts w:ascii="Arial" w:cs="Arial" w:eastAsia="Arial" w:hAnsi="Arial"/>
          <w:sz w:val="15"/>
          <w:szCs w:val="15"/>
          <w:color w:val="auto"/>
        </w:rPr>
      </w:pPr>
    </w:p>
    <w:p>
      <w:pPr>
        <w:jc w:val="both"/>
        <w:ind w:left="467" w:right="100" w:hanging="467"/>
        <w:spacing w:after="0" w:line="270" w:lineRule="auto"/>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termination or nonrenewal of agreements by third-party manufacturers at times that are costly or inconvenient for us.</w:t>
      </w:r>
    </w:p>
    <w:p>
      <w:pPr>
        <w:spacing w:after="0" w:line="198"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Third-party manufacturers may not be able to comply with current Good Manufacturing Practices, or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manufacturer is unable to comply with cGMP regulations or if the FDA does not approve their facility upon a pre-approval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54"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0" w:name="page31"/>
    <w:bookmarkEnd w:id="3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97" w:lineRule="auto"/>
        <w:rPr>
          <w:sz w:val="20"/>
          <w:szCs w:val="20"/>
          <w:color w:val="auto"/>
        </w:rPr>
      </w:pPr>
      <w:r>
        <w:rPr>
          <w:rFonts w:ascii="Arial" w:cs="Arial" w:eastAsia="Arial" w:hAnsi="Arial"/>
          <w:sz w:val="14"/>
          <w:szCs w:val="14"/>
          <w:color w:val="auto"/>
        </w:rPr>
        <w:t>manufacturer to produce multiple product components. For instance, one of our contract manufacturers produces polymers used in our SVP technology. If our current contract manufacturers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35" w:lineRule="exact"/>
        <w:rPr>
          <w:sz w:val="20"/>
          <w:szCs w:val="20"/>
          <w:color w:val="auto"/>
        </w:rPr>
      </w:pPr>
    </w:p>
    <w:p>
      <w:pPr>
        <w:ind w:left="7" w:right="820"/>
        <w:spacing w:after="0" w:line="277" w:lineRule="auto"/>
        <w:rPr>
          <w:sz w:val="20"/>
          <w:szCs w:val="20"/>
          <w:color w:val="auto"/>
        </w:rPr>
      </w:pPr>
      <w:r>
        <w:rPr>
          <w:rFonts w:ascii="Arial" w:cs="Arial" w:eastAsia="Arial" w:hAnsi="Arial"/>
          <w:sz w:val="15"/>
          <w:szCs w:val="15"/>
          <w:b w:val="1"/>
          <w:b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43" w:lineRule="exact"/>
        <w:rPr>
          <w:sz w:val="20"/>
          <w:szCs w:val="20"/>
          <w:color w:val="auto"/>
        </w:rPr>
      </w:pPr>
    </w:p>
    <w:p>
      <w:pPr>
        <w:ind w:left="7" w:right="60"/>
        <w:spacing w:after="0" w:line="263" w:lineRule="auto"/>
        <w:rPr>
          <w:sz w:val="20"/>
          <w:szCs w:val="20"/>
          <w:color w:val="auto"/>
        </w:rPr>
      </w:pPr>
      <w:r>
        <w:rPr>
          <w:rFonts w:ascii="Arial" w:cs="Arial" w:eastAsia="Arial" w:hAnsi="Arial"/>
          <w:sz w:val="15"/>
          <w:szCs w:val="15"/>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Our collaboration and license agreements include those with Sanofi, Massachusetts Institute of Technology, or MIT, 3SBio, BIND Therapeutics, Inc. and the Massachusetts Eye and Ear Infirmary and The Schepens Eye Research Institute, Inc. Our collaborations with Sanofi also provided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78" w:lineRule="exact"/>
        <w:rPr>
          <w:sz w:val="20"/>
          <w:szCs w:val="20"/>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collaborators have significant discretion in determining the efforts and resources that they will apply to these collaborations;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209" w:lineRule="exact"/>
        <w:rPr>
          <w:rFonts w:ascii="Arial" w:cs="Arial" w:eastAsia="Arial" w:hAnsi="Arial"/>
          <w:sz w:val="15"/>
          <w:szCs w:val="15"/>
          <w:color w:val="auto"/>
        </w:rPr>
      </w:pPr>
    </w:p>
    <w:p>
      <w:pPr>
        <w:jc w:val="both"/>
        <w:ind w:left="467" w:right="80" w:hanging="467"/>
        <w:spacing w:after="0" w:line="270" w:lineRule="auto"/>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70" w:lineRule="exact"/>
        <w:rPr>
          <w:rFonts w:ascii="Arial" w:cs="Arial" w:eastAsia="Arial" w:hAnsi="Arial"/>
          <w:sz w:val="15"/>
          <w:szCs w:val="15"/>
          <w:color w:val="auto"/>
        </w:rPr>
      </w:pPr>
    </w:p>
    <w:p>
      <w:pPr>
        <w:ind w:left="467" w:right="280" w:hanging="467"/>
        <w:spacing w:after="0" w:line="282" w:lineRule="auto"/>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5"/>
          <w:szCs w:val="15"/>
          <w:color w:val="auto"/>
        </w:rPr>
      </w:pPr>
    </w:p>
    <w:p>
      <w:pPr>
        <w:ind w:left="467" w:right="300" w:hanging="467"/>
        <w:spacing w:after="0" w:line="270" w:lineRule="auto"/>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70" w:lineRule="exact"/>
        <w:rPr>
          <w:rFonts w:ascii="Arial" w:cs="Arial" w:eastAsia="Arial" w:hAnsi="Arial"/>
          <w:sz w:val="15"/>
          <w:szCs w:val="15"/>
          <w:color w:val="auto"/>
        </w:rPr>
      </w:pPr>
    </w:p>
    <w:p>
      <w:pPr>
        <w:ind w:left="467" w:right="60" w:hanging="467"/>
        <w:spacing w:after="0" w:line="282" w:lineRule="auto"/>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2" w:lineRule="exact"/>
        <w:rPr>
          <w:rFonts w:ascii="Arial" w:cs="Arial" w:eastAsia="Arial" w:hAnsi="Arial"/>
          <w:sz w:val="15"/>
          <w:szCs w:val="15"/>
          <w:color w:val="auto"/>
        </w:rPr>
      </w:pPr>
    </w:p>
    <w:p>
      <w:pPr>
        <w:ind w:left="467" w:right="100" w:hanging="467"/>
        <w:spacing w:after="0" w:line="270" w:lineRule="auto"/>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31" w:name="page32"/>
    <w:bookmarkEnd w:id="3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80" w:hanging="467"/>
        <w:spacing w:after="0" w:line="282" w:lineRule="auto"/>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209" w:lineRule="exact"/>
        <w:rPr>
          <w:rFonts w:ascii="Arial" w:cs="Arial" w:eastAsia="Arial" w:hAnsi="Arial"/>
          <w:sz w:val="15"/>
          <w:szCs w:val="15"/>
          <w:color w:val="auto"/>
        </w:rPr>
      </w:pPr>
    </w:p>
    <w:p>
      <w:pPr>
        <w:ind w:left="467" w:right="140" w:hanging="467"/>
        <w:spacing w:after="0" w:line="282" w:lineRule="auto"/>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collaborations may be terminated for the convenience of the collaborator and, if terminated, we would potentially lose the right to pursue further development or commercialization of the applicable product candidates;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may learn about our technology and use this knowledge to compete with us in the future;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there may be conflicts between different collaborators that could negatively affect those collaborations and potentially others;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number and type of our collaborations could adversely affect our attractiveness to future collaborators or acquirers; and</w:t>
      </w:r>
    </w:p>
    <w:p>
      <w:pPr>
        <w:spacing w:after="0" w:line="209" w:lineRule="exact"/>
        <w:rPr>
          <w:rFonts w:ascii="Arial" w:cs="Arial" w:eastAsia="Arial" w:hAnsi="Arial"/>
          <w:sz w:val="15"/>
          <w:szCs w:val="15"/>
          <w:color w:val="auto"/>
        </w:rPr>
      </w:pPr>
    </w:p>
    <w:p>
      <w:pPr>
        <w:ind w:left="467" w:right="100" w:hanging="467"/>
        <w:spacing w:after="0" w:line="282" w:lineRule="auto"/>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currently have, and in the future may have, a limited number of collaborations and the loss of, or a disruption in our relationship with, any one or more of such collaborators may could harm our business.</w:t>
      </w:r>
    </w:p>
    <w:p>
      <w:pPr>
        <w:spacing w:after="0" w:line="151" w:lineRule="exact"/>
        <w:rPr>
          <w:sz w:val="20"/>
          <w:szCs w:val="20"/>
          <w:color w:val="auto"/>
        </w:rPr>
      </w:pPr>
    </w:p>
    <w:p>
      <w:pPr>
        <w:ind w:left="7" w:right="180"/>
        <w:spacing w:after="0" w:line="287"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prospectus also apply to the activities of our therapeutic program collaborators and there can be no assurance that our collaborations will produce positive results or successful products on a timely basis or at all.</w:t>
      </w:r>
    </w:p>
    <w:p>
      <w:pPr>
        <w:spacing w:after="0" w:line="149"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48" w:lineRule="exact"/>
        <w:rPr>
          <w:sz w:val="20"/>
          <w:szCs w:val="20"/>
          <w:color w:val="auto"/>
        </w:rPr>
      </w:pPr>
    </w:p>
    <w:p>
      <w:pPr>
        <w:ind w:left="7" w:right="80"/>
        <w:spacing w:after="0" w:line="310" w:lineRule="auto"/>
        <w:rPr>
          <w:sz w:val="20"/>
          <w:szCs w:val="20"/>
          <w:color w:val="auto"/>
        </w:rPr>
      </w:pPr>
      <w:r>
        <w:rPr>
          <w:rFonts w:ascii="Arial" w:cs="Arial" w:eastAsia="Arial" w:hAnsi="Arial"/>
          <w:sz w:val="13"/>
          <w:szCs w:val="13"/>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6630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60"/>
        <w:spacing w:after="0" w:line="297" w:lineRule="auto"/>
        <w:rPr>
          <w:sz w:val="20"/>
          <w:szCs w:val="20"/>
          <w:color w:val="auto"/>
        </w:rPr>
      </w:pPr>
      <w:r>
        <w:rPr>
          <w:rFonts w:ascii="Arial" w:cs="Arial" w:eastAsia="Arial" w:hAnsi="Arial"/>
          <w:sz w:val="14"/>
          <w:szCs w:val="14"/>
          <w:color w:val="auto"/>
        </w:rPr>
        <w:t>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35" w:lineRule="exact"/>
        <w:rPr>
          <w:sz w:val="20"/>
          <w:szCs w:val="20"/>
          <w:color w:val="auto"/>
        </w:rPr>
      </w:pPr>
    </w:p>
    <w:p>
      <w:pPr>
        <w:jc w:val="both"/>
        <w:ind w:right="80"/>
        <w:spacing w:after="0" w:line="277" w:lineRule="auto"/>
        <w:rPr>
          <w:sz w:val="20"/>
          <w:szCs w:val="20"/>
          <w:color w:val="auto"/>
        </w:rPr>
      </w:pPr>
      <w:r>
        <w:rPr>
          <w:rFonts w:ascii="Arial" w:cs="Arial" w:eastAsia="Arial" w:hAnsi="Arial"/>
          <w:sz w:val="15"/>
          <w:szCs w:val="15"/>
          <w:b w:val="1"/>
          <w:b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43"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We expect to continue to rely on third parties, such as CROs, clinical data management organizations, medical institutions and clinical investigators, to conduct and manage our clinical trials, including our Phase 1b clinical trial of SEL-212.</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government-sponsored database, </w:t>
      </w:r>
      <w:r>
        <w:rPr>
          <w:rFonts w:ascii="Arial" w:cs="Arial" w:eastAsia="Arial" w:hAnsi="Arial"/>
          <w:sz w:val="14"/>
          <w:szCs w:val="14"/>
          <w:i w:val="1"/>
          <w:iCs w:val="1"/>
          <w:color w:val="auto"/>
        </w:rPr>
        <w:t>ClinicalTrials.gov</w:t>
      </w:r>
      <w:r>
        <w:rPr>
          <w:rFonts w:ascii="Arial" w:cs="Arial" w:eastAsia="Arial" w:hAnsi="Arial"/>
          <w:sz w:val="14"/>
          <w:szCs w:val="14"/>
          <w:color w:val="auto"/>
        </w:rPr>
        <w:t>, within specified timeframes. Failure to do so can result in fines, adverse publicity and civil and criminal sanctions.</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67" w:lineRule="exact"/>
        <w:rPr>
          <w:sz w:val="20"/>
          <w:szCs w:val="20"/>
          <w:color w:val="auto"/>
        </w:rPr>
      </w:pPr>
    </w:p>
    <w:p>
      <w:pPr>
        <w:ind w:right="160"/>
        <w:spacing w:after="0" w:line="362" w:lineRule="auto"/>
        <w:rPr>
          <w:sz w:val="20"/>
          <w:szCs w:val="20"/>
          <w:color w:val="auto"/>
        </w:rPr>
      </w:pPr>
      <w:r>
        <w:rPr>
          <w:rFonts w:ascii="Arial" w:cs="Arial" w:eastAsia="Arial" w:hAnsi="Arial"/>
          <w:sz w:val="13"/>
          <w:szCs w:val="13"/>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97" w:lineRule="exact"/>
        <w:rPr>
          <w:sz w:val="20"/>
          <w:szCs w:val="20"/>
          <w:color w:val="auto"/>
        </w:rPr>
      </w:pPr>
    </w:p>
    <w:p>
      <w:pPr>
        <w:jc w:val="both"/>
        <w:ind w:right="260"/>
        <w:spacing w:after="0" w:line="259" w:lineRule="auto"/>
        <w:rPr>
          <w:sz w:val="20"/>
          <w:szCs w:val="20"/>
          <w:color w:val="auto"/>
        </w:rPr>
      </w:pPr>
      <w:r>
        <w:rPr>
          <w:rFonts w:ascii="Arial" w:cs="Arial" w:eastAsia="Arial" w:hAnsi="Arial"/>
          <w:sz w:val="15"/>
          <w:szCs w:val="15"/>
          <w:b w:val="1"/>
          <w:b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56"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We have a pilot manufacturing facility at our Watertown, Massachusetts location where we conduct process development, scale-up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lead-time to replace our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33" w:name="page34"/>
    <w:bookmarkEnd w:id="33"/>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60"/>
        <w:spacing w:after="0" w:line="270" w:lineRule="auto"/>
        <w:rPr>
          <w:sz w:val="20"/>
          <w:szCs w:val="20"/>
          <w:color w:val="auto"/>
        </w:rPr>
      </w:pPr>
      <w:r>
        <w:rPr>
          <w:rFonts w:ascii="Arial" w:cs="Arial" w:eastAsia="Arial" w:hAnsi="Arial"/>
          <w:sz w:val="15"/>
          <w:szCs w:val="15"/>
          <w:color w:val="auto"/>
        </w:rPr>
        <w:t>capabilities. In such event, we would be forced to identify and rely entirely on alternative third-party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159" w:lineRule="exact"/>
        <w:rPr>
          <w:sz w:val="20"/>
          <w:szCs w:val="20"/>
          <w:color w:val="auto"/>
        </w:rPr>
      </w:pPr>
    </w:p>
    <w:p>
      <w:pPr>
        <w:jc w:val="both"/>
        <w:ind w:left="7" w:right="240"/>
        <w:spacing w:after="0" w:line="297" w:lineRule="auto"/>
        <w:rPr>
          <w:sz w:val="20"/>
          <w:szCs w:val="20"/>
          <w:color w:val="auto"/>
        </w:rPr>
      </w:pPr>
      <w:r>
        <w:rPr>
          <w:rFonts w:ascii="Arial" w:cs="Arial" w:eastAsia="Arial" w:hAnsi="Arial"/>
          <w:sz w:val="14"/>
          <w:szCs w:val="14"/>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44"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We may choose to establish a manufacturing facility for our product candidates for production at a commercial scale. However,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62" w:lineRule="exact"/>
        <w:rPr>
          <w:sz w:val="20"/>
          <w:szCs w:val="20"/>
          <w:color w:val="auto"/>
        </w:rPr>
      </w:pPr>
    </w:p>
    <w:p>
      <w:pPr>
        <w:ind w:left="7" w:right="560"/>
        <w:spacing w:after="0" w:line="362" w:lineRule="auto"/>
        <w:rPr>
          <w:sz w:val="20"/>
          <w:szCs w:val="20"/>
          <w:color w:val="auto"/>
        </w:rPr>
      </w:pPr>
      <w:r>
        <w:rPr>
          <w:rFonts w:ascii="Arial" w:cs="Arial" w:eastAsia="Arial" w:hAnsi="Arial"/>
          <w:sz w:val="13"/>
          <w:szCs w:val="13"/>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COMMERCIALIZATION OF OUR PRODUCT CANDIDATES AND OTHER LEGAL COMPLIANCE MATTERS</w:t>
      </w:r>
    </w:p>
    <w:p>
      <w:pPr>
        <w:spacing w:after="0" w:line="187" w:lineRule="exact"/>
        <w:rPr>
          <w:sz w:val="20"/>
          <w:szCs w:val="20"/>
          <w:color w:val="auto"/>
        </w:rPr>
      </w:pPr>
    </w:p>
    <w:p>
      <w:pPr>
        <w:ind w:left="7" w:right="200"/>
        <w:spacing w:after="0" w:line="277" w:lineRule="auto"/>
        <w:rPr>
          <w:sz w:val="20"/>
          <w:szCs w:val="20"/>
          <w:color w:val="auto"/>
        </w:rPr>
      </w:pPr>
      <w:r>
        <w:rPr>
          <w:rFonts w:ascii="Arial" w:cs="Arial" w:eastAsia="Arial" w:hAnsi="Arial"/>
          <w:sz w:val="15"/>
          <w:szCs w:val="15"/>
          <w:b w:val="1"/>
          <w:b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43"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71" w:lineRule="exact"/>
        <w:rPr>
          <w:sz w:val="20"/>
          <w:szCs w:val="20"/>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their efficacy, safety and other potential advantages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clinical indications for which our product candidates are approved;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ability to offer them for sale at competitive prices;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their convenience and ease of administration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availability of third-party coverage and adequate reimbursement for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prevalence and severity of their side effects and their overall safety profiles;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restrictions on the use of our product candidates together with other medications;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interactions of our product candidates with other medicines patients are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4" w:name="page35"/>
    <w:bookmarkEnd w:id="34"/>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create awareness with patients and physicians about the harmful effects of uric acid deposits;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inability of certain types of patients to take our product candidates;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their ability to remain attractive in the event of changing treatment guidelines.</w:t>
      </w:r>
    </w:p>
    <w:p>
      <w:pPr>
        <w:spacing w:after="0" w:line="198" w:lineRule="exact"/>
        <w:rPr>
          <w:sz w:val="20"/>
          <w:szCs w:val="20"/>
          <w:color w:val="auto"/>
        </w:rPr>
      </w:pPr>
    </w:p>
    <w:p>
      <w:pPr>
        <w:ind w:left="7" w:right="260"/>
        <w:spacing w:after="0" w:line="263" w:lineRule="auto"/>
        <w:rPr>
          <w:sz w:val="20"/>
          <w:szCs w:val="20"/>
          <w:color w:val="auto"/>
        </w:rPr>
      </w:pPr>
      <w:r>
        <w:rPr>
          <w:rFonts w:ascii="Arial" w:cs="Arial" w:eastAsia="Arial" w:hAnsi="Arial"/>
          <w:sz w:val="15"/>
          <w:szCs w:val="15"/>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159" w:lineRule="exact"/>
        <w:rPr>
          <w:sz w:val="20"/>
          <w:szCs w:val="20"/>
          <w:color w:val="auto"/>
        </w:rPr>
      </w:pPr>
    </w:p>
    <w:p>
      <w:pPr>
        <w:ind w:left="7" w:right="340"/>
        <w:spacing w:after="0" w:line="277" w:lineRule="auto"/>
        <w:rPr>
          <w:sz w:val="20"/>
          <w:szCs w:val="20"/>
          <w:color w:val="auto"/>
        </w:rPr>
      </w:pPr>
      <w:r>
        <w:rPr>
          <w:rFonts w:ascii="Arial" w:cs="Arial" w:eastAsia="Arial" w:hAnsi="Arial"/>
          <w:sz w:val="15"/>
          <w:szCs w:val="15"/>
          <w:b w:val="1"/>
          <w:b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43"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59"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Factors that may inhibit our efforts to commercialize our product candidates on our own include:</w:t>
      </w:r>
    </w:p>
    <w:p>
      <w:pPr>
        <w:spacing w:after="0" w:line="210" w:lineRule="exact"/>
        <w:rPr>
          <w:sz w:val="20"/>
          <w:szCs w:val="20"/>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inability to recruit, train and retain adequate numbers of effective sales and marketing personnel;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or educate physicians on the benefits of our products;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inability to obtain sufficient coverage and reimbursement from third-party payors and governmental agencies for our product candidates.</w:t>
      </w:r>
    </w:p>
    <w:p>
      <w:pPr>
        <w:spacing w:after="0" w:line="198"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Outside the United States, we may rely on third parties to sell, market and distribute our product candidates. We may not be successful in entering into arrangements with such third parties or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 candidates, if approved, may fail to offer material commercial advantages over other treatments.</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SEL-212 for the treatment of refractory and chronic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b w:val="1"/>
          <w:bCs w:val="1"/>
          <w:color w:val="auto"/>
        </w:rPr>
        <w:t>We face substantial competition, which may result in others discovering, developing or commercializing competing products before or more successfully than we do.</w:t>
      </w:r>
    </w:p>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many companies offer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this regard, SEL-212 may compete with Krystexxa, recently acquired by affiliates of Horizon Pharma plc, which contains a pegylated uricase similar to the pegsiticase component of SEL-212 and is indicated for the treatment of refractory gout. Large companies with active research to prevent the formation of ADAs and treat allergies and autoimmune diseases include Sanofi, Pfizer Inc., or Pfizer, and Merck &amp; Co., Inc., or Merck. Small early-stage biopharmaceutical companies active in the research for new technologies to achieve antigen-specific tolerance include Anokion SA, Cour Pharmaceutical Development Company, Inc., or Cour Pharmaceutical, Apitope International NV, Evotec AG and Dendright International, Inc. Large pharmaceutical companies, including Astra Zeneca PLC, or Astra Zeneca, Roche Holding AG, Pfizer, Merck, Bristol-Myers Squibb Company, and Amgen Inc., as well as smaller biopharmaceutical companies, including Immune Design Corp., are active in the research and development of cancer vaccines. Clinical stage companies with vaccine approaches to treating HPV-associated cancer include VGX3100 from Inovio Pharmaceuticals, Inc., or Inovio, ISA-101 from ISA Pharmaceuticals B.V., GTL001 from Genticel, INO-3112 licensed by Astra Zeneca from Inovio, and others. Some of these competitive products and therapies are based on scientific approaches that are the same as or similar to our approach, and others may be based on entirely different approaches. For example, Anokion SA targets to induce antigen-specific tolerance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26630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640"/>
        <w:spacing w:after="0" w:line="270" w:lineRule="auto"/>
        <w:rPr>
          <w:sz w:val="20"/>
          <w:szCs w:val="20"/>
          <w:color w:val="auto"/>
        </w:rPr>
      </w:pPr>
      <w:r>
        <w:rPr>
          <w:rFonts w:ascii="Arial" w:cs="Arial" w:eastAsia="Arial" w:hAnsi="Arial"/>
          <w:sz w:val="15"/>
          <w:szCs w:val="15"/>
          <w:color w:val="auto"/>
        </w:rPr>
        <w:t>attaching an antigen to red blood cells and Cour Pharmaceutical is working on a nanoparticle encapsulating antigen without any immunomodulator to treat celiac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51"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159" w:lineRule="exact"/>
        <w:rPr>
          <w:sz w:val="20"/>
          <w:szCs w:val="20"/>
          <w:color w:val="auto"/>
        </w:rPr>
      </w:pPr>
    </w:p>
    <w:p>
      <w:pPr>
        <w:ind w:right="200"/>
        <w:spacing w:after="0" w:line="277" w:lineRule="auto"/>
        <w:rPr>
          <w:sz w:val="20"/>
          <w:szCs w:val="20"/>
          <w:color w:val="auto"/>
        </w:rPr>
      </w:pPr>
      <w:r>
        <w:rPr>
          <w:rFonts w:ascii="Arial" w:cs="Arial" w:eastAsia="Arial" w:hAnsi="Arial"/>
          <w:sz w:val="15"/>
          <w:szCs w:val="15"/>
          <w:b w:val="1"/>
          <w:bCs w:val="1"/>
          <w:color w:val="auto"/>
        </w:rPr>
        <w:t>Even if we are able to commercialize any product candidates, the products may become subject to unfavorable pricing regulations or third-party coverage or reimbursement policies, any of which would harm our business.</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62"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Obtaining and maintaining adequate reimbursement for our products may be difficult. The process for determining whether a third-party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26630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7" w:name="page38"/>
    <w:bookmarkEnd w:id="37"/>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60"/>
        <w:spacing w:after="0" w:line="297" w:lineRule="auto"/>
        <w:rPr>
          <w:sz w:val="20"/>
          <w:szCs w:val="20"/>
          <w:color w:val="auto"/>
        </w:rPr>
      </w:pPr>
      <w:r>
        <w:rPr>
          <w:rFonts w:ascii="Arial" w:cs="Arial" w:eastAsia="Arial" w:hAnsi="Arial"/>
          <w:sz w:val="14"/>
          <w:szCs w:val="14"/>
          <w:color w:val="auto"/>
        </w:rPr>
        <w:t>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44"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54"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Product liability lawsuits against us could cause us to incur substantial liabilities and limit commercialization of any products that we may develop.</w:t>
      </w:r>
    </w:p>
    <w:p>
      <w:pPr>
        <w:spacing w:after="0" w:line="195"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1" w:lineRule="exact"/>
        <w:rPr>
          <w:sz w:val="20"/>
          <w:szCs w:val="20"/>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regulatory investigations, product recalls or withdrawals, or labeling, marketing or promotional restrictions;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decreased demand for any product candidates or products that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8" w:name="page39"/>
    <w:bookmarkEnd w:id="3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injury to our reputation and significant negative media attention;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significant costs to defend the related litigation;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reduced resources of our management to pursue our business strategy;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inability to commercialize any products that we may develop.</w:t>
      </w:r>
    </w:p>
    <w:p>
      <w:pPr>
        <w:spacing w:after="0" w:line="198" w:lineRule="exact"/>
        <w:rPr>
          <w:sz w:val="20"/>
          <w:szCs w:val="20"/>
          <w:color w:val="auto"/>
        </w:rPr>
      </w:pPr>
    </w:p>
    <w:p>
      <w:pPr>
        <w:jc w:val="both"/>
        <w:ind w:left="7" w:right="20"/>
        <w:spacing w:after="0" w:line="297" w:lineRule="auto"/>
        <w:rPr>
          <w:sz w:val="20"/>
          <w:szCs w:val="20"/>
          <w:color w:val="auto"/>
        </w:rPr>
      </w:pPr>
      <w:r>
        <w:rPr>
          <w:rFonts w:ascii="Arial" w:cs="Arial" w:eastAsia="Arial" w:hAnsi="Arial"/>
          <w:sz w:val="14"/>
          <w:szCs w:val="14"/>
          <w:color w:val="auto"/>
        </w:rPr>
        <w:t>We currently hold $10 million in product liability insurance coverage in the aggregate, with no per occurrence limit,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Failure to obtain marketing approval in international jurisdictions would prevent our product candidates from being marketed abroad.</w:t>
      </w:r>
    </w:p>
    <w:p>
      <w:pPr>
        <w:spacing w:after="0" w:line="195"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162" w:lineRule="exact"/>
        <w:rPr>
          <w:sz w:val="20"/>
          <w:szCs w:val="20"/>
          <w:color w:val="auto"/>
        </w:rPr>
      </w:pPr>
    </w:p>
    <w:p>
      <w:pPr>
        <w:ind w:left="7" w:right="320"/>
        <w:spacing w:after="0" w:line="253" w:lineRule="auto"/>
        <w:rPr>
          <w:sz w:val="20"/>
          <w:szCs w:val="20"/>
          <w:color w:val="auto"/>
        </w:rPr>
      </w:pPr>
      <w:r>
        <w:rPr>
          <w:rFonts w:ascii="Arial" w:cs="Arial" w:eastAsia="Arial" w:hAnsi="Arial"/>
          <w:sz w:val="15"/>
          <w:szCs w:val="15"/>
          <w:b w:val="1"/>
          <w:bCs w:val="1"/>
          <w:color w:val="auto"/>
        </w:rPr>
        <w:t>Although we are not currently marketing our product candidates, including to healthcare providers, if and when we do, our relationships with healthcare providers, customers and third-party payors may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1"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Healthcare providers, customers and third-party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39" w:name="page40"/>
    <w:bookmarkEnd w:id="3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for which we obtain marketing approval. Restrictions under applicable federal and state healthcare laws and regulations may include the following:</w:t>
      </w:r>
    </w:p>
    <w:p>
      <w:pPr>
        <w:spacing w:after="0" w:line="210" w:lineRule="exact"/>
        <w:rPr>
          <w:sz w:val="20"/>
          <w:szCs w:val="20"/>
          <w:color w:val="auto"/>
        </w:rPr>
      </w:pPr>
    </w:p>
    <w:p>
      <w:pPr>
        <w:ind w:left="467" w:right="80" w:hanging="467"/>
        <w:spacing w:after="0" w:line="287" w:lineRule="auto"/>
        <w:tabs>
          <w:tab w:leader="none" w:pos="46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2" w:lineRule="exact"/>
        <w:rPr>
          <w:rFonts w:ascii="Arial" w:cs="Arial" w:eastAsia="Arial" w:hAnsi="Arial"/>
          <w:sz w:val="14"/>
          <w:szCs w:val="14"/>
          <w:color w:val="auto"/>
        </w:rPr>
      </w:pPr>
    </w:p>
    <w:p>
      <w:pPr>
        <w:jc w:val="both"/>
        <w:ind w:left="467" w:right="300" w:hanging="467"/>
        <w:spacing w:after="0" w:line="270" w:lineRule="auto"/>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0" w:lineRule="exact"/>
        <w:rPr>
          <w:rFonts w:ascii="Arial" w:cs="Arial" w:eastAsia="Arial" w:hAnsi="Arial"/>
          <w:sz w:val="15"/>
          <w:szCs w:val="15"/>
          <w:color w:val="auto"/>
        </w:rPr>
      </w:pPr>
    </w:p>
    <w:p>
      <w:pPr>
        <w:ind w:left="467" w:right="80" w:hanging="467"/>
        <w:spacing w:after="0" w:line="270" w:lineRule="auto"/>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70" w:lineRule="exact"/>
        <w:rPr>
          <w:rFonts w:ascii="Arial" w:cs="Arial" w:eastAsia="Arial" w:hAnsi="Arial"/>
          <w:sz w:val="15"/>
          <w:szCs w:val="15"/>
          <w:color w:val="auto"/>
        </w:rPr>
      </w:pPr>
    </w:p>
    <w:p>
      <w:pPr>
        <w:jc w:val="both"/>
        <w:ind w:left="467" w:right="200" w:hanging="467"/>
        <w:spacing w:after="0" w:line="270" w:lineRule="auto"/>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2" w:lineRule="exact"/>
        <w:rPr>
          <w:rFonts w:ascii="Arial" w:cs="Arial" w:eastAsia="Arial" w:hAnsi="Arial"/>
          <w:sz w:val="15"/>
          <w:szCs w:val="15"/>
          <w:color w:val="auto"/>
        </w:rPr>
      </w:pPr>
    </w:p>
    <w:p>
      <w:pPr>
        <w:ind w:left="467" w:right="260" w:hanging="467"/>
        <w:spacing w:after="0" w:line="263" w:lineRule="auto"/>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78" w:lineRule="exact"/>
        <w:rPr>
          <w:rFonts w:ascii="Arial" w:cs="Arial" w:eastAsia="Arial" w:hAnsi="Arial"/>
          <w:sz w:val="15"/>
          <w:szCs w:val="15"/>
          <w:color w:val="auto"/>
        </w:rPr>
      </w:pPr>
    </w:p>
    <w:p>
      <w:pPr>
        <w:ind w:left="467" w:right="100" w:hanging="467"/>
        <w:spacing w:after="0" w:line="262" w:lineRule="auto"/>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left="7" w:right="360"/>
        <w:spacing w:after="0" w:line="282" w:lineRule="auto"/>
        <w:rPr>
          <w:sz w:val="20"/>
          <w:szCs w:val="20"/>
          <w:color w:val="auto"/>
        </w:rPr>
      </w:pPr>
      <w:r>
        <w:rPr>
          <w:rFonts w:ascii="Arial" w:cs="Arial" w:eastAsia="Arial" w:hAnsi="Arial"/>
          <w:sz w:val="15"/>
          <w:szCs w:val="15"/>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0" w:name="page41"/>
    <w:bookmarkEnd w:id="4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306" w:lineRule="auto"/>
        <w:rPr>
          <w:sz w:val="20"/>
          <w:szCs w:val="20"/>
          <w:color w:val="auto"/>
        </w:rPr>
      </w:pPr>
      <w:r>
        <w:rPr>
          <w:rFonts w:ascii="Arial" w:cs="Arial" w:eastAsia="Arial" w:hAnsi="Arial"/>
          <w:sz w:val="13"/>
          <w:szCs w:val="13"/>
          <w:color w:val="auto"/>
        </w:rPr>
        <w:t>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135" w:lineRule="exact"/>
        <w:rPr>
          <w:sz w:val="20"/>
          <w:szCs w:val="20"/>
          <w:color w:val="auto"/>
        </w:rPr>
      </w:pPr>
    </w:p>
    <w:p>
      <w:pPr>
        <w:ind w:left="7" w:right="180"/>
        <w:spacing w:after="0" w:line="277" w:lineRule="auto"/>
        <w:rPr>
          <w:sz w:val="20"/>
          <w:szCs w:val="20"/>
          <w:color w:val="auto"/>
        </w:rPr>
      </w:pPr>
      <w:r>
        <w:rPr>
          <w:rFonts w:ascii="Arial" w:cs="Arial" w:eastAsia="Arial" w:hAnsi="Arial"/>
          <w:sz w:val="15"/>
          <w:szCs w:val="15"/>
          <w:b w:val="1"/>
          <w:bCs w:val="1"/>
          <w:color w:val="auto"/>
        </w:rPr>
        <w:t>Recently enacted and future legislation may increase the difficulty and cost for us to obtain marketing approval of and commercialize our product candidates and affect the prices we may obtain.</w:t>
      </w:r>
    </w:p>
    <w:p>
      <w:pPr>
        <w:spacing w:after="0" w:line="143"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59" w:lineRule="exact"/>
        <w:rPr>
          <w:sz w:val="20"/>
          <w:szCs w:val="20"/>
          <w:color w:val="auto"/>
        </w:rPr>
      </w:pPr>
    </w:p>
    <w:p>
      <w:pPr>
        <w:jc w:val="both"/>
        <w:ind w:left="7" w:right="120"/>
        <w:spacing w:after="0" w:line="330" w:lineRule="auto"/>
        <w:rPr>
          <w:sz w:val="20"/>
          <w:szCs w:val="20"/>
          <w:color w:val="auto"/>
        </w:rPr>
      </w:pPr>
      <w:r>
        <w:rPr>
          <w:rFonts w:ascii="Arial" w:cs="Arial" w:eastAsia="Arial" w:hAnsi="Arial"/>
          <w:sz w:val="13"/>
          <w:szCs w:val="13"/>
          <w:color w:val="auto"/>
        </w:rPr>
        <w:t>For example, in the United States, in 2010, President Obama signed into law the Patient Protection and Affordable Care Act, as amended by the Health Care and Education Reconciliation Act, or collectively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Among the provisions of the PPACA of importance to our potential product candidates are the following:</w:t>
      </w:r>
    </w:p>
    <w:p>
      <w:pPr>
        <w:spacing w:after="0" w:line="210" w:lineRule="exact"/>
        <w:rPr>
          <w:sz w:val="20"/>
          <w:szCs w:val="20"/>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annual, nondeductible fee payable by any entity that manufactures or imports specified branded prescription drugs and biologic agents;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increase in the statutory minimum rebates a manufacturer must pay under the Medicaid Drug Rebate Program;</w:t>
      </w:r>
    </w:p>
    <w:p>
      <w:pPr>
        <w:spacing w:after="0" w:line="209" w:lineRule="exact"/>
        <w:rPr>
          <w:rFonts w:ascii="Arial" w:cs="Arial" w:eastAsia="Arial" w:hAnsi="Arial"/>
          <w:sz w:val="15"/>
          <w:szCs w:val="15"/>
          <w:color w:val="auto"/>
        </w:rPr>
      </w:pPr>
    </w:p>
    <w:p>
      <w:pPr>
        <w:ind w:left="467" w:right="360" w:hanging="467"/>
        <w:spacing w:after="0" w:line="282" w:lineRule="auto"/>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new methodology by which rebates owed by manufacturers under the Medicaid Drug Rebate Program are calculated for drugs that are inhaled, infused, instilled, implanted or injected;</w:t>
      </w:r>
    </w:p>
    <w:p>
      <w:pPr>
        <w:spacing w:after="0" w:line="162" w:lineRule="exact"/>
        <w:rPr>
          <w:rFonts w:ascii="Arial" w:cs="Arial" w:eastAsia="Arial" w:hAnsi="Arial"/>
          <w:sz w:val="15"/>
          <w:szCs w:val="15"/>
          <w:color w:val="auto"/>
        </w:rPr>
      </w:pPr>
    </w:p>
    <w:p>
      <w:pPr>
        <w:ind w:left="467" w:right="240" w:hanging="467"/>
        <w:spacing w:after="0" w:line="319" w:lineRule="auto"/>
        <w:tabs>
          <w:tab w:leader="none" w:pos="4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50% point-of-sale discounts off negotiated prices of applicable brand drugs to eligible beneficiaries under their coverage gap period, as a condition for the manufacturer's outpatient drugs to be covered under Medicare Part D;</w:t>
      </w:r>
    </w:p>
    <w:p>
      <w:pPr>
        <w:spacing w:after="0" w:line="151" w:lineRule="exact"/>
        <w:rPr>
          <w:rFonts w:ascii="Arial" w:cs="Arial" w:eastAsia="Arial" w:hAnsi="Arial"/>
          <w:sz w:val="14"/>
          <w:szCs w:val="14"/>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extension of manufacturers' Medicaid rebate liability to individuals enrolled in Medicaid managed care organizations;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expansion of the entities eligible for discounts under the Public Health Service pharmaceutical pricing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41" w:name="page42"/>
    <w:bookmarkEnd w:id="4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new requirement to annually report drug samples that manufacturers and distributors provide to physicians;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w:t>
      </w:r>
    </w:p>
    <w:p>
      <w:pPr>
        <w:spacing w:after="0" w:line="221" w:lineRule="exact"/>
        <w:rPr>
          <w:sz w:val="20"/>
          <w:szCs w:val="20"/>
          <w:color w:val="auto"/>
        </w:rPr>
      </w:pPr>
    </w:p>
    <w:p>
      <w:pPr>
        <w:ind w:left="7" w:right="80"/>
        <w:spacing w:after="0" w:line="263" w:lineRule="auto"/>
        <w:rPr>
          <w:sz w:val="20"/>
          <w:szCs w:val="20"/>
          <w:color w:val="auto"/>
        </w:rPr>
      </w:pPr>
      <w:r>
        <w:rPr>
          <w:rFonts w:ascii="Arial" w:cs="Arial" w:eastAsia="Arial" w:hAnsi="Arial"/>
          <w:sz w:val="15"/>
          <w:szCs w:val="15"/>
          <w:color w:val="auto"/>
        </w:rPr>
        <w:t>In addition, other legislative changes have been proposed and adopted since the PPACA was enacted. These changes included aggregate reductions to Medicare payments to providers of up to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67"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We expect that the PPACA,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8" w:lineRule="exact"/>
        <w:rPr>
          <w:sz w:val="20"/>
          <w:szCs w:val="20"/>
          <w:color w:val="auto"/>
        </w:rPr>
      </w:pPr>
    </w:p>
    <w:p>
      <w:pPr>
        <w:ind w:left="7" w:right="180"/>
        <w:spacing w:after="0" w:line="290" w:lineRule="auto"/>
        <w:rPr>
          <w:sz w:val="20"/>
          <w:szCs w:val="20"/>
          <w:color w:val="auto"/>
        </w:rPr>
      </w:pPr>
      <w:r>
        <w:rPr>
          <w:rFonts w:ascii="Arial" w:cs="Arial" w:eastAsia="Arial" w:hAnsi="Arial"/>
          <w:sz w:val="14"/>
          <w:szCs w:val="14"/>
          <w:color w:val="auto"/>
        </w:rPr>
        <w:t>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40" w:lineRule="exact"/>
        <w:rPr>
          <w:sz w:val="20"/>
          <w:szCs w:val="20"/>
          <w:color w:val="auto"/>
        </w:rPr>
      </w:pPr>
    </w:p>
    <w:p>
      <w:pPr>
        <w:jc w:val="both"/>
        <w:ind w:left="7" w:right="160"/>
        <w:spacing w:after="0" w:line="259" w:lineRule="auto"/>
        <w:rPr>
          <w:sz w:val="20"/>
          <w:szCs w:val="20"/>
          <w:color w:val="auto"/>
        </w:rPr>
      </w:pPr>
      <w:r>
        <w:rPr>
          <w:rFonts w:ascii="Arial" w:cs="Arial" w:eastAsia="Arial" w:hAnsi="Arial"/>
          <w:sz w:val="15"/>
          <w:szCs w:val="15"/>
          <w:b w:val="1"/>
          <w:bCs w:val="1"/>
          <w:color w:val="auto"/>
        </w:rPr>
        <w:t>Any product candidate for which we obtain marketing approval could be subject to post-marketing restrictions or withdrawal from the market, and we may be subject to penalties if we fail to comply with regulatory requirements or if we experience unexpected problems with our products, when and if any of them are approved.</w:t>
      </w:r>
    </w:p>
    <w:p>
      <w:pPr>
        <w:spacing w:after="0" w:line="156" w:lineRule="exact"/>
        <w:rPr>
          <w:sz w:val="20"/>
          <w:szCs w:val="20"/>
          <w:color w:val="auto"/>
        </w:rPr>
      </w:pPr>
    </w:p>
    <w:p>
      <w:pPr>
        <w:ind w:left="7" w:right="40"/>
        <w:spacing w:after="0" w:line="262"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67"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2" w:name="page43"/>
    <w:bookmarkEnd w:id="42"/>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80"/>
        <w:spacing w:after="0" w:line="282" w:lineRule="auto"/>
        <w:rPr>
          <w:sz w:val="20"/>
          <w:szCs w:val="20"/>
          <w:color w:val="auto"/>
        </w:rPr>
      </w:pPr>
      <w:r>
        <w:rPr>
          <w:rFonts w:ascii="Arial" w:cs="Arial" w:eastAsia="Arial" w:hAnsi="Arial"/>
          <w:sz w:val="15"/>
          <w:szCs w:val="15"/>
          <w:color w:val="auto"/>
        </w:rPr>
        <w:t>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51"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149" w:lineRule="exact"/>
        <w:rPr>
          <w:sz w:val="20"/>
          <w:szCs w:val="20"/>
          <w:color w:val="auto"/>
        </w:rPr>
      </w:pPr>
    </w:p>
    <w:p>
      <w:pPr>
        <w:ind w:left="7" w:right="240"/>
        <w:spacing w:after="0" w:line="297" w:lineRule="auto"/>
        <w:rPr>
          <w:sz w:val="20"/>
          <w:szCs w:val="20"/>
          <w:color w:val="auto"/>
        </w:rPr>
      </w:pPr>
      <w:r>
        <w:rPr>
          <w:rFonts w:ascii="Arial" w:cs="Arial" w:eastAsia="Arial" w:hAnsi="Arial"/>
          <w:sz w:val="14"/>
          <w:szCs w:val="14"/>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55" w:lineRule="exact"/>
        <w:rPr>
          <w:sz w:val="20"/>
          <w:szCs w:val="20"/>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litigation involving patients taking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restrictions on such products, manufacturers or manufacturing processes;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restrictions on the labeling or marketing of a product;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restrictions on product distribution or use;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requirements to conduct post-marketing studies or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warning letters;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withdrawal of products from the market;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suspension or termination of ongoing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recall of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damage to relationships with existing and potential collaborators;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unfavorable press coverage and damage to our reputation;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injunctions;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imposition of civil or criminal penalties.</w:t>
      </w:r>
    </w:p>
    <w:p>
      <w:pPr>
        <w:spacing w:after="0" w:line="198" w:lineRule="exact"/>
        <w:rPr>
          <w:sz w:val="20"/>
          <w:szCs w:val="20"/>
          <w:color w:val="auto"/>
        </w:rPr>
      </w:pPr>
    </w:p>
    <w:p>
      <w:pPr>
        <w:ind w:left="7" w:right="240"/>
        <w:spacing w:after="0" w:line="282" w:lineRule="auto"/>
        <w:rPr>
          <w:sz w:val="20"/>
          <w:szCs w:val="20"/>
          <w:color w:val="auto"/>
        </w:rPr>
      </w:pPr>
      <w:r>
        <w:rPr>
          <w:rFonts w:ascii="Arial" w:cs="Arial" w:eastAsia="Arial" w:hAnsi="Arial"/>
          <w:sz w:val="15"/>
          <w:szCs w:val="15"/>
          <w:color w:val="auto"/>
        </w:rPr>
        <w:t>Noncompliance with other requirements in foreign jurisdictions regarding safety monitoring or pharmacovigilance can also result in significant financial penalties. Similarly, failure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7"/>
          </w:cols>
          <w:pgMar w:left="233" w:top="132" w:right="4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U.S. and foreign regulatory requirements regarding the development of products for pediatric populations and the protection of personal health information can also lead to significant penalties and sanctions.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59"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b w:val="1"/>
          <w:b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5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Governments outside the United States tend to impose strict price controls, which may adversely affect our revenues, if any.</w:t>
      </w:r>
    </w:p>
    <w:p>
      <w:pPr>
        <w:spacing w:after="0" w:line="195"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43"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20" w:lineRule="exact"/>
        <w:rPr>
          <w:sz w:val="20"/>
          <w:szCs w:val="20"/>
          <w:color w:val="auto"/>
        </w:rPr>
      </w:pPr>
    </w:p>
    <w:p>
      <w:pPr>
        <w:ind w:right="220"/>
        <w:spacing w:after="0" w:line="277" w:lineRule="auto"/>
        <w:rPr>
          <w:sz w:val="20"/>
          <w:szCs w:val="20"/>
          <w:color w:val="auto"/>
        </w:rPr>
      </w:pPr>
      <w:r>
        <w:rPr>
          <w:rFonts w:ascii="Arial" w:cs="Arial" w:eastAsia="Arial" w:hAnsi="Arial"/>
          <w:sz w:val="15"/>
          <w:szCs w:val="15"/>
          <w:b w:val="1"/>
          <w:b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3"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testing or approval of our product candidates, stricter labeling requirements for those product candidates that are approved and a decrease in demand for any such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b w:val="1"/>
          <w:b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43" w:lineRule="exact"/>
        <w:rPr>
          <w:sz w:val="20"/>
          <w:szCs w:val="20"/>
          <w:color w:val="auto"/>
        </w:rPr>
      </w:pPr>
    </w:p>
    <w:p>
      <w:pPr>
        <w:ind w:right="200"/>
        <w:spacing w:after="0" w:line="297" w:lineRule="auto"/>
        <w:rPr>
          <w:sz w:val="20"/>
          <w:szCs w:val="20"/>
          <w:color w:val="auto"/>
        </w:rPr>
      </w:pPr>
      <w:r>
        <w:rPr>
          <w:rFonts w:ascii="Arial" w:cs="Arial" w:eastAsia="Arial" w:hAnsi="Arial"/>
          <w:sz w:val="14"/>
          <w:szCs w:val="14"/>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4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w:t>
      </w:r>
    </w:p>
    <w:p>
      <w:pPr>
        <w:spacing w:after="0" w:line="157" w:lineRule="exact"/>
        <w:rPr>
          <w:sz w:val="20"/>
          <w:szCs w:val="20"/>
          <w:color w:val="auto"/>
        </w:rPr>
      </w:pPr>
    </w:p>
    <w:p>
      <w:pPr>
        <w:ind w:right="180"/>
        <w:spacing w:after="0" w:line="319" w:lineRule="auto"/>
        <w:rPr>
          <w:sz w:val="20"/>
          <w:szCs w:val="20"/>
          <w:color w:val="auto"/>
        </w:rPr>
      </w:pPr>
      <w:r>
        <w:rPr>
          <w:rFonts w:ascii="Arial" w:cs="Arial" w:eastAsia="Arial" w:hAnsi="Arial"/>
          <w:sz w:val="13"/>
          <w:szCs w:val="13"/>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32"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We currently own nine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 should they issue.</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Moreover, other parties may have developed technologies that may be related or competitive to our approach, and may have filed or may file patent applications, and may have received or may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9"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49"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7" w:name="page48"/>
    <w:bookmarkEnd w:id="47"/>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 rights do not prevent all potential threats to competitive advantages we may have.</w:t>
      </w:r>
    </w:p>
    <w:p>
      <w:pPr>
        <w:spacing w:after="0" w:line="195" w:lineRule="exact"/>
        <w:rPr>
          <w:sz w:val="20"/>
          <w:szCs w:val="20"/>
          <w:color w:val="auto"/>
        </w:rPr>
      </w:pPr>
    </w:p>
    <w:p>
      <w:pPr>
        <w:ind w:left="7" w:right="620"/>
        <w:spacing w:after="0" w:line="282"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examples are illustrative:</w:t>
      </w:r>
    </w:p>
    <w:p>
      <w:pPr>
        <w:spacing w:after="0" w:line="210" w:lineRule="exact"/>
        <w:rPr>
          <w:sz w:val="20"/>
          <w:szCs w:val="20"/>
          <w:color w:val="auto"/>
        </w:rPr>
      </w:pPr>
    </w:p>
    <w:p>
      <w:pPr>
        <w:ind w:left="467" w:right="100" w:hanging="467"/>
        <w:spacing w:after="0" w:line="282"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others may be able to make compounds that are the same as or similar to our current or future product candidates but that are not covered by the claims of the patents that we own or have exclusively licensed;</w:t>
      </w:r>
    </w:p>
    <w:p>
      <w:pPr>
        <w:spacing w:after="0" w:line="173"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make the inventions covered by the patents or pending patent applications that we own or have exclusively licensed;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file patent applications covering certain of our inventions;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prosecution of our pending patent applications may not result in granted patents;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3"/>
          <w:szCs w:val="13"/>
          <w:color w:val="auto"/>
        </w:rPr>
      </w:pPr>
      <w:r>
        <w:rPr>
          <w:rFonts w:ascii="Arial" w:cs="Arial" w:eastAsia="Arial" w:hAnsi="Arial"/>
          <w:sz w:val="13"/>
          <w:szCs w:val="13"/>
          <w:color w:val="auto"/>
        </w:rPr>
        <w:t>granted patents that we own or have licensed may not cover our products or may be held not infringed, invalid or unenforceable, as a result of legal challenges by our competitors;</w:t>
      </w:r>
    </w:p>
    <w:p>
      <w:pPr>
        <w:spacing w:after="0" w:line="232" w:lineRule="exact"/>
        <w:rPr>
          <w:rFonts w:ascii="Arial" w:cs="Arial" w:eastAsia="Arial" w:hAnsi="Arial"/>
          <w:sz w:val="13"/>
          <w:szCs w:val="13"/>
          <w:color w:val="auto"/>
        </w:rPr>
      </w:pPr>
    </w:p>
    <w:p>
      <w:pPr>
        <w:ind w:left="467" w:right="80" w:hanging="467"/>
        <w:spacing w:after="0" w:line="282"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with respect to granted patents that we own or have licensed, especially patents that we either acquire or in-license, if certain information was withheld from or misrepresented to the patent examiner, such patents might be held to be unenforceable;</w:t>
      </w:r>
    </w:p>
    <w:p>
      <w:pPr>
        <w:spacing w:after="0" w:line="173" w:lineRule="exact"/>
        <w:rPr>
          <w:rFonts w:ascii="Arial" w:cs="Arial" w:eastAsia="Arial" w:hAnsi="Arial"/>
          <w:sz w:val="15"/>
          <w:szCs w:val="15"/>
          <w:color w:val="auto"/>
        </w:rPr>
      </w:pPr>
    </w:p>
    <w:p>
      <w:pPr>
        <w:ind w:left="467" w:right="140" w:hanging="467"/>
        <w:spacing w:after="0" w:line="282"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patent protection on our product candidates may expire before we are able to develop and commercialize the product, or before we are able to recover our investment in the product candidates;</w:t>
      </w:r>
    </w:p>
    <w:p>
      <w:pPr>
        <w:spacing w:after="0" w:line="162" w:lineRule="exact"/>
        <w:rPr>
          <w:rFonts w:ascii="Arial" w:cs="Arial" w:eastAsia="Arial" w:hAnsi="Arial"/>
          <w:sz w:val="15"/>
          <w:szCs w:val="15"/>
          <w:color w:val="auto"/>
        </w:rPr>
      </w:pPr>
    </w:p>
    <w:p>
      <w:pPr>
        <w:ind w:left="467" w:right="320" w:hanging="467"/>
        <w:spacing w:after="0" w:line="270"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patents of others may have an adverse effect on our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8" w:name="page49"/>
    <w:bookmarkEnd w:id="4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520" w:hanging="467"/>
        <w:spacing w:after="0" w:line="282"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may choose not to file a patent application for certain technologies, trade secrets or know-how, and a third party may subsequently file a patent covering such intellectual property.</w:t>
      </w:r>
    </w:p>
    <w:p>
      <w:pPr>
        <w:spacing w:after="0" w:line="142" w:lineRule="exact"/>
        <w:rPr>
          <w:sz w:val="20"/>
          <w:szCs w:val="20"/>
          <w:color w:val="auto"/>
        </w:rPr>
      </w:pPr>
    </w:p>
    <w:p>
      <w:pPr>
        <w:ind w:left="7" w:right="400"/>
        <w:spacing w:after="0" w:line="277" w:lineRule="auto"/>
        <w:rPr>
          <w:sz w:val="20"/>
          <w:szCs w:val="20"/>
          <w:color w:val="auto"/>
        </w:rPr>
      </w:pPr>
      <w:r>
        <w:rPr>
          <w:rFonts w:ascii="Arial" w:cs="Arial" w:eastAsia="Arial" w:hAnsi="Arial"/>
          <w:sz w:val="15"/>
          <w:szCs w:val="15"/>
          <w:b w:val="1"/>
          <w:bCs w:val="1"/>
          <w:color w:val="auto"/>
        </w:rPr>
        <w:t>We may not identify relevant patents or may incorrectly interpret the relevance, scope or expiration of a patent, which might adversely affect our ability to develop and market our product candidates.</w:t>
      </w:r>
    </w:p>
    <w:p>
      <w:pPr>
        <w:spacing w:after="0" w:line="143" w:lineRule="exact"/>
        <w:rPr>
          <w:sz w:val="20"/>
          <w:szCs w:val="20"/>
          <w:color w:val="auto"/>
        </w:rPr>
      </w:pPr>
    </w:p>
    <w:p>
      <w:pPr>
        <w:ind w:left="7" w:right="260"/>
        <w:spacing w:after="0" w:line="270" w:lineRule="auto"/>
        <w:rPr>
          <w:sz w:val="20"/>
          <w:szCs w:val="20"/>
          <w:color w:val="auto"/>
        </w:rPr>
      </w:pPr>
      <w:r>
        <w:rPr>
          <w:rFonts w:ascii="Arial" w:cs="Arial" w:eastAsia="Arial" w:hAnsi="Arial"/>
          <w:sz w:val="15"/>
          <w:szCs w:val="15"/>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59" w:lineRule="exact"/>
        <w:rPr>
          <w:sz w:val="20"/>
          <w:szCs w:val="20"/>
          <w:color w:val="auto"/>
        </w:rPr>
      </w:pPr>
    </w:p>
    <w:p>
      <w:pPr>
        <w:ind w:left="7" w:right="180"/>
        <w:spacing w:after="0" w:line="270" w:lineRule="auto"/>
        <w:rPr>
          <w:sz w:val="20"/>
          <w:szCs w:val="20"/>
          <w:color w:val="auto"/>
        </w:rPr>
      </w:pPr>
      <w:r>
        <w:rPr>
          <w:rFonts w:ascii="Arial" w:cs="Arial" w:eastAsia="Arial" w:hAnsi="Arial"/>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third-party patent.</w:t>
      </w:r>
    </w:p>
    <w:p>
      <w:pPr>
        <w:spacing w:after="0" w:line="159" w:lineRule="exact"/>
        <w:rPr>
          <w:sz w:val="20"/>
          <w:szCs w:val="20"/>
          <w:color w:val="auto"/>
        </w:rPr>
      </w:pPr>
    </w:p>
    <w:p>
      <w:pPr>
        <w:ind w:left="7" w:right="120"/>
        <w:spacing w:after="0" w:line="263" w:lineRule="auto"/>
        <w:rPr>
          <w:sz w:val="20"/>
          <w:szCs w:val="20"/>
          <w:color w:val="auto"/>
        </w:rPr>
      </w:pPr>
      <w:r>
        <w:rPr>
          <w:rFonts w:ascii="Arial" w:cs="Arial" w:eastAsia="Arial" w:hAnsi="Arial"/>
          <w:sz w:val="15"/>
          <w:szCs w:val="15"/>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failure to identify and correctly interpret relevant patents may negatively impact our ability to develop and market our product candidates.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we are unable to protect the confidentiality of our trade secrets and know-how, our business and competitive position would be harmed.</w:t>
      </w:r>
    </w:p>
    <w:p>
      <w:pPr>
        <w:spacing w:after="0" w:line="195"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6630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U.S. patent law could diminish the value of patents in general, thereby impairing our ability to protect our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is the case with other biotechnology companies, our success is heavily dependent on intellectual property, particularly patents. Obtaining and enforcing patents in the biotechnology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industry involves both technological and legal complexity, and is therefore costly, time-consuming and inherently uncertain. In addition, recent patent reform legislation could further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increase the uncertainties and costs surrounding the prosecution of our patent applications and the enforcement or defense of our issued patents. On September 16, 2011,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America Invents Act, or the Leahy-Smith Act, was signed into law. The Leahy-Smith Act includes a number of significant changes to U.S. patent law. These include provisions that affect</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the way patent applications are prosecuted and may also affect patent litigation. The USPTO recently developed new regulations and procedures to govern administration of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and many of the substantive changes to patent law associated with the Leahy-Smith Act, in particular the first to file provisions, became effective on March 16, 2013. A third party that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files a patent application in the USPTO after that date but before us could therefore be awarded a patent covering an invention of ours even if we had made the invention before it was made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by the third party. This requires us to be cognizant of the time from invention to filing of a patent application. Thus, for our U.S. patent applications containing a priority claim after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March 16, 2013, there is a greater level of uncertainty in the patent law. Moreover, some of the patent applications in our portfolio will be subject to examination under the pre-Leahy-Smith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law and regulations, while other patents applications in our portfolio will be subject to examination under the law and regulations, as amended by the Leahy-Smith Act. This introduces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additional complexities into the prosecution and management of our portfolio.</w:t>
      </w:r>
    </w:p>
    <w:p>
      <w:pPr>
        <w:spacing w:after="0" w:line="19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62"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59"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b w:val="1"/>
          <w:bCs w:val="1"/>
          <w:color w:val="auto"/>
        </w:rPr>
        <w:t>We may become involved in lawsuits to protect or enforce our patents or other intellectual property, which could be expensive, time-consuming and ultimately unsuccessful.</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4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162"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1" w:name="page52"/>
    <w:bookmarkEnd w:id="5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120"/>
        <w:spacing w:after="0" w:line="290" w:lineRule="auto"/>
        <w:rPr>
          <w:sz w:val="20"/>
          <w:szCs w:val="20"/>
          <w:color w:val="auto"/>
        </w:rPr>
      </w:pPr>
      <w:r>
        <w:rPr>
          <w:rFonts w:ascii="Arial" w:cs="Arial" w:eastAsia="Arial" w:hAnsi="Arial"/>
          <w:sz w:val="14"/>
          <w:szCs w:val="14"/>
          <w:color w:val="auto"/>
        </w:rPr>
        <w:t>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48" w:lineRule="exact"/>
        <w:rPr>
          <w:sz w:val="20"/>
          <w:szCs w:val="20"/>
          <w:color w:val="auto"/>
        </w:rPr>
      </w:pPr>
    </w:p>
    <w:p>
      <w:pPr>
        <w:ind w:left="7" w:right="160"/>
        <w:spacing w:after="0" w:line="261" w:lineRule="auto"/>
        <w:rPr>
          <w:sz w:val="20"/>
          <w:szCs w:val="20"/>
          <w:color w:val="auto"/>
        </w:rPr>
      </w:pPr>
      <w:r>
        <w:rPr>
          <w:rFonts w:ascii="Arial" w:cs="Arial" w:eastAsia="Arial" w:hAnsi="Arial"/>
          <w:sz w:val="15"/>
          <w:szCs w:val="15"/>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7" w:lineRule="exact"/>
        <w:rPr>
          <w:sz w:val="20"/>
          <w:szCs w:val="20"/>
          <w:color w:val="auto"/>
        </w:rPr>
      </w:pPr>
    </w:p>
    <w:p>
      <w:pPr>
        <w:ind w:left="7" w:right="20"/>
        <w:spacing w:after="0" w:line="283" w:lineRule="auto"/>
        <w:rPr>
          <w:sz w:val="20"/>
          <w:szCs w:val="20"/>
          <w:color w:val="auto"/>
        </w:rPr>
      </w:pPr>
      <w:r>
        <w:rPr>
          <w:rFonts w:ascii="Arial" w:cs="Arial" w:eastAsia="Arial" w:hAnsi="Arial"/>
          <w:sz w:val="14"/>
          <w:szCs w:val="14"/>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54"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intellectual property litigation or claims could force us to do one or more of the following:</w:t>
      </w:r>
    </w:p>
    <w:p>
      <w:pPr>
        <w:spacing w:after="0" w:line="210" w:lineRule="exact"/>
        <w:rPr>
          <w:sz w:val="20"/>
          <w:szCs w:val="20"/>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cease developing, selling or otherwise commercializing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pay substantial damages for past use of the asserted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2" w:name="page53"/>
    <w:bookmarkEnd w:id="52"/>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obtain a license from the holder of the asserted intellectual property, which license may not be available on reasonable terms, if at all; and</w:t>
      </w:r>
    </w:p>
    <w:p>
      <w:pPr>
        <w:spacing w:after="0" w:line="221" w:lineRule="exact"/>
        <w:rPr>
          <w:rFonts w:ascii="Arial" w:cs="Arial" w:eastAsia="Arial" w:hAnsi="Arial"/>
          <w:sz w:val="15"/>
          <w:szCs w:val="15"/>
          <w:color w:val="auto"/>
        </w:rPr>
      </w:pPr>
    </w:p>
    <w:p>
      <w:pPr>
        <w:ind w:left="467" w:right="200" w:hanging="467"/>
        <w:spacing w:after="0" w:line="282"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51" w:lineRule="exact"/>
        <w:rPr>
          <w:sz w:val="20"/>
          <w:szCs w:val="20"/>
          <w:color w:val="auto"/>
        </w:rPr>
      </w:pPr>
    </w:p>
    <w:p>
      <w:pPr>
        <w:jc w:val="both"/>
        <w:ind w:left="7" w:right="200"/>
        <w:spacing w:after="0" w:line="270" w:lineRule="auto"/>
        <w:rPr>
          <w:sz w:val="20"/>
          <w:szCs w:val="20"/>
          <w:color w:val="auto"/>
        </w:rPr>
      </w:pPr>
      <w:r>
        <w:rPr>
          <w:rFonts w:ascii="Arial" w:cs="Arial" w:eastAsia="Arial" w:hAnsi="Arial"/>
          <w:sz w:val="15"/>
          <w:szCs w:val="15"/>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risks coming to fruition could harm our business.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Issued patents covering our product candidates could be found invalid or unenforceable or could be interpreted narrowly if challenged in court.</w:t>
      </w:r>
    </w:p>
    <w:p>
      <w:pPr>
        <w:spacing w:after="0" w:line="195" w:lineRule="exact"/>
        <w:rPr>
          <w:sz w:val="20"/>
          <w:szCs w:val="20"/>
          <w:color w:val="auto"/>
        </w:rPr>
      </w:pPr>
    </w:p>
    <w:p>
      <w:pPr>
        <w:ind w:left="7"/>
        <w:spacing w:after="0" w:line="279" w:lineRule="auto"/>
        <w:rPr>
          <w:sz w:val="20"/>
          <w:szCs w:val="20"/>
          <w:color w:val="auto"/>
        </w:rPr>
      </w:pPr>
      <w:r>
        <w:rPr>
          <w:rFonts w:ascii="Arial" w:cs="Arial" w:eastAsia="Arial" w:hAnsi="Arial"/>
          <w:sz w:val="14"/>
          <w:szCs w:val="14"/>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153" w:lineRule="exact"/>
        <w:rPr>
          <w:sz w:val="20"/>
          <w:szCs w:val="20"/>
          <w:color w:val="auto"/>
        </w:rPr>
      </w:pPr>
    </w:p>
    <w:p>
      <w:pPr>
        <w:ind w:left="7" w:right="100"/>
        <w:spacing w:after="0" w:line="277" w:lineRule="auto"/>
        <w:rPr>
          <w:sz w:val="20"/>
          <w:szCs w:val="20"/>
          <w:color w:val="auto"/>
        </w:rPr>
      </w:pPr>
      <w:r>
        <w:rPr>
          <w:rFonts w:ascii="Arial" w:cs="Arial" w:eastAsia="Arial" w:hAnsi="Arial"/>
          <w:sz w:val="15"/>
          <w:szCs w:val="15"/>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subject to claims challenging the inventorship or ownership of our patents and other intellectual property.</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67" w:lineRule="exact"/>
        <w:rPr>
          <w:sz w:val="20"/>
          <w:szCs w:val="20"/>
          <w:color w:val="auto"/>
        </w:rPr>
      </w:pPr>
    </w:p>
    <w:p>
      <w:pPr>
        <w:ind w:right="280"/>
        <w:spacing w:after="0" w:line="330"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5"/>
          <w:szCs w:val="15"/>
          <w:b w:val="1"/>
          <w:bCs w:val="1"/>
          <w:color w:val="auto"/>
        </w:rPr>
        <w:t>If we fail to comply with our obligations in our intellectual property licenses and funding arrangements with third parties, we could lose rights that are important to our business.</w:t>
      </w:r>
    </w:p>
    <w:p>
      <w:pPr>
        <w:spacing w:after="0" w:line="143"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For example, we currently rely on certain intellectual property rights licensed to us from MIT, and have licensed additional intellectual property rights under agreements with 3SBio, BIND Therapeutics, Inc. and The Massachusetts Eye and Ear Infirmary and the Schepens Eye Research Institute, Inc.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80"/>
        <w:spacing w:after="0" w:line="297" w:lineRule="auto"/>
        <w:rPr>
          <w:sz w:val="20"/>
          <w:szCs w:val="20"/>
          <w:color w:val="auto"/>
        </w:rPr>
      </w:pPr>
      <w:r>
        <w:rPr>
          <w:rFonts w:ascii="Arial" w:cs="Arial" w:eastAsia="Arial" w:hAnsi="Arial"/>
          <w:sz w:val="14"/>
          <w:szCs w:val="14"/>
          <w:color w:val="auto"/>
        </w:rPr>
        <w:t>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 For more information on our license agreements and associated obligations, please see "Business—Licenses and collaborations."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successful in obtaining or maintaining necessary rights to our product candidates through acquisitions and in-licenses.</w:t>
      </w:r>
    </w:p>
    <w:p>
      <w:pPr>
        <w:spacing w:after="0" w:line="195"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40"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43"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67"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5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42"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b w:val="1"/>
          <w:b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31" w:lineRule="exact"/>
        <w:rPr>
          <w:sz w:val="20"/>
          <w:szCs w:val="20"/>
          <w:color w:val="auto"/>
        </w:rPr>
      </w:pPr>
    </w:p>
    <w:p>
      <w:pPr>
        <w:ind w:right="660"/>
        <w:spacing w:after="0" w:line="277" w:lineRule="auto"/>
        <w:rPr>
          <w:sz w:val="20"/>
          <w:szCs w:val="20"/>
          <w:color w:val="auto"/>
        </w:rPr>
      </w:pPr>
      <w:r>
        <w:rPr>
          <w:rFonts w:ascii="Arial" w:cs="Arial" w:eastAsia="Arial" w:hAnsi="Arial"/>
          <w:sz w:val="15"/>
          <w:szCs w:val="15"/>
          <w:b w:val="1"/>
          <w:bCs w:val="1"/>
          <w:color w:val="auto"/>
        </w:rPr>
        <w:t>We will need to obtain FDA approval for any proposed product names, and any failure or delay associated with such approval may adversely affect our business.</w:t>
      </w:r>
    </w:p>
    <w:p>
      <w:pPr>
        <w:spacing w:after="0" w:line="143"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4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Filing, prosecuting and defending patents on product candidates in all countries and jurisdictions throughout the world would be prohibitively expensive, and our intellectual property rights in 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306" w:lineRule="auto"/>
        <w:rPr>
          <w:sz w:val="20"/>
          <w:szCs w:val="20"/>
          <w:color w:val="auto"/>
        </w:rPr>
      </w:pPr>
      <w:r>
        <w:rPr>
          <w:rFonts w:ascii="Arial" w:cs="Arial" w:eastAsia="Arial" w:hAnsi="Arial"/>
          <w:sz w:val="13"/>
          <w:szCs w:val="13"/>
          <w:color w:val="auto"/>
        </w:rPr>
        <w:t>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43"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54"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151" w:lineRule="exact"/>
        <w:rPr>
          <w:sz w:val="20"/>
          <w:szCs w:val="20"/>
          <w:color w:val="auto"/>
        </w:rPr>
      </w:pPr>
    </w:p>
    <w:p>
      <w:pPr>
        <w:ind w:right="600"/>
        <w:spacing w:after="0" w:line="277" w:lineRule="auto"/>
        <w:rPr>
          <w:sz w:val="20"/>
          <w:szCs w:val="20"/>
          <w:color w:val="auto"/>
        </w:rPr>
      </w:pPr>
      <w:r>
        <w:rPr>
          <w:rFonts w:ascii="Arial" w:cs="Arial" w:eastAsia="Arial" w:hAnsi="Arial"/>
          <w:sz w:val="15"/>
          <w:szCs w:val="15"/>
          <w:b w:val="1"/>
          <w:bCs w:val="1"/>
          <w:color w:val="auto"/>
        </w:rPr>
        <w:t>If we do not obtain additional protection under the Hatch-Waxman Act and similar foreign legislation extending the terms of our patents for our product candidates, our business may be harmed.</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151"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competition from biosimilars, which may have a material adverse effect on the future commercial prospects of our product candidates.</w:t>
      </w:r>
    </w:p>
    <w:p>
      <w:pPr>
        <w:spacing w:after="0" w:line="195" w:lineRule="exact"/>
        <w:rPr>
          <w:sz w:val="20"/>
          <w:szCs w:val="20"/>
          <w:color w:val="auto"/>
        </w:rPr>
      </w:pPr>
    </w:p>
    <w:p>
      <w:pPr>
        <w:ind w:right="40"/>
        <w:spacing w:after="0" w:line="304" w:lineRule="auto"/>
        <w:rPr>
          <w:sz w:val="20"/>
          <w:szCs w:val="20"/>
          <w:color w:val="auto"/>
        </w:rPr>
      </w:pPr>
      <w:r>
        <w:rPr>
          <w:rFonts w:ascii="Arial" w:cs="Arial" w:eastAsia="Arial" w:hAnsi="Arial"/>
          <w:sz w:val="13"/>
          <w:szCs w:val="13"/>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2017, President Obama proposed to cut this 12-year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137" w:lineRule="exact"/>
        <w:rPr>
          <w:sz w:val="20"/>
          <w:szCs w:val="20"/>
          <w:color w:val="auto"/>
        </w:rPr>
      </w:pPr>
    </w:p>
    <w:p>
      <w:pPr>
        <w:jc w:val="both"/>
        <w:ind w:right="2760"/>
        <w:spacing w:after="0" w:line="541" w:lineRule="auto"/>
        <w:rPr>
          <w:sz w:val="20"/>
          <w:szCs w:val="20"/>
          <w:color w:val="auto"/>
        </w:rPr>
      </w:pPr>
      <w:r>
        <w:rPr>
          <w:rFonts w:ascii="Arial" w:cs="Arial" w:eastAsia="Arial" w:hAnsi="Arial"/>
          <w:sz w:val="14"/>
          <w:szCs w:val="14"/>
          <w:b w:val="1"/>
          <w:bCs w:val="1"/>
          <w:color w:val="auto"/>
        </w:rPr>
        <w:t>RISKS RELATED TO EMPLOYEE MATTERS AND MANAGING GROWTH AND OTHER RISKS RELATED TO OUR BUSINESS Our future success depends on our ability to retain key executives and to attract, retain and motivate qualified personnel.</w:t>
      </w:r>
    </w:p>
    <w:p>
      <w:pPr>
        <w:ind w:right="100"/>
        <w:spacing w:after="0" w:line="270" w:lineRule="auto"/>
        <w:rPr>
          <w:sz w:val="20"/>
          <w:szCs w:val="20"/>
          <w:color w:val="auto"/>
        </w:rPr>
      </w:pPr>
      <w:r>
        <w:rPr>
          <w:rFonts w:ascii="Arial" w:cs="Arial" w:eastAsia="Arial" w:hAnsi="Arial"/>
          <w:sz w:val="15"/>
          <w:szCs w:val="15"/>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Recruiting and retaining qualified scientific, clinical, manufacturing and sales and marketing personnel will also be critical to our success. The loss of the services of our executive officers or other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8" w:name="page59"/>
    <w:bookmarkEnd w:id="5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6" w:lineRule="exact"/>
        <w:rPr>
          <w:sz w:val="20"/>
          <w:szCs w:val="20"/>
          <w:color w:val="auto"/>
        </w:rPr>
      </w:pPr>
    </w:p>
    <w:p>
      <w:pPr>
        <w:ind w:left="7" w:right="120"/>
        <w:spacing w:after="0" w:line="277" w:lineRule="auto"/>
        <w:rPr>
          <w:sz w:val="20"/>
          <w:szCs w:val="20"/>
          <w:color w:val="auto"/>
        </w:rPr>
      </w:pPr>
      <w:r>
        <w:rPr>
          <w:rFonts w:ascii="Arial" w:cs="Arial" w:eastAsia="Arial" w:hAnsi="Arial"/>
          <w:sz w:val="15"/>
          <w:szCs w:val="15"/>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43" w:lineRule="exact"/>
        <w:rPr>
          <w:sz w:val="20"/>
          <w:szCs w:val="20"/>
          <w:color w:val="auto"/>
        </w:rPr>
      </w:pPr>
    </w:p>
    <w:p>
      <w:pPr>
        <w:ind w:left="7"/>
        <w:spacing w:after="0" w:line="284"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 variety of risks associated with operating in Russia and internationally could adversely affect our business.</w:t>
      </w:r>
    </w:p>
    <w:p>
      <w:pPr>
        <w:spacing w:after="0" w:line="195" w:lineRule="exact"/>
        <w:rPr>
          <w:sz w:val="20"/>
          <w:szCs w:val="20"/>
          <w:color w:val="auto"/>
        </w:rPr>
      </w:pPr>
    </w:p>
    <w:p>
      <w:pPr>
        <w:ind w:left="7" w:right="180"/>
        <w:spacing w:after="0" w:line="287" w:lineRule="auto"/>
        <w:rPr>
          <w:sz w:val="20"/>
          <w:szCs w:val="20"/>
          <w:color w:val="auto"/>
        </w:rPr>
      </w:pPr>
      <w:r>
        <w:rPr>
          <w:rFonts w:ascii="Arial" w:cs="Arial" w:eastAsia="Arial" w:hAnsi="Arial"/>
          <w:sz w:val="14"/>
          <w:szCs w:val="14"/>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 For example, one of our principal shareholders, RUSNANO, is a Russian Federation controlled entity and, according to press reports, in 2015 and 2016 several current and former RUSNANO managers were under investigation for embezzlement. While we and our officers and directors were not accused of any wrongdoing, further investigations or other accusations could adversely affect us.</w:t>
      </w:r>
    </w:p>
    <w:p>
      <w:pPr>
        <w:spacing w:after="0" w:line="149"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We may also rely on collaborators to commercialize any approved product candidates outside of the United States. Doing business in Russia and internationally involves a number of risks, including but not limited to:</w:t>
      </w:r>
    </w:p>
    <w:p>
      <w:pPr>
        <w:spacing w:after="0" w:line="162" w:lineRule="exact"/>
        <w:rPr>
          <w:sz w:val="20"/>
          <w:szCs w:val="20"/>
          <w:color w:val="auto"/>
        </w:rPr>
      </w:pPr>
    </w:p>
    <w:p>
      <w:pPr>
        <w:ind w:left="467" w:right="180" w:hanging="467"/>
        <w:spacing w:after="0" w:line="282"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59" w:name="page60"/>
    <w:bookmarkEnd w:id="5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use of our product candidates in various countries;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additional potentially relevant third-party patent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complexities and difficulties in obtaining protection of and enforcing our intellectual property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complexities associated with managing multiple-payor reimbursement regimes, government payors or patient self-pay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limits on our ability to penetrate international markets;</w:t>
      </w:r>
    </w:p>
    <w:p>
      <w:pPr>
        <w:spacing w:after="0" w:line="209" w:lineRule="exact"/>
        <w:rPr>
          <w:rFonts w:ascii="Arial" w:cs="Arial" w:eastAsia="Arial" w:hAnsi="Arial"/>
          <w:sz w:val="15"/>
          <w:szCs w:val="15"/>
          <w:color w:val="auto"/>
        </w:rPr>
      </w:pPr>
    </w:p>
    <w:p>
      <w:pPr>
        <w:ind w:left="467" w:right="340" w:hanging="467"/>
        <w:spacing w:after="0" w:line="319" w:lineRule="auto"/>
        <w:tabs>
          <w:tab w:leader="none" w:pos="467" w:val="left"/>
        </w:tabs>
        <w:numPr>
          <w:ilvl w:val="0"/>
          <w:numId w:val="41"/>
        </w:numPr>
        <w:rPr>
          <w:rFonts w:ascii="Arial" w:cs="Arial" w:eastAsia="Arial" w:hAnsi="Arial"/>
          <w:sz w:val="14"/>
          <w:szCs w:val="14"/>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51" w:lineRule="exact"/>
        <w:rPr>
          <w:rFonts w:ascii="Arial" w:cs="Arial" w:eastAsia="Arial" w:hAnsi="Arial"/>
          <w:sz w:val="14"/>
          <w:szCs w:val="14"/>
          <w:color w:val="auto"/>
        </w:rPr>
      </w:pPr>
    </w:p>
    <w:p>
      <w:pPr>
        <w:ind w:left="467" w:right="32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in diplomatic and trade relationships;</w:t>
      </w:r>
    </w:p>
    <w:p>
      <w:pPr>
        <w:spacing w:after="0" w:line="209" w:lineRule="exact"/>
        <w:rPr>
          <w:rFonts w:ascii="Arial" w:cs="Arial" w:eastAsia="Arial" w:hAnsi="Arial"/>
          <w:sz w:val="15"/>
          <w:szCs w:val="15"/>
          <w:color w:val="auto"/>
        </w:rPr>
      </w:pPr>
    </w:p>
    <w:p>
      <w:pPr>
        <w:ind w:left="467" w:right="28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certain expenses including, among others, expenses for travel, translation and insurance;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legal risks, including use of the legal system by the government to benefit itself or affiliated entities at our expense, including expropriation of property; and</w:t>
      </w:r>
    </w:p>
    <w:p>
      <w:pPr>
        <w:spacing w:after="0" w:line="209" w:lineRule="exact"/>
        <w:rPr>
          <w:rFonts w:ascii="Arial" w:cs="Arial" w:eastAsia="Arial" w:hAnsi="Arial"/>
          <w:sz w:val="15"/>
          <w:szCs w:val="15"/>
          <w:color w:val="auto"/>
        </w:rPr>
      </w:pPr>
    </w:p>
    <w:p>
      <w:pPr>
        <w:ind w:left="467" w:right="44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sales and activities that may fall within the purview of the FCPA its books and records provisions, or its anti-bribery provisions.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results of operations.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Sanctions against Russia, and Russia's response to those sanctions, could adversely affect our business.</w:t>
      </w:r>
    </w:p>
    <w:p>
      <w:pPr>
        <w:spacing w:after="0" w:line="195" w:lineRule="exact"/>
        <w:rPr>
          <w:sz w:val="20"/>
          <w:szCs w:val="20"/>
          <w:color w:val="auto"/>
        </w:rPr>
      </w:pPr>
    </w:p>
    <w:p>
      <w:pPr>
        <w:ind w:left="7" w:right="80"/>
        <w:spacing w:after="0" w:line="284" w:lineRule="auto"/>
        <w:rPr>
          <w:sz w:val="20"/>
          <w:szCs w:val="20"/>
          <w:color w:val="auto"/>
        </w:rPr>
      </w:pPr>
      <w:r>
        <w:rPr>
          <w:rFonts w:ascii="Arial" w:cs="Arial" w:eastAsia="Arial" w:hAnsi="Arial"/>
          <w:sz w:val="14"/>
          <w:szCs w:val="14"/>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Our wholly owned subsidiary, Selecta RUS, held $4.2 million of total cash in Russian banks as of March 31, 2016, including $1.5 million of cash and cash equivalents, $2.0 million of short-term deposits and $0.7 million of restricted cash. If the United States and European Union were to impose sanctions on Russian businesses, or if Russia were to take retaliatory action against U.S. companies operating in Russia, our research and development activities with respect to our program for HPV-associated cancers currently conducted by Selecta RUS, or any other research and development activities with respect to our other immune stimulation programs conducted by Selecta RUS in the future,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0" w:name="page61"/>
    <w:bookmarkEnd w:id="6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business and operations would suffer in the event of system failures.</w:t>
      </w:r>
    </w:p>
    <w:p>
      <w:pPr>
        <w:spacing w:after="0" w:line="195" w:lineRule="exact"/>
        <w:rPr>
          <w:sz w:val="20"/>
          <w:szCs w:val="20"/>
          <w:color w:val="auto"/>
        </w:rPr>
      </w:pPr>
    </w:p>
    <w:p>
      <w:pPr>
        <w:ind w:left="7"/>
        <w:spacing w:after="0" w:line="308" w:lineRule="auto"/>
        <w:rPr>
          <w:sz w:val="20"/>
          <w:szCs w:val="20"/>
          <w:color w:val="auto"/>
        </w:rPr>
      </w:pPr>
      <w:r>
        <w:rPr>
          <w:rFonts w:ascii="Arial" w:cs="Arial" w:eastAsia="Arial" w:hAnsi="Arial"/>
          <w:sz w:val="13"/>
          <w:szCs w:val="13"/>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31"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43" w:lineRule="exact"/>
        <w:rPr>
          <w:sz w:val="20"/>
          <w:szCs w:val="20"/>
          <w:color w:val="auto"/>
        </w:rPr>
      </w:pPr>
    </w:p>
    <w:p>
      <w:pPr>
        <w:jc w:val="both"/>
        <w:ind w:left="7" w:right="160"/>
        <w:spacing w:after="0" w:line="300" w:lineRule="auto"/>
        <w:rPr>
          <w:sz w:val="20"/>
          <w:szCs w:val="20"/>
          <w:color w:val="auto"/>
        </w:rPr>
      </w:pPr>
      <w:r>
        <w:rPr>
          <w:rFonts w:ascii="Arial" w:cs="Arial" w:eastAsia="Arial" w:hAnsi="Arial"/>
          <w:sz w:val="13"/>
          <w:szCs w:val="13"/>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w:t>
      </w:r>
    </w:p>
    <w:p>
      <w:pPr>
        <w:ind w:left="7" w:hanging="7"/>
        <w:spacing w:after="0" w:line="280" w:lineRule="auto"/>
        <w:tabs>
          <w:tab w:leader="none" w:pos="221" w:val="left"/>
        </w:tabs>
        <w:numPr>
          <w:ilvl w:val="0"/>
          <w:numId w:val="42"/>
        </w:numPr>
        <w:rPr>
          <w:rFonts w:ascii="Arial" w:cs="Arial" w:eastAsia="Arial" w:hAnsi="Arial"/>
          <w:sz w:val="14"/>
          <w:szCs w:val="14"/>
          <w:color w:val="auto"/>
        </w:rPr>
      </w:pPr>
      <w:r>
        <w:rPr>
          <w:rFonts w:ascii="Arial" w:cs="Arial" w:eastAsia="Arial" w:hAnsi="Arial"/>
          <w:sz w:val="14"/>
          <w:szCs w:val="14"/>
          <w:color w:val="auto"/>
        </w:rPr>
        <w:t>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Acquisitions or joint ventures could disrupt our business, cause dilution to our stockholders and otherwise harm our business.</w:t>
      </w:r>
    </w:p>
    <w:p>
      <w:pPr>
        <w:spacing w:after="0" w:line="195"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61" w:name="page62"/>
    <w:bookmarkEnd w:id="6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transactions could be material to our financial condition and operating results and expose us to many risks, including:</w:t>
      </w:r>
    </w:p>
    <w:p>
      <w:pPr>
        <w:spacing w:after="0" w:line="210" w:lineRule="exact"/>
        <w:rPr>
          <w:sz w:val="20"/>
          <w:szCs w:val="20"/>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disruption in our relationships with future customers or with current or future distributors or suppliers as a result of such a transaction;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unexpected liabilities related to acquired companies;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difficulties integrating acquired personnel, technologies and operations into our existing business;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acquisition integration challenges;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increases in our expenses and reductions in our cash available for operations and other uses;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possible write-offs or impairment charges relating to acquired businesses;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inability to develop a sales force for any additional product candidates.</w:t>
      </w:r>
    </w:p>
    <w:p>
      <w:pPr>
        <w:spacing w:after="0" w:line="198" w:lineRule="exact"/>
        <w:rPr>
          <w:sz w:val="20"/>
          <w:szCs w:val="20"/>
          <w:color w:val="auto"/>
        </w:rPr>
      </w:pPr>
    </w:p>
    <w:p>
      <w:pPr>
        <w:ind w:left="7" w:right="20"/>
        <w:spacing w:after="0" w:line="282"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51" w:lineRule="exact"/>
        <w:rPr>
          <w:sz w:val="20"/>
          <w:szCs w:val="20"/>
          <w:color w:val="auto"/>
        </w:rPr>
      </w:pPr>
    </w:p>
    <w:p>
      <w:pPr>
        <w:jc w:val="both"/>
        <w:ind w:left="7" w:right="160"/>
        <w:spacing w:after="0" w:line="270" w:lineRule="auto"/>
        <w:rPr>
          <w:sz w:val="20"/>
          <w:szCs w:val="20"/>
          <w:color w:val="auto"/>
        </w:rPr>
      </w:pPr>
      <w:r>
        <w:rPr>
          <w:rFonts w:ascii="Arial" w:cs="Arial" w:eastAsia="Arial" w:hAnsi="Arial"/>
          <w:sz w:val="15"/>
          <w:szCs w:val="15"/>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COMMON STOCK AND THIS OFFERING</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An active trading market for our common stock may not develop.</w:t>
      </w:r>
    </w:p>
    <w:p>
      <w:pPr>
        <w:spacing w:after="0" w:line="195"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for our common stock will be determined through negotiations with the underwriters. Although our common stock has been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154" w:lineRule="exact"/>
        <w:rPr>
          <w:sz w:val="20"/>
          <w:szCs w:val="20"/>
          <w:color w:val="auto"/>
        </w:rPr>
      </w:pPr>
    </w:p>
    <w:p>
      <w:pPr>
        <w:ind w:left="7" w:right="20"/>
        <w:spacing w:after="0" w:line="277" w:lineRule="auto"/>
        <w:rPr>
          <w:sz w:val="20"/>
          <w:szCs w:val="20"/>
          <w:color w:val="auto"/>
        </w:rPr>
      </w:pPr>
      <w:r>
        <w:rPr>
          <w:rFonts w:ascii="Arial" w:cs="Arial" w:eastAsia="Arial" w:hAnsi="Arial"/>
          <w:sz w:val="15"/>
          <w:szCs w:val="15"/>
          <w:b w:val="1"/>
          <w:bCs w:val="1"/>
          <w:color w:val="auto"/>
        </w:rPr>
        <w:t>The market price of our common stock may be volatile and fluctuate substantially, which could result in substantial losses for purchasers of our common stock in this offering.</w:t>
      </w:r>
    </w:p>
    <w:p>
      <w:pPr>
        <w:spacing w:after="0" w:line="143"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82" w:lineRule="exact"/>
        <w:rPr>
          <w:sz w:val="20"/>
          <w:szCs w:val="20"/>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success of competitive products or technologies;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actual or expected changes in our growth rate relative to our competitors;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results of clinical trials of our product candidates or those of our competitors;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developments related to our existing or any future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2" w:name="page63"/>
    <w:bookmarkEnd w:id="62"/>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 of new product candidates that may address our markets and make our product candidates less attractive;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physician, hospital or healthcare provider practices that may make our product candidates less useful;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announcements by us, our partners or our competitors of significant acquisitions, strategic partnerships, joint ventures, collaborations or capital commitments;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developments or disputes concerning patent applications, issued patents or other proprietary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level of expenses related to any of our product candidates or clinical development programs;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failure to meet or exceed financial estimates and projections of the investment community or that we provide to the public;</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additional product candidates or products;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actual or expected changes in estimates as to financial results, development timelines or recommendations by securities analysts;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that are perceived to be similar to us;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general economic, industry and market conditions;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 and elsewhere in this prospectus.</w:t>
      </w:r>
    </w:p>
    <w:p>
      <w:pPr>
        <w:spacing w:after="0" w:line="190" w:lineRule="exact"/>
        <w:rPr>
          <w:sz w:val="20"/>
          <w:szCs w:val="20"/>
          <w:color w:val="auto"/>
        </w:rPr>
      </w:pPr>
    </w:p>
    <w:p>
      <w:pPr>
        <w:ind w:left="7" w:right="360"/>
        <w:spacing w:after="0" w:line="277" w:lineRule="auto"/>
        <w:rPr>
          <w:sz w:val="20"/>
          <w:szCs w:val="20"/>
          <w:color w:val="auto"/>
        </w:rPr>
      </w:pPr>
      <w:r>
        <w:rPr>
          <w:rFonts w:ascii="Arial" w:cs="Arial" w:eastAsia="Arial" w:hAnsi="Arial"/>
          <w:sz w:val="15"/>
          <w:szCs w:val="15"/>
          <w:b w:val="1"/>
          <w:b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143"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Upon the closing of this offering, based on the number of shares of common stock outstanding as of May 31, 2016, our executive officers, directors and stockholders who owned more than 5% of our outstanding common stock before this offering and their respective affiliates will, in the aggregate, hold shares representing approximately 43% of our outstanding voting stock, which does not take into account any potential participation by such parties in this offering. See "Certain relationships and related person transactions—Participation in this offering."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you purchase shares of common stock in this offering, you will suffer immediate dilution of your investment.</w:t>
      </w:r>
    </w:p>
    <w:p>
      <w:pPr>
        <w:spacing w:after="0" w:line="195"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The initial public offering price of our common stock will be substantially higher than the net tangible book value per share of our common stock. Therefore, if you purchase shares of our common stock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this offering, you will pay a price per share that substantially exceeds our net tangible book value per share after this offering. To the extent shares subsequently are issued under outstanding options or warrants, you will incur further dilution. Based on the initial public offering price of $14.00 per share, you will experience immediate dilution of $9.77 per share as of March 31, 2016, representing the difference between our pro forma as adjusted net tangible book value per share, after giving effect to this offering, and the assumed initial public offering price. In addition, purchasers of common stock in this offering will have contributed approximately 37.0% of the aggregate price paid by all purchasers of our stock but will own only approximately 28.0% of our common stock outstanding after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broad discretion in the use of the net proceeds from this offering and may not use them effectively.</w:t>
      </w:r>
    </w:p>
    <w:p>
      <w:pPr>
        <w:spacing w:after="0" w:line="195"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to support the clinical development of SEL-212, conduct preclinical studies of our other SVP product candidates in order to advance such product candidates into clinical development and for working capital and general corporate purposes. However, our use of these proceeds may differ substantially from our current plans.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59" w:lineRule="exact"/>
        <w:rPr>
          <w:sz w:val="20"/>
          <w:szCs w:val="20"/>
          <w:color w:val="auto"/>
        </w:rPr>
      </w:pPr>
    </w:p>
    <w:p>
      <w:pPr>
        <w:ind w:right="660"/>
        <w:spacing w:after="0" w:line="277" w:lineRule="auto"/>
        <w:rPr>
          <w:sz w:val="20"/>
          <w:szCs w:val="20"/>
          <w:color w:val="auto"/>
        </w:rPr>
      </w:pPr>
      <w:r>
        <w:rPr>
          <w:rFonts w:ascii="Arial" w:cs="Arial" w:eastAsia="Arial" w:hAnsi="Arial"/>
          <w:sz w:val="15"/>
          <w:szCs w:val="15"/>
          <w:b w:val="1"/>
          <w:b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43" w:lineRule="exact"/>
        <w:rPr>
          <w:sz w:val="20"/>
          <w:szCs w:val="20"/>
          <w:color w:val="auto"/>
        </w:rPr>
      </w:pPr>
    </w:p>
    <w:p>
      <w:pPr>
        <w:ind w:right="200"/>
        <w:spacing w:after="0" w:line="280"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in the market that the holders of a large number of shares intend to sell shares, could reduce the market price of our common stock. After this offering, we will have outstanding 17,899,586 shares of common stock based on the number of shares outstanding as of May 31, 2016. This includes the 5,000,000 shares that we are selling in this offering, which may be resold in the public market immediately without restriction, unless purchased by our affiliates, existing stockholders that are required to file reports pursuant to Section 16 of the Securities Exchange Act of 1934, as amended, or the Exchange Act, or participants in our directed share program who purchase more than $1,000,000 of shares. See "Prospectus summary—Directed share program" and "Shares eligible for future sale." The remaining 12,899,586 shares are currently restricted as a result of securities laws or lock-up agreements but will become eligible to be sold at various times beginning 180 days after this offering, unless held by one of our affiliates, in which case the resale of those securities will be subject to volume limitations under Rule 144 of the Securities Act of 1933, as amended, or Rule 144. Moreover, after this offering, holders of 12,251,700 shares of our common stock will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26630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4" w:name="page65"/>
    <w:bookmarkEnd w:id="64"/>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60"/>
        <w:spacing w:after="0" w:line="277" w:lineRule="auto"/>
        <w:rPr>
          <w:sz w:val="20"/>
          <w:szCs w:val="20"/>
          <w:color w:val="auto"/>
        </w:rPr>
      </w:pPr>
      <w:r>
        <w:rPr>
          <w:rFonts w:ascii="Arial" w:cs="Arial" w:eastAsia="Arial" w:hAnsi="Arial"/>
          <w:sz w:val="15"/>
          <w:szCs w:val="15"/>
          <w:b w:val="1"/>
          <w:bCs w:val="1"/>
          <w:color w:val="auto"/>
        </w:rPr>
        <w:t>We are an "emerging growth company," and the reduced disclosure requirements applicable to emerging growth companies may make our common stock less attractive to investors.</w:t>
      </w:r>
    </w:p>
    <w:p>
      <w:pPr>
        <w:spacing w:after="0" w:line="143"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1" w:lineRule="exact"/>
        <w:rPr>
          <w:sz w:val="20"/>
          <w:szCs w:val="20"/>
          <w:color w:val="auto"/>
        </w:rPr>
      </w:pPr>
    </w:p>
    <w:p>
      <w:pPr>
        <w:ind w:left="467" w:right="68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in the assessment of our internal control over financial reporting;</w:t>
      </w:r>
    </w:p>
    <w:p>
      <w:pPr>
        <w:spacing w:after="0" w:line="209" w:lineRule="exact"/>
        <w:rPr>
          <w:rFonts w:ascii="Arial" w:cs="Arial" w:eastAsia="Arial" w:hAnsi="Arial"/>
          <w:sz w:val="15"/>
          <w:szCs w:val="15"/>
          <w:color w:val="auto"/>
        </w:rPr>
      </w:pPr>
    </w:p>
    <w:p>
      <w:pPr>
        <w:ind w:left="467" w:right="72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and</w:t>
      </w:r>
    </w:p>
    <w:p>
      <w:pPr>
        <w:spacing w:after="0" w:line="221" w:lineRule="exact"/>
        <w:rPr>
          <w:rFonts w:ascii="Arial" w:cs="Arial" w:eastAsia="Arial" w:hAnsi="Arial"/>
          <w:sz w:val="15"/>
          <w:szCs w:val="15"/>
          <w:color w:val="auto"/>
        </w:rPr>
      </w:pPr>
    </w:p>
    <w:p>
      <w:pPr>
        <w:ind w:left="467" w:right="32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shareholder approval of any golden parachute payments not previously approved.</w:t>
      </w:r>
    </w:p>
    <w:p>
      <w:pPr>
        <w:spacing w:after="0" w:line="151" w:lineRule="exact"/>
        <w:rPr>
          <w:sz w:val="20"/>
          <w:szCs w:val="20"/>
          <w:color w:val="auto"/>
        </w:rPr>
      </w:pPr>
    </w:p>
    <w:p>
      <w:pPr>
        <w:ind w:left="7" w:right="220"/>
        <w:spacing w:after="0" w:line="283"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45" w:lineRule="exact"/>
        <w:rPr>
          <w:sz w:val="20"/>
          <w:szCs w:val="20"/>
          <w:color w:val="auto"/>
        </w:rPr>
      </w:pPr>
    </w:p>
    <w:p>
      <w:pPr>
        <w:ind w:left="7" w:right="100"/>
        <w:spacing w:after="0" w:line="277" w:lineRule="auto"/>
        <w:rPr>
          <w:sz w:val="20"/>
          <w:szCs w:val="20"/>
          <w:color w:val="auto"/>
        </w:rPr>
      </w:pPr>
      <w:r>
        <w:rPr>
          <w:rFonts w:ascii="Arial" w:cs="Arial" w:eastAsia="Arial" w:hAnsi="Arial"/>
          <w:sz w:val="15"/>
          <w:szCs w:val="15"/>
          <w:b w:val="1"/>
          <w:bCs w:val="1"/>
          <w:color w:val="auto"/>
        </w:rPr>
        <w:t>We will incur increased costs as a result of operating as a public company, and our management will be required to devote substantial time to new compliance initiatives and corporate governance practices.</w:t>
      </w:r>
    </w:p>
    <w:p>
      <w:pPr>
        <w:spacing w:after="0" w:line="143"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2"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5" w:lineRule="exact"/>
        <w:rPr>
          <w:sz w:val="20"/>
          <w:szCs w:val="20"/>
          <w:color w:val="auto"/>
        </w:rPr>
      </w:pPr>
    </w:p>
    <w:p>
      <w:pPr>
        <w:ind w:right="80"/>
        <w:spacing w:after="0" w:line="306" w:lineRule="auto"/>
        <w:rPr>
          <w:sz w:val="20"/>
          <w:szCs w:val="20"/>
          <w:color w:val="auto"/>
        </w:rPr>
      </w:pPr>
      <w:r>
        <w:rPr>
          <w:rFonts w:ascii="Arial" w:cs="Arial" w:eastAsia="Arial" w:hAnsi="Arial"/>
          <w:sz w:val="13"/>
          <w:szCs w:val="13"/>
          <w:color w:val="auto"/>
        </w:rPr>
        <w:t>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35"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6" w:name="page67"/>
    <w:bookmarkEnd w:id="66"/>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220"/>
        <w:spacing w:after="0" w:line="277" w:lineRule="auto"/>
        <w:rPr>
          <w:sz w:val="20"/>
          <w:szCs w:val="20"/>
          <w:color w:val="auto"/>
        </w:rPr>
      </w:pPr>
      <w:r>
        <w:rPr>
          <w:rFonts w:ascii="Arial" w:cs="Arial" w:eastAsia="Arial" w:hAnsi="Arial"/>
          <w:sz w:val="15"/>
          <w:szCs w:val="15"/>
          <w:b w:val="1"/>
          <w:b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43" w:lineRule="exact"/>
        <w:rPr>
          <w:sz w:val="20"/>
          <w:szCs w:val="20"/>
          <w:color w:val="auto"/>
        </w:rPr>
      </w:pPr>
    </w:p>
    <w:p>
      <w:pPr>
        <w:ind w:left="7" w:right="120"/>
        <w:spacing w:after="0" w:line="262" w:lineRule="auto"/>
        <w:rPr>
          <w:sz w:val="20"/>
          <w:szCs w:val="20"/>
          <w:color w:val="auto"/>
        </w:rPr>
      </w:pPr>
      <w:r>
        <w:rPr>
          <w:rFonts w:ascii="Arial" w:cs="Arial" w:eastAsia="Arial" w:hAnsi="Arial"/>
          <w:sz w:val="15"/>
          <w:szCs w:val="15"/>
          <w:color w:val="auto"/>
        </w:rPr>
        <w:t>Provisions in our restated certificate of incorporation and our restated bylaws, which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9" w:lineRule="exact"/>
        <w:rPr>
          <w:sz w:val="20"/>
          <w:szCs w:val="20"/>
          <w:color w:val="auto"/>
        </w:rPr>
      </w:pPr>
    </w:p>
    <w:p>
      <w:pPr>
        <w:ind w:left="467" w:hanging="467"/>
        <w:spacing w:after="0"/>
        <w:tabs>
          <w:tab w:leader="none" w:pos="467"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which may delay the ability of stockholders to change the membership of a majority of our board of directors;</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 cumulative voting in the election of directors, which limits the ability of minority stockholders to elect director candidates;</w:t>
      </w:r>
    </w:p>
    <w:p>
      <w:pPr>
        <w:spacing w:after="0" w:line="209" w:lineRule="exact"/>
        <w:rPr>
          <w:rFonts w:ascii="Arial" w:cs="Arial" w:eastAsia="Arial" w:hAnsi="Arial"/>
          <w:sz w:val="15"/>
          <w:szCs w:val="15"/>
          <w:color w:val="auto"/>
        </w:rPr>
      </w:pPr>
    </w:p>
    <w:p>
      <w:pPr>
        <w:ind w:left="467" w:right="24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2" w:lineRule="exact"/>
        <w:rPr>
          <w:rFonts w:ascii="Arial" w:cs="Arial" w:eastAsia="Arial" w:hAnsi="Arial"/>
          <w:sz w:val="15"/>
          <w:szCs w:val="15"/>
          <w:color w:val="auto"/>
        </w:rPr>
      </w:pPr>
    </w:p>
    <w:p>
      <w:pPr>
        <w:ind w:left="467" w:right="10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ability of our board of directors to alter our bylaws without obtaining stockholder approval;</w:t>
      </w:r>
    </w:p>
    <w:p>
      <w:pPr>
        <w:spacing w:after="0" w:line="209" w:lineRule="exact"/>
        <w:rPr>
          <w:rFonts w:ascii="Arial" w:cs="Arial" w:eastAsia="Arial" w:hAnsi="Arial"/>
          <w:sz w:val="15"/>
          <w:szCs w:val="15"/>
          <w:color w:val="auto"/>
        </w:rPr>
      </w:pPr>
    </w:p>
    <w:p>
      <w:pPr>
        <w:ind w:left="467" w:right="10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221" w:lineRule="exact"/>
        <w:rPr>
          <w:rFonts w:ascii="Arial" w:cs="Arial" w:eastAsia="Arial" w:hAnsi="Arial"/>
          <w:sz w:val="15"/>
          <w:szCs w:val="15"/>
          <w:color w:val="auto"/>
        </w:rPr>
      </w:pPr>
    </w:p>
    <w:p>
      <w:pPr>
        <w:ind w:left="467"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2" w:lineRule="exact"/>
        <w:rPr>
          <w:rFonts w:ascii="Arial" w:cs="Arial" w:eastAsia="Arial" w:hAnsi="Arial"/>
          <w:sz w:val="15"/>
          <w:szCs w:val="15"/>
          <w:color w:val="auto"/>
        </w:rPr>
      </w:pPr>
    </w:p>
    <w:p>
      <w:pPr>
        <w:ind w:left="467" w:right="160" w:hanging="467"/>
        <w:spacing w:after="0" w:line="270"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59" w:lineRule="exact"/>
        <w:rPr>
          <w:sz w:val="20"/>
          <w:szCs w:val="20"/>
          <w:color w:val="auto"/>
        </w:rPr>
      </w:pPr>
    </w:p>
    <w:p>
      <w:pPr>
        <w:jc w:val="both"/>
        <w:ind w:left="7" w:right="200"/>
        <w:spacing w:after="0" w:line="270"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jc w:val="both"/>
        <w:ind w:right="80"/>
        <w:spacing w:after="0" w:line="259" w:lineRule="auto"/>
        <w:rPr>
          <w:sz w:val="20"/>
          <w:szCs w:val="20"/>
          <w:color w:val="auto"/>
        </w:rPr>
      </w:pPr>
      <w:r>
        <w:rPr>
          <w:rFonts w:ascii="Arial" w:cs="Arial" w:eastAsia="Arial" w:hAnsi="Arial"/>
          <w:sz w:val="15"/>
          <w:szCs w:val="15"/>
          <w:b w:val="1"/>
          <w:b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56"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Because we do not expect paying any cash dividends on our capital stock in the foreseeable future, capital appreciation, if any, will be your sole source of gain.</w:t>
      </w:r>
    </w:p>
    <w:p>
      <w:pPr>
        <w:spacing w:after="0" w:line="195"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could be subject to securities class action litigation.</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Special note regarding forward-looking statements</w:t>
      </w:r>
    </w:p>
    <w:p>
      <w:pPr>
        <w:spacing w:after="0" w:line="183"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prospective products and product candidates, product approvals, research and development costs, timing and likelihood of success, plans and objectives of management for future operations and future results of expected products and product candidates,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factors,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26630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9" w:name="page70"/>
    <w:bookmarkEnd w:id="69"/>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0910" cy="7620"/>
                    </a:xfrm>
                    <a:prstGeom prst="rect">
                      <a:avLst/>
                    </a:prstGeom>
                    <a:noFill/>
                  </pic:spPr>
                </pic:pic>
              </a:graphicData>
            </a:graphic>
          </wp:anchor>
        </w:drawing>
        <w:t>Industry and other data</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We obtained the industry, market and competitive position data in this prospectus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frequently involve a number of assumptions and limitations and therefore do not guarantee the accuracy or completeness of such information. Our estimates also involve risks and uncertainties and are subject to change based on various factors, including those discussed under the headings "Risk factors," "Special note regarding forward-looking statements" and "Management's discussion and analysis of financial condition and results of operations"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Trademarks, service marks and tradenames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We own or have rights to use a number of registered and common law trademarks, service marks and trade names in connection with our business in the United States and in certain foreign jurisdictions, including, but not limited to, "SELECTA."</w:t>
      </w:r>
    </w:p>
    <w:p>
      <w:pPr>
        <w:spacing w:after="0" w:line="151"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Solely for convenience, the trademarks, service marks, logos and trade names referred to in this prospectus are included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0" w:name="page71"/>
    <w:bookmarkEnd w:id="70"/>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0910" cy="7620"/>
                    </a:xfrm>
                    <a:prstGeom prst="rect">
                      <a:avLst/>
                    </a:prstGeom>
                    <a:noFill/>
                  </pic:spPr>
                </pic:pic>
              </a:graphicData>
            </a:graphic>
          </wp:anchor>
        </w:drawing>
        <w:t>Use of proceeds</w:t>
      </w:r>
    </w:p>
    <w:p>
      <w:pPr>
        <w:spacing w:after="0" w:line="183"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We estimate that the net proceeds from our sale of 5,000,000 shares of our common stock in this offering will be approximately $61.2 million, based on the initial public offering price of $14.00 per share, and after deducting the underwriting discounts and commissions and estimated offering expenses payable by us. If the underwriters' option to purchase additional shares from us is exercised in full, we estimate that our net proceeds will be $71.0 million.</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expect that we will use the net proceeds from this offering for the following purposes:</w:t>
      </w:r>
    </w:p>
    <w:p>
      <w:pPr>
        <w:spacing w:after="0" w:line="210" w:lineRule="exact"/>
        <w:rPr>
          <w:sz w:val="20"/>
          <w:szCs w:val="20"/>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approximately $23 million to support the clinical development and manufacturing scale-up of SEL-212, including SEL-212's Phase 2 clinical trial;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approximately $10 million to fund the start of a Phase 1 clinical trial and manufacturing scale-up of our first gene therapy program; and</w:t>
      </w:r>
    </w:p>
    <w:p>
      <w:pPr>
        <w:spacing w:after="0" w:line="209" w:lineRule="exact"/>
        <w:rPr>
          <w:rFonts w:ascii="Arial" w:cs="Arial" w:eastAsia="Arial" w:hAnsi="Arial"/>
          <w:sz w:val="15"/>
          <w:szCs w:val="15"/>
          <w:color w:val="auto"/>
        </w:rPr>
      </w:pPr>
    </w:p>
    <w:p>
      <w:pPr>
        <w:ind w:left="467" w:right="40" w:hanging="467"/>
        <w:spacing w:after="0" w:line="362" w:lineRule="auto"/>
        <w:tabs>
          <w:tab w:leader="none" w:pos="467"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remainder, if any, to fund preparations for the Phase 3 clinical trial of SEL-212 and the further advancement of our second gene therapy program as well as other potential future development programs, early-stage research and development and continued development of our SVP technologies, and for working capital and general corporate purposes.</w:t>
      </w:r>
    </w:p>
    <w:p>
      <w:pPr>
        <w:spacing w:after="0" w:line="105"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The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expect that we will need additional funds to complete the development of SEL-212 and any other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54" w:lineRule="exact"/>
        <w:rPr>
          <w:sz w:val="20"/>
          <w:szCs w:val="20"/>
          <w:color w:val="auto"/>
        </w:rPr>
      </w:pPr>
    </w:p>
    <w:p>
      <w:pPr>
        <w:ind w:left="7" w:right="20"/>
        <w:spacing w:after="0" w:line="282"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333" w:right="299" w:bottom="1440" w:gutter="0" w:footer="0" w:header="0"/>
        </w:sectPr>
      </w:pPr>
    </w:p>
    <w:bookmarkStart w:id="71" w:name="page72"/>
    <w:bookmarkEnd w:id="71"/>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0910" cy="7620"/>
                    </a:xfrm>
                    <a:prstGeom prst="rect">
                      <a:avLst/>
                    </a:prstGeom>
                    <a:noFill/>
                  </pic:spPr>
                </pic:pic>
              </a:graphicData>
            </a:graphic>
          </wp:anchor>
        </w:drawing>
        <w:t>Dividend policy</w:t>
      </w:r>
    </w:p>
    <w:p>
      <w:pPr>
        <w:spacing w:after="0" w:line="183"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2" w:name="page73"/>
    <w:bookmarkEnd w:id="72"/>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Capitalization</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sets forth our cash and cash equivalents and capitalization as of March 31, 2016, as follows:</w:t>
      </w:r>
    </w:p>
    <w:p>
      <w:pPr>
        <w:spacing w:after="0" w:line="210" w:lineRule="exact"/>
        <w:rPr>
          <w:sz w:val="20"/>
          <w:szCs w:val="20"/>
          <w:color w:val="auto"/>
        </w:rPr>
      </w:pPr>
    </w:p>
    <w:p>
      <w:pPr>
        <w:ind w:left="467" w:hanging="467"/>
        <w:spacing w:after="0"/>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21" w:lineRule="exact"/>
        <w:rPr>
          <w:rFonts w:ascii="Arial" w:cs="Arial" w:eastAsia="Arial" w:hAnsi="Arial"/>
          <w:sz w:val="15"/>
          <w:szCs w:val="15"/>
          <w:color w:val="auto"/>
        </w:rPr>
      </w:pPr>
    </w:p>
    <w:p>
      <w:pPr>
        <w:ind w:left="467" w:hanging="467"/>
        <w:spacing w:after="0" w:line="262" w:lineRule="auto"/>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a pro forma basis to reflect the (i) the automatic conversion of all shares of our preferred stock into common stock upon closing of this offering, which, based on the initial public offering price of $14.00 per share, will result in the issuance of 10,126,118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15,094 shares of our common stock, at a weighted average exercise price of $11.32 per share of common stock, based on the initial public offering price of $14.00 per share, upon the closing of this offering, (iii) the automatic cashless exercise of the series E common warrants for 567,306 shares of our common stock and (iv) the filing of our restated certificate of incorporation; and</w:t>
      </w:r>
    </w:p>
    <w:p>
      <w:pPr>
        <w:spacing w:after="0" w:line="178" w:lineRule="exact"/>
        <w:rPr>
          <w:rFonts w:ascii="Arial" w:cs="Arial" w:eastAsia="Arial" w:hAnsi="Arial"/>
          <w:sz w:val="15"/>
          <w:szCs w:val="15"/>
          <w:color w:val="auto"/>
        </w:rPr>
      </w:pPr>
    </w:p>
    <w:p>
      <w:pPr>
        <w:ind w:left="467" w:right="200" w:hanging="467"/>
        <w:spacing w:after="0" w:line="282" w:lineRule="auto"/>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a pro forma as adjusted basis to give further effect to our issuance and sale of 5,000,000 shares of common stock in this offering at the initial public offering price of $14.00 per share, after deducting the underwriting discounts and commissions and estimated offering expenses payable by us.</w:t>
      </w:r>
    </w:p>
    <w:p>
      <w:pPr>
        <w:spacing w:after="0" w:line="151" w:lineRule="exact"/>
        <w:rPr>
          <w:sz w:val="20"/>
          <w:szCs w:val="20"/>
          <w:color w:val="auto"/>
        </w:rPr>
      </w:pPr>
    </w:p>
    <w:p>
      <w:pPr>
        <w:ind w:left="7" w:right="240"/>
        <w:spacing w:after="0" w:line="282" w:lineRule="auto"/>
        <w:rPr>
          <w:sz w:val="20"/>
          <w:szCs w:val="20"/>
          <w:color w:val="auto"/>
        </w:rPr>
      </w:pPr>
      <w:r>
        <w:rPr>
          <w:rFonts w:ascii="Arial" w:cs="Arial" w:eastAsia="Arial" w:hAnsi="Arial"/>
          <w:sz w:val="15"/>
          <w:szCs w:val="15"/>
          <w:color w:val="auto"/>
        </w:rPr>
        <w:t>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183"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8"/>
          </w:tcPr>
          <w:p>
            <w:pPr>
              <w:jc w:val="center"/>
              <w:ind w:left="529"/>
              <w:spacing w:after="0"/>
              <w:rPr>
                <w:sz w:val="20"/>
                <w:szCs w:val="20"/>
                <w:color w:val="auto"/>
              </w:rPr>
            </w:pPr>
            <w:r>
              <w:rPr>
                <w:rFonts w:ascii="Arial" w:cs="Arial" w:eastAsia="Arial" w:hAnsi="Arial"/>
                <w:sz w:val="12"/>
                <w:szCs w:val="12"/>
                <w:b w:val="1"/>
                <w:bCs w:val="1"/>
                <w:color w:val="auto"/>
              </w:rPr>
              <w:t>As of March 31, 2016</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7"/>
              <w:spacing w:after="0" w:line="121" w:lineRule="exact"/>
              <w:rPr>
                <w:sz w:val="20"/>
                <w:szCs w:val="20"/>
                <w:color w:val="auto"/>
              </w:rPr>
            </w:pPr>
            <w:r>
              <w:rPr>
                <w:rFonts w:ascii="Arial" w:cs="Arial" w:eastAsia="Arial" w:hAnsi="Arial"/>
                <w:sz w:val="12"/>
                <w:szCs w:val="12"/>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Actual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Pro forma</w:t>
            </w:r>
          </w:p>
        </w:tc>
        <w:tc>
          <w:tcPr>
            <w:tcW w:w="6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14"/>
        </w:trPr>
        <w:tc>
          <w:tcPr>
            <w:tcW w:w="63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ind w:right="200"/>
              <w:spacing w:after="0" w:line="114" w:lineRule="exact"/>
              <w:rPr>
                <w:sz w:val="20"/>
                <w:szCs w:val="20"/>
                <w:color w:val="auto"/>
              </w:rPr>
            </w:pPr>
            <w:r>
              <w:rPr>
                <w:rFonts w:ascii="Arial" w:cs="Arial" w:eastAsia="Arial" w:hAnsi="Arial"/>
                <w:sz w:val="12"/>
                <w:szCs w:val="12"/>
                <w:b w:val="1"/>
                <w:bCs w:val="1"/>
                <w:color w:val="auto"/>
                <w:w w:val="85"/>
              </w:rPr>
              <w:t>(unaudited)</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88"/>
              </w:rPr>
              <w:t>(unaudited)</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7"/>
              <w:spacing w:after="0" w:line="11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10"/>
          </w:tcPr>
          <w:p>
            <w:pPr>
              <w:jc w:val="center"/>
              <w:ind w:right="280"/>
              <w:spacing w:after="0"/>
              <w:rPr>
                <w:sz w:val="20"/>
                <w:szCs w:val="20"/>
                <w:color w:val="auto"/>
              </w:rPr>
            </w:pPr>
            <w:r>
              <w:rPr>
                <w:rFonts w:ascii="Arial" w:cs="Arial" w:eastAsia="Arial" w:hAnsi="Arial"/>
                <w:sz w:val="12"/>
                <w:szCs w:val="12"/>
                <w:b w:val="1"/>
                <w:bCs w:val="1"/>
                <w:color w:val="auto"/>
              </w:rPr>
              <w:t>(in thousands, except for share data)</w:t>
            </w: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short-term investments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5"/>
                <w:szCs w:val="15"/>
                <w:color w:val="auto"/>
              </w:rPr>
              <w:t>Other long-term liabilities</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Arial" w:cs="Arial" w:eastAsia="Arial" w:hAnsi="Arial"/>
                <w:sz w:val="15"/>
                <w:szCs w:val="15"/>
                <w:color w:val="auto"/>
              </w:rPr>
              <w:t>310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Loans payable, net of current portion</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340" w:type="dxa"/>
            <w:vAlign w:val="bottom"/>
          </w:tcPr>
          <w:p>
            <w:pPr>
              <w:spacing w:after="0"/>
              <w:rPr>
                <w:sz w:val="20"/>
                <w:szCs w:val="20"/>
                <w:color w:val="auto"/>
              </w:rPr>
            </w:pPr>
            <w:r>
              <w:rPr>
                <w:rFonts w:ascii="Arial" w:cs="Arial" w:eastAsia="Arial" w:hAnsi="Arial"/>
                <w:sz w:val="15"/>
                <w:szCs w:val="15"/>
                <w:color w:val="auto"/>
                <w:w w:val="93"/>
              </w:rPr>
              <w:t>Redeemable convertible preferred stock (Series A, B, C, D, E and SRN), par value $0.0001 per share;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89"/>
              </w:rPr>
              <w:t>37,835,623 shares authorized, 34,127,186 shares issued and outstanding, actual; no shares authorized,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ind w:left="120"/>
              <w:spacing w:after="0"/>
              <w:rPr>
                <w:sz w:val="20"/>
                <w:szCs w:val="20"/>
                <w:color w:val="auto"/>
              </w:rPr>
            </w:pPr>
            <w:r>
              <w:rPr>
                <w:rFonts w:ascii="Arial" w:cs="Arial" w:eastAsia="Arial" w:hAnsi="Arial"/>
                <w:sz w:val="15"/>
                <w:szCs w:val="15"/>
                <w:color w:val="auto"/>
              </w:rPr>
              <w:t>issued or outstanding, pro forma and pro forma as adjusted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139,837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8"/>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w w:val="97"/>
              </w:rPr>
              <w:t>Preferred stock, par value $0.0001 per share; no shares authorized, issued or outstanding, actual;</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7"/>
              </w:rPr>
              <w:t>10,000,000 shares authorized and no shares issued or outstanding, pro forma and pro forma as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adjusted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6340" w:type="dxa"/>
            <w:vAlign w:val="bottom"/>
          </w:tcPr>
          <w:p>
            <w:pPr>
              <w:spacing w:after="0"/>
              <w:rPr>
                <w:sz w:val="20"/>
                <w:szCs w:val="20"/>
                <w:color w:val="auto"/>
              </w:rPr>
            </w:pPr>
            <w:r>
              <w:rPr>
                <w:rFonts w:ascii="Arial" w:cs="Arial" w:eastAsia="Arial" w:hAnsi="Arial"/>
                <w:sz w:val="15"/>
                <w:szCs w:val="15"/>
                <w:color w:val="auto"/>
                <w:w w:val="89"/>
              </w:rPr>
              <w:t>Common stock, par value $0.0001 per share; 62,164,377 shares authorized, 2,183,541 shares issued and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97"/>
              </w:rPr>
              <w:t>2,177,858 shares outstanding (5,679 shares subject to repurchase), actual; 200,000,000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94"/>
              </w:rPr>
              <w:t>authorized, pro forma and pro forma as adjusted; 12,876,940 shares issued and 12,871,261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93"/>
              </w:rPr>
              <w:t>outstanding, pro forma; 17,876,940 shares issued and 17,871,261 shares outstanding, pro forma as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40" w:type="dxa"/>
            <w:vAlign w:val="bottom"/>
          </w:tcPr>
          <w:p>
            <w:pPr>
              <w:ind w:left="120"/>
              <w:spacing w:after="0"/>
              <w:rPr>
                <w:sz w:val="20"/>
                <w:szCs w:val="20"/>
                <w:color w:val="auto"/>
              </w:rPr>
            </w:pPr>
            <w:r>
              <w:rPr>
                <w:rFonts w:ascii="Arial" w:cs="Arial" w:eastAsia="Arial" w:hAnsi="Arial"/>
                <w:sz w:val="15"/>
                <w:szCs w:val="15"/>
                <w:color w:val="auto"/>
              </w:rPr>
              <w:t>adjusted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 in capital</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140,147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201,347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spacing w:after="0"/>
              <w:rPr>
                <w:sz w:val="20"/>
                <w:szCs w:val="20"/>
                <w:color w:val="auto"/>
              </w:rPr>
            </w:pPr>
            <w:r>
              <w:rPr>
                <w:rFonts w:ascii="Arial" w:cs="Arial" w:eastAsia="Arial" w:hAnsi="Arial"/>
                <w:sz w:val="15"/>
                <w:szCs w:val="15"/>
                <w:color w:val="auto"/>
              </w:rPr>
              <w:t>Accumulated deficit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(121,051)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(121,051)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(121,051)</w:t>
            </w: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(4,755)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(4,755)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(4,755)</w:t>
            </w:r>
          </w:p>
        </w:tc>
        <w:tc>
          <w:tcPr>
            <w:tcW w:w="0" w:type="dxa"/>
            <w:vAlign w:val="bottom"/>
          </w:tcPr>
          <w:p>
            <w:pPr>
              <w:spacing w:after="0"/>
              <w:rPr>
                <w:sz w:val="1"/>
                <w:szCs w:val="1"/>
                <w:color w:val="auto"/>
              </w:rPr>
            </w:pPr>
          </w:p>
        </w:tc>
      </w:tr>
      <w:tr>
        <w:trPr>
          <w:trHeight w:val="177"/>
        </w:trPr>
        <w:tc>
          <w:tcPr>
            <w:tcW w:w="6340" w:type="dxa"/>
            <w:vAlign w:val="bottom"/>
          </w:tcPr>
          <w:p>
            <w:pPr>
              <w:ind w:left="120"/>
              <w:spacing w:after="0"/>
              <w:rPr>
                <w:sz w:val="20"/>
                <w:szCs w:val="20"/>
                <w:color w:val="auto"/>
              </w:rPr>
            </w:pPr>
            <w:r>
              <w:rPr>
                <w:rFonts w:ascii="Arial" w:cs="Arial" w:eastAsia="Arial" w:hAnsi="Arial"/>
                <w:sz w:val="15"/>
                <w:szCs w:val="15"/>
                <w:color w:val="auto"/>
              </w:rPr>
              <w:t>Total stockholders' equity (deficit)</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(125,805)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14,342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75,542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Total capitalization</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25,511</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25,511</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86,711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26630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3" w:name="page74"/>
    <w:bookmarkEnd w:id="73"/>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number of shares in the table above does not include:</w:t>
      </w:r>
    </w:p>
    <w:p>
      <w:pPr>
        <w:spacing w:after="0" w:line="210" w:lineRule="exact"/>
        <w:rPr>
          <w:sz w:val="20"/>
          <w:szCs w:val="20"/>
          <w:color w:val="auto"/>
        </w:rPr>
      </w:pPr>
    </w:p>
    <w:p>
      <w:pPr>
        <w:ind w:left="467" w:hanging="467"/>
        <w:spacing w:after="0"/>
        <w:tabs>
          <w:tab w:leader="none" w:pos="467" w:val="left"/>
        </w:tabs>
        <w:numPr>
          <w:ilvl w:val="0"/>
          <w:numId w:val="50"/>
        </w:numPr>
        <w:rPr>
          <w:rFonts w:ascii="Arial" w:cs="Arial" w:eastAsia="Arial" w:hAnsi="Arial"/>
          <w:sz w:val="14"/>
          <w:szCs w:val="14"/>
          <w:color w:val="auto"/>
        </w:rPr>
      </w:pPr>
      <w:r>
        <w:rPr>
          <w:rFonts w:ascii="Arial" w:cs="Arial" w:eastAsia="Arial" w:hAnsi="Arial"/>
          <w:sz w:val="14"/>
          <w:szCs w:val="14"/>
          <w:color w:val="auto"/>
        </w:rPr>
        <w:t>1,736,682 shares of common stock issuable upon exercise of stock options outstanding as of March 31, 2016, at a weighted average exercise price of $4.84 per share;</w:t>
      </w:r>
    </w:p>
    <w:p>
      <w:pPr>
        <w:spacing w:after="0" w:line="232" w:lineRule="exact"/>
        <w:rPr>
          <w:rFonts w:ascii="Arial" w:cs="Arial" w:eastAsia="Arial" w:hAnsi="Arial"/>
          <w:sz w:val="14"/>
          <w:szCs w:val="14"/>
          <w:color w:val="auto"/>
        </w:rPr>
      </w:pPr>
    </w:p>
    <w:p>
      <w:pPr>
        <w:ind w:left="467" w:right="160" w:hanging="467"/>
        <w:spacing w:after="0" w:line="282" w:lineRule="auto"/>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113,795 shares of common stock issuable upon the exercise of warrants outstanding as of March 31, 2016, including outstanding warrants to purchase shares of preferred stock that will become warrants to purchase common stock upon the closing of this offering, at a weighted average exercise price of $16.60 per share;</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7,091 shares of our common stock available for future issuance under our 2008 Equity Incentive Plan as of March 31, 2016;</w:t>
      </w:r>
    </w:p>
    <w:p>
      <w:pPr>
        <w:spacing w:after="0" w:line="209"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390,796 shares of common stock issuable upon the exercise of stock options granted in connection with this offering under our 2016 Plan, which became effective in connection with this offering, to some of our executive officers and employees, at an exercise price per share equal to the initial public offering price in this offering;</w:t>
      </w:r>
    </w:p>
    <w:p>
      <w:pPr>
        <w:spacing w:after="0" w:line="173" w:lineRule="exact"/>
        <w:rPr>
          <w:rFonts w:ascii="Arial" w:cs="Arial" w:eastAsia="Arial" w:hAnsi="Arial"/>
          <w:sz w:val="15"/>
          <w:szCs w:val="15"/>
          <w:color w:val="auto"/>
        </w:rPr>
      </w:pPr>
    </w:p>
    <w:p>
      <w:pPr>
        <w:ind w:left="467" w:right="80" w:hanging="467"/>
        <w:spacing w:after="0" w:line="270" w:lineRule="auto"/>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819,460 shares of our common stock available for future issuance under our 2016 Plan, which became effective in connection with this offering, as well as shares of our common stock that become available pursuant to provisions in our 2016 Plan on January 1 of each subsequent calendar year as described in "Executive and director compensation—Incentive plans—2016 Incentive Award Plan"; and</w:t>
      </w:r>
    </w:p>
    <w:p>
      <w:pPr>
        <w:spacing w:after="0" w:line="170" w:lineRule="exact"/>
        <w:rPr>
          <w:rFonts w:ascii="Arial" w:cs="Arial" w:eastAsia="Arial" w:hAnsi="Arial"/>
          <w:sz w:val="15"/>
          <w:szCs w:val="15"/>
          <w:color w:val="auto"/>
        </w:rPr>
      </w:pPr>
    </w:p>
    <w:p>
      <w:pPr>
        <w:jc w:val="both"/>
        <w:ind w:left="467" w:right="240" w:hanging="467"/>
        <w:spacing w:after="0" w:line="270" w:lineRule="auto"/>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173,076 shares of our common stock reserved for future issuance under our 2016 ESPP, which became effective in connection with this offering, as well as shares of our common stock that become available pursuant to provisions in our 2016 ESPP that automatically increase the share reserve under our 2016 ESPP on January 1 of each subsequent calendar year as described in "Executive and director compensation—Incentive plans—2016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Dilution</w:t>
      </w:r>
    </w:p>
    <w:p>
      <w:pPr>
        <w:spacing w:after="0" w:line="183"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As of March 31, 2016, we had a historical net tangible book value (deficit) of $(125.8) million, or $(57.77) per share of common stock. Our historical net tangible book value per share is the amount of our total tangible assets less our total liabilities and redeemable convertible preferred stock, which is not included within stockholders' equity (deficit), divided by the number of shares of our common stock outstanding as of March 31, 2016.</w:t>
      </w:r>
    </w:p>
    <w:p>
      <w:pPr>
        <w:spacing w:after="0" w:line="159" w:lineRule="exact"/>
        <w:rPr>
          <w:sz w:val="20"/>
          <w:szCs w:val="20"/>
          <w:color w:val="auto"/>
        </w:rPr>
      </w:pPr>
    </w:p>
    <w:p>
      <w:pPr>
        <w:ind w:right="80"/>
        <w:spacing w:after="0" w:line="306" w:lineRule="auto"/>
        <w:rPr>
          <w:sz w:val="20"/>
          <w:szCs w:val="20"/>
          <w:color w:val="auto"/>
        </w:rPr>
      </w:pPr>
      <w:r>
        <w:rPr>
          <w:rFonts w:ascii="Arial" w:cs="Arial" w:eastAsia="Arial" w:hAnsi="Arial"/>
          <w:sz w:val="13"/>
          <w:szCs w:val="13"/>
          <w:color w:val="auto"/>
        </w:rPr>
        <w:t>Our pro forma net tangible book value as of March 31, 2016 was $14.3 million, or $1.11 per share. Pro forma net tangible book value is the amount of our total tangible assets less our total liabilities and redeemable convertible preferred stock, which is not included within stockholders' equity (deficit), after giving effect to the (i) the automatic conversion of all shares of our preferred stock into common stock upon closing of this offering, which, based on the initial public offering price of $14.00 per share, will result in the issuance of 10,126,118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15,094 shares of our common stock, at a weighted average exercise price of $11.32 per share of common stock, based on the initial public offering price of $14.00 per share, upon the closing of this offering, (iii) the automatic cashless exercise of the series E common warrants for 567,306 shares of our common stock and (iv) the filing of our restated certificate of incorporation; and the pro forma net tangible book value per share represents our pro forma net tangible book value divided by the total number of shares outstanding as of March 31, 2016, after giving effect to the pro forma adjustments described above as if they had occurred on such date.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After giving further effect to the sale of 5,000,000 shares of common stock in this offering at the initial public offering price of $14.00 per share, and after deducting the underwriting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discounts and commissions and estimated offering expenses payable by us, our pro forma as adjusted net tangible book value as of March 31, 2016 would have been approximately</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$75.5 million, or approximately $4.23 per share. This amount represents an immediate increase in pro forma net tangible book value of $3.12 per share to our existing stockholders and an</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immediate dilution of approximately $9.77 per share to new investors participating in this offering. We determine dilution by subtracting the pro forma as adjusted net tangible book value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per share after this offering from the amount of cash that a new investor paid for a share of common stock. The following table illustrates this dilution:</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Initial public offering price per share</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w:t>
            </w:r>
          </w:p>
        </w:tc>
        <w:tc>
          <w:tcPr>
            <w:tcW w:w="140" w:type="dxa"/>
            <w:vAlign w:val="bottom"/>
            <w:shd w:val="clear" w:color="auto" w:fill="CCEEFF"/>
          </w:tcPr>
          <w:p>
            <w:pPr>
              <w:spacing w:after="0"/>
              <w:rPr>
                <w:sz w:val="16"/>
                <w:szCs w:val="16"/>
                <w:color w:val="auto"/>
              </w:rPr>
            </w:pPr>
          </w:p>
        </w:tc>
      </w:tr>
      <w:tr>
        <w:trPr>
          <w:trHeight w:val="185"/>
        </w:trPr>
        <w:tc>
          <w:tcPr>
            <w:tcW w:w="7440" w:type="dxa"/>
            <w:vAlign w:val="bottom"/>
          </w:tcPr>
          <w:p>
            <w:pPr>
              <w:ind w:left="160"/>
              <w:spacing w:after="0"/>
              <w:rPr>
                <w:sz w:val="20"/>
                <w:szCs w:val="20"/>
                <w:color w:val="auto"/>
              </w:rPr>
            </w:pPr>
            <w:r>
              <w:rPr>
                <w:rFonts w:ascii="Arial" w:cs="Arial" w:eastAsia="Arial" w:hAnsi="Arial"/>
                <w:sz w:val="15"/>
                <w:szCs w:val="15"/>
                <w:color w:val="auto"/>
              </w:rPr>
              <w:t>Historical net tangible book value (deficit) per share as of March 31, 2016</w:t>
            </w: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(57.77)</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8"/>
        </w:trPr>
        <w:tc>
          <w:tcPr>
            <w:tcW w:w="74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Increase per share attributable to the conversion of our preferred stock and cashless exercise of our series E common</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74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warrants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7440" w:type="dxa"/>
            <w:vAlign w:val="bottom"/>
          </w:tcPr>
          <w:p>
            <w:pPr>
              <w:ind w:left="160"/>
              <w:spacing w:after="0"/>
              <w:rPr>
                <w:sz w:val="20"/>
                <w:szCs w:val="20"/>
                <w:color w:val="auto"/>
              </w:rPr>
            </w:pPr>
            <w:r>
              <w:rPr>
                <w:rFonts w:ascii="Arial" w:cs="Arial" w:eastAsia="Arial" w:hAnsi="Arial"/>
                <w:sz w:val="15"/>
                <w:szCs w:val="15"/>
                <w:color w:val="auto"/>
              </w:rPr>
              <w:t>Pro forma net tangible book value per share as of March 31, 2016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7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Increase per share attributable to this offering</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r>
              <w:rPr>
                <w:rFonts w:ascii="Arial" w:cs="Arial" w:eastAsia="Arial" w:hAnsi="Arial"/>
                <w:sz w:val="15"/>
                <w:szCs w:val="15"/>
                <w:u w:val="single" w:color="auto"/>
                <w:color w:val="auto"/>
              </w:rPr>
              <w:t>23</w:t>
            </w:r>
          </w:p>
        </w:tc>
        <w:tc>
          <w:tcPr>
            <w:tcW w:w="140" w:type="dxa"/>
            <w:vAlign w:val="bottom"/>
          </w:tcPr>
          <w:p>
            <w:pPr>
              <w:spacing w:after="0"/>
              <w:rPr>
                <w:sz w:val="15"/>
                <w:szCs w:val="15"/>
                <w:color w:val="auto"/>
              </w:rPr>
            </w:pPr>
          </w:p>
        </w:tc>
      </w:tr>
      <w:tr>
        <w:trPr>
          <w:trHeight w:val="178"/>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Dilution per share to new investors in this offering</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r>
              <w:rPr>
                <w:rFonts w:ascii="Arial" w:cs="Arial" w:eastAsia="Arial" w:hAnsi="Arial"/>
                <w:sz w:val="15"/>
                <w:szCs w:val="15"/>
                <w:u w:val="single" w:color="auto"/>
                <w:color w:val="auto"/>
              </w:rPr>
              <w:t>77</w:t>
            </w:r>
          </w:p>
        </w:tc>
        <w:tc>
          <w:tcPr>
            <w:tcW w:w="140" w:type="dxa"/>
            <w:vAlign w:val="bottom"/>
            <w:shd w:val="clear" w:color="auto" w:fill="CCEEFF"/>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If the underwriters exercise their option to purchase additional shares of our common stock in full, the pro forma as adjusted net tangible book value after this offering would be $4.58 per share,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5" w:name="page76"/>
    <w:bookmarkEnd w:id="75"/>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increase in pro forma net tangible book value per share would be $0.35 and the dilution per share to new investors would be $9.42 per share, in each case based on the initial public offering price of $14.00 per share.</w:t>
      </w:r>
    </w:p>
    <w:p>
      <w:pPr>
        <w:spacing w:after="0" w:line="151"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The following table summarizes on the pro forma as adjusted basis described above, as of March 31, 2016, the differences between the number of shares purchased from us, the total consideration paid to us in cash and the average price per share that existing stockholders and new investors paid. The calculation below is based on the initial public offering price of $14.00 per share, before deducting the underwriting discounts and commissions and estimated offering expenses payable by us.</w:t>
      </w:r>
    </w:p>
    <w:p>
      <w:pPr>
        <w:spacing w:after="0" w:line="365"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left="411"/>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171"/>
              <w:spacing w:after="0" w:line="129" w:lineRule="exact"/>
              <w:rPr>
                <w:sz w:val="20"/>
                <w:szCs w:val="20"/>
                <w:color w:val="auto"/>
              </w:rPr>
            </w:pPr>
            <w:r>
              <w:rPr>
                <w:rFonts w:ascii="Arial" w:cs="Arial" w:eastAsia="Arial" w:hAnsi="Arial"/>
                <w:sz w:val="12"/>
                <w:szCs w:val="12"/>
                <w:b w:val="1"/>
                <w:bCs w:val="1"/>
                <w:color w:val="auto"/>
              </w:rPr>
              <w:t>Shares purchased</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left="91"/>
              <w:spacing w:after="0" w:line="129" w:lineRule="exact"/>
              <w:rPr>
                <w:sz w:val="20"/>
                <w:szCs w:val="20"/>
                <w:color w:val="auto"/>
              </w:rPr>
            </w:pPr>
            <w:r>
              <w:rPr>
                <w:rFonts w:ascii="Arial" w:cs="Arial" w:eastAsia="Arial" w:hAnsi="Arial"/>
                <w:sz w:val="12"/>
                <w:szCs w:val="12"/>
                <w:b w:val="1"/>
                <w:bCs w:val="1"/>
                <w:color w:val="auto"/>
              </w:rPr>
              <w:t>consideration</w:t>
            </w: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rPr>
              <w:t>Average price</w:t>
            </w: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tcPr>
          <w:p>
            <w:pPr>
              <w:jc w:val="right"/>
              <w:ind w:right="150"/>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99"/>
              </w:rPr>
              <w:t>Percent</w:t>
            </w:r>
          </w:p>
        </w:tc>
        <w:tc>
          <w:tcPr>
            <w:tcW w:w="860" w:type="dxa"/>
            <w:vAlign w:val="bottom"/>
          </w:tcPr>
          <w:p>
            <w:pPr>
              <w:jc w:val="right"/>
              <w:ind w:right="231"/>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9"/>
              </w:rPr>
              <w:t>Percent</w:t>
            </w:r>
          </w:p>
        </w:tc>
        <w:tc>
          <w:tcPr>
            <w:tcW w:w="12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per share</w:t>
            </w:r>
          </w:p>
        </w:tc>
      </w:tr>
      <w:tr>
        <w:trPr>
          <w:trHeight w:val="177"/>
        </w:trPr>
        <w:tc>
          <w:tcPr>
            <w:tcW w:w="20" w:type="dxa"/>
            <w:vAlign w:val="bottom"/>
          </w:tcPr>
          <w:p>
            <w:pPr>
              <w:spacing w:after="0"/>
              <w:rPr>
                <w:sz w:val="15"/>
                <w:szCs w:val="15"/>
                <w:color w:val="auto"/>
              </w:rPr>
            </w:pPr>
          </w:p>
        </w:tc>
        <w:tc>
          <w:tcPr>
            <w:tcW w:w="4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Existing stockholders(1)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12,876,940</w:t>
            </w:r>
          </w:p>
        </w:tc>
        <w:tc>
          <w:tcPr>
            <w:tcW w:w="980" w:type="dxa"/>
            <w:vAlign w:val="bottom"/>
            <w:tcBorders>
              <w:top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72%$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118,547,735</w:t>
            </w: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9.21</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Arial" w:cs="Arial" w:eastAsia="Arial" w:hAnsi="Arial"/>
                <w:sz w:val="15"/>
                <w:szCs w:val="15"/>
                <w:color w:val="auto"/>
              </w:rPr>
              <w:t>New investors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5,000,000</w:t>
            </w:r>
          </w:p>
        </w:tc>
        <w:tc>
          <w:tcPr>
            <w:tcW w:w="14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70,000,000</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14.00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17,876,940</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188,547,735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7" w:right="120" w:hanging="463"/>
        <w:spacing w:after="0" w:line="233" w:lineRule="auto"/>
        <w:tabs>
          <w:tab w:leader="none" w:pos="1607" w:val="left"/>
        </w:tabs>
        <w:numPr>
          <w:ilvl w:val="0"/>
          <w:numId w:val="51"/>
        </w:numPr>
        <w:rPr>
          <w:rFonts w:ascii="Arial" w:cs="Arial" w:eastAsia="Arial" w:hAnsi="Arial"/>
          <w:sz w:val="12"/>
          <w:szCs w:val="12"/>
          <w:color w:val="auto"/>
        </w:rPr>
      </w:pPr>
      <w:r>
        <w:rPr>
          <w:rFonts w:ascii="Arial" w:cs="Arial" w:eastAsia="Arial" w:hAnsi="Arial"/>
          <w:sz w:val="12"/>
          <w:szCs w:val="12"/>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The presentation in this table regarding ownership by existing stockholders does not give effect to any purchases in this offering by such stockholders.</w:t>
      </w:r>
    </w:p>
    <w:p>
      <w:pPr>
        <w:spacing w:after="0" w:line="167" w:lineRule="exact"/>
        <w:rPr>
          <w:sz w:val="20"/>
          <w:szCs w:val="20"/>
          <w:color w:val="auto"/>
        </w:rPr>
      </w:pPr>
    </w:p>
    <w:p>
      <w:pPr>
        <w:ind w:left="7" w:right="20"/>
        <w:spacing w:after="0" w:line="297" w:lineRule="auto"/>
        <w:rPr>
          <w:sz w:val="20"/>
          <w:szCs w:val="20"/>
          <w:color w:val="auto"/>
        </w:rPr>
      </w:pPr>
      <w:r>
        <w:rPr>
          <w:rFonts w:ascii="Arial" w:cs="Arial" w:eastAsia="Arial" w:hAnsi="Arial"/>
          <w:sz w:val="14"/>
          <w:szCs w:val="14"/>
          <w:color w:val="auto"/>
        </w:rPr>
        <w:t>The foregoing tables and calculations are based on 2,183,541 shares of our common stock outstanding as of March 31, 2016, which included 5,679 shares of unvested restricted stock, reflect the issuance of 567,306 shares of common stock issued in connection with the automatic cashless exercise of the series E common warrants on May 24, 2016, and give effect to the conversion of our outstanding preferred stock into 10,126,118 shares of common stock, based on the initial public offering price of $14.00 per share, and exclude:</w:t>
      </w:r>
    </w:p>
    <w:p>
      <w:pPr>
        <w:spacing w:after="0" w:line="155" w:lineRule="exact"/>
        <w:rPr>
          <w:sz w:val="20"/>
          <w:szCs w:val="20"/>
          <w:color w:val="auto"/>
        </w:rPr>
      </w:pPr>
    </w:p>
    <w:p>
      <w:pPr>
        <w:ind w:left="467" w:hanging="467"/>
        <w:spacing w:after="0"/>
        <w:tabs>
          <w:tab w:leader="none" w:pos="467" w:val="left"/>
        </w:tabs>
        <w:numPr>
          <w:ilvl w:val="0"/>
          <w:numId w:val="52"/>
        </w:numPr>
        <w:rPr>
          <w:rFonts w:ascii="Arial" w:cs="Arial" w:eastAsia="Arial" w:hAnsi="Arial"/>
          <w:sz w:val="14"/>
          <w:szCs w:val="14"/>
          <w:color w:val="auto"/>
        </w:rPr>
      </w:pPr>
      <w:r>
        <w:rPr>
          <w:rFonts w:ascii="Arial" w:cs="Arial" w:eastAsia="Arial" w:hAnsi="Arial"/>
          <w:sz w:val="14"/>
          <w:szCs w:val="14"/>
          <w:color w:val="auto"/>
        </w:rPr>
        <w:t>1,736,682 shares of common stock issuable upon exercise of stock options outstanding as of March 31, 2016, at a weighted average exercise price of $4.92 per share;</w:t>
      </w:r>
    </w:p>
    <w:p>
      <w:pPr>
        <w:spacing w:after="0" w:line="232" w:lineRule="exact"/>
        <w:rPr>
          <w:rFonts w:ascii="Arial" w:cs="Arial" w:eastAsia="Arial" w:hAnsi="Arial"/>
          <w:sz w:val="14"/>
          <w:szCs w:val="14"/>
          <w:color w:val="auto"/>
        </w:rPr>
      </w:pPr>
    </w:p>
    <w:p>
      <w:pPr>
        <w:ind w:left="467" w:right="160" w:hanging="467"/>
        <w:spacing w:after="0" w:line="282" w:lineRule="auto"/>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113,795 shares of common stock issuable upon the exercise of warrants outstanding as of March 31, 2016, including outstanding warrants to purchase shares of preferred stock that will become warrants to purchase common stock upon the closing of this offering, at a weighted average exercise price of $16.60 per share;</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7,091 shares of our common stock available for future issuance under our 2008 Equity Incentive Plan as of March 31, 2016;</w:t>
      </w:r>
    </w:p>
    <w:p>
      <w:pPr>
        <w:spacing w:after="0" w:line="209"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390,796 shares of common stock issuable upon the exercise of stock options granted in connection with this offering under our 2016 Plan, which became effective in connection with this offering, to some of our executive officers and employees, at an exercise price per share equal to the initial public offering price in this offering;</w:t>
      </w:r>
    </w:p>
    <w:p>
      <w:pPr>
        <w:spacing w:after="0" w:line="173" w:lineRule="exact"/>
        <w:rPr>
          <w:rFonts w:ascii="Arial" w:cs="Arial" w:eastAsia="Arial" w:hAnsi="Arial"/>
          <w:sz w:val="15"/>
          <w:szCs w:val="15"/>
          <w:color w:val="auto"/>
        </w:rPr>
      </w:pPr>
    </w:p>
    <w:p>
      <w:pPr>
        <w:ind w:left="467" w:right="80" w:hanging="467"/>
        <w:spacing w:after="0" w:line="270" w:lineRule="auto"/>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819,460 shares of our common stock available for future issuance under our 2016 Plan, which became effective in connection with this offering, as well as shares of our common stock that become available pursuant to provisions in our 2016 Plan on January 1 of each subsequent calendar year as described in "Executive and director compensation—Incentive plans—2016 Incentive Award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6" w:name="page77"/>
    <w:bookmarkEnd w:id="76"/>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jc w:val="both"/>
        <w:ind w:left="467" w:right="220" w:hanging="467"/>
        <w:spacing w:after="0" w:line="270" w:lineRule="auto"/>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173,076 shares of our common stock reserved for future issuance under our 2016 ESPP, which became effective in connection with this offering, as well as shares of our common stock that become available pursuant to provisions in our 2016 ESPP that automatically increase the share reserve under our 2016 ESPP on January 1 of each subsequent calendar year as described in "Executive and director compensation—Incentive plans—2016 Employee Stock Purchase Plan."</w:t>
      </w:r>
    </w:p>
    <w:p>
      <w:pPr>
        <w:spacing w:after="0" w:line="159" w:lineRule="exact"/>
        <w:rPr>
          <w:sz w:val="20"/>
          <w:szCs w:val="20"/>
          <w:color w:val="auto"/>
        </w:rPr>
      </w:pPr>
    </w:p>
    <w:p>
      <w:pPr>
        <w:ind w:left="7"/>
        <w:spacing w:after="0" w:line="319" w:lineRule="auto"/>
        <w:rPr>
          <w:sz w:val="20"/>
          <w:szCs w:val="20"/>
          <w:color w:val="auto"/>
        </w:rPr>
      </w:pPr>
      <w:r>
        <w:rPr>
          <w:rFonts w:ascii="Arial" w:cs="Arial" w:eastAsia="Arial" w:hAnsi="Arial"/>
          <w:sz w:val="14"/>
          <w:szCs w:val="14"/>
          <w:color w:val="auto"/>
        </w:rPr>
        <w:t>To the extent any of these outstanding options or warrants is exercised, there will be further dilution to new investors. If all of such outstanding options and warrants had been exercised as of March 31, 2016, the pro forma as adjusted net tangible book value per share after this offering would be $4.23, and total dilution per share to new investors would be $9.77.</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5"/>
          <w:szCs w:val="15"/>
          <w:color w:val="auto"/>
        </w:rPr>
        <w:t>If the underwriters exercise their option to purchase additional shares of our common stock in full:</w:t>
      </w:r>
    </w:p>
    <w:p>
      <w:pPr>
        <w:spacing w:after="0" w:line="221" w:lineRule="exact"/>
        <w:rPr>
          <w:sz w:val="20"/>
          <w:szCs w:val="20"/>
          <w:color w:val="auto"/>
        </w:rPr>
      </w:pPr>
    </w:p>
    <w:p>
      <w:pPr>
        <w:ind w:left="467" w:right="40" w:hanging="467"/>
        <w:spacing w:after="0" w:line="282" w:lineRule="auto"/>
        <w:tabs>
          <w:tab w:leader="none" w:pos="467"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percentage of shares of common stock held by existing stockholders will decrease to approximately 69% of the total number of shares of our common stock outstanding after this offering;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number of shares held by new investors will increase to 5,750,000, or approximately 31% of the total number of shares of our common stock outstanding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26630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Selected consolidated financial data</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You should read the following selected consolidated financial data together with our consolidated financial statements and the related notes appearing elsewhere in this prospectus and the "Management's discussion and analysis of financial condition and results of operations" section of this prospectus. We have derived the consolidated statement of operations and comprehensive loss data for the years ended December 31, 2014 and 2015 and the consolidated balance sheet data as of December 31, 2014 and 2015 from our audited consolidated financial statements appearing elsewhere in this prospectus. The consolidated statement of operations data for the three months ended March 31, 2015 and 2016 and the consolidated balance sheet data as of March 31, 2016 have been derived from our unaudited condensed consolidated financial statements appearing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results for the three months ended March 31, 2016 are not necessarily indicative of the results to be expected for the full 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26630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6"/>
          </w:tcPr>
          <w:p>
            <w:pPr>
              <w:jc w:val="right"/>
              <w:ind w:right="720"/>
              <w:spacing w:after="0"/>
              <w:rPr>
                <w:sz w:val="20"/>
                <w:szCs w:val="20"/>
                <w:color w:val="auto"/>
              </w:rPr>
            </w:pPr>
            <w:r>
              <w:rPr>
                <w:rFonts w:ascii="Arial" w:cs="Arial" w:eastAsia="Arial" w:hAnsi="Arial"/>
                <w:sz w:val="12"/>
                <w:szCs w:val="12"/>
                <w:b w:val="1"/>
                <w:bCs w:val="1"/>
                <w:color w:val="auto"/>
              </w:rPr>
              <w:t>Years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8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6"/>
          </w:tcPr>
          <w:p>
            <w:pPr>
              <w:jc w:val="right"/>
              <w:ind w:right="6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82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86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21"/>
        </w:trPr>
        <w:tc>
          <w:tcPr>
            <w:tcW w:w="86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20"/>
              <w:spacing w:after="0" w:line="121" w:lineRule="exact"/>
              <w:rPr>
                <w:sz w:val="20"/>
                <w:szCs w:val="20"/>
                <w:color w:val="auto"/>
              </w:rPr>
            </w:pPr>
            <w:r>
              <w:rPr>
                <w:rFonts w:ascii="Arial" w:cs="Arial" w:eastAsia="Arial" w:hAnsi="Arial"/>
                <w:sz w:val="12"/>
                <w:szCs w:val="12"/>
                <w:b w:val="1"/>
                <w:bCs w:val="1"/>
                <w:color w:val="auto"/>
                <w:w w:val="97"/>
              </w:rPr>
              <w:t>(unaudited)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66"/>
              <w:spacing w:after="0" w:line="12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r>
      <w:tr>
        <w:trPr>
          <w:trHeight w:val="149"/>
        </w:trPr>
        <w:tc>
          <w:tcPr>
            <w:tcW w:w="8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0" w:type="dxa"/>
            <w:vAlign w:val="bottom"/>
            <w:gridSpan w:val="14"/>
          </w:tcPr>
          <w:p>
            <w:pPr>
              <w:jc w:val="right"/>
              <w:ind w:right="760"/>
              <w:spacing w:after="0"/>
              <w:rPr>
                <w:sz w:val="20"/>
                <w:szCs w:val="20"/>
                <w:color w:val="auto"/>
              </w:rPr>
            </w:pPr>
            <w:r>
              <w:rPr>
                <w:rFonts w:ascii="Arial" w:cs="Arial" w:eastAsia="Arial" w:hAnsi="Arial"/>
                <w:sz w:val="12"/>
                <w:szCs w:val="12"/>
                <w:b w:val="1"/>
                <w:bCs w:val="1"/>
                <w:color w:val="auto"/>
              </w:rPr>
              <w:t>(in thousands, except share and per share data)</w:t>
            </w:r>
          </w:p>
        </w:tc>
      </w:tr>
      <w:tr>
        <w:trPr>
          <w:trHeight w:val="185"/>
        </w:trPr>
        <w:tc>
          <w:tcPr>
            <w:tcW w:w="4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40" w:type="dxa"/>
            <w:vAlign w:val="bottom"/>
            <w:shd w:val="clear" w:color="auto" w:fill="CCEEFF"/>
          </w:tcPr>
          <w:p>
            <w:pPr>
              <w:spacing w:after="0"/>
              <w:rPr>
                <w:sz w:val="16"/>
                <w:szCs w:val="16"/>
                <w:color w:val="auto"/>
              </w:rPr>
            </w:pPr>
          </w:p>
        </w:tc>
      </w:tr>
      <w:tr>
        <w:trPr>
          <w:trHeight w:val="185"/>
        </w:trPr>
        <w:tc>
          <w:tcPr>
            <w:tcW w:w="484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4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CEEFF"/>
          </w:tcPr>
          <w:p>
            <w:pPr>
              <w:spacing w:after="0"/>
              <w:rPr>
                <w:sz w:val="16"/>
                <w:szCs w:val="16"/>
                <w:color w:val="auto"/>
              </w:rPr>
            </w:pPr>
          </w:p>
        </w:tc>
      </w:tr>
      <w:tr>
        <w:trPr>
          <w:trHeight w:val="185"/>
        </w:trPr>
        <w:tc>
          <w:tcPr>
            <w:tcW w:w="484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w:t>
            </w:r>
          </w:p>
        </w:tc>
        <w:tc>
          <w:tcPr>
            <w:tcW w:w="140" w:type="dxa"/>
            <w:vAlign w:val="bottom"/>
          </w:tcPr>
          <w:p>
            <w:pPr>
              <w:spacing w:after="0"/>
              <w:rPr>
                <w:sz w:val="16"/>
                <w:szCs w:val="16"/>
                <w:color w:val="auto"/>
              </w:rPr>
            </w:pPr>
          </w:p>
        </w:tc>
      </w:tr>
      <w:tr>
        <w:trPr>
          <w:trHeight w:val="177"/>
        </w:trPr>
        <w:tc>
          <w:tcPr>
            <w:tcW w:w="4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9,029</w:t>
            </w:r>
          </w:p>
        </w:tc>
        <w:tc>
          <w:tcPr>
            <w:tcW w:w="140" w:type="dxa"/>
            <w:vAlign w:val="bottom"/>
            <w:shd w:val="clear" w:color="auto" w:fill="CCEEFF"/>
          </w:tcPr>
          <w:p>
            <w:pPr>
              <w:spacing w:after="0"/>
              <w:rPr>
                <w:sz w:val="15"/>
                <w:szCs w:val="15"/>
                <w:color w:val="auto"/>
              </w:rPr>
            </w:pPr>
          </w:p>
        </w:tc>
      </w:tr>
      <w:tr>
        <w:trPr>
          <w:trHeight w:val="185"/>
        </w:trPr>
        <w:tc>
          <w:tcPr>
            <w:tcW w:w="484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(15,399)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(25,304)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(5,810)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(6,941)</w:t>
            </w:r>
          </w:p>
        </w:tc>
      </w:tr>
      <w:tr>
        <w:trPr>
          <w:trHeight w:val="185"/>
        </w:trPr>
        <w:tc>
          <w:tcPr>
            <w:tcW w:w="4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840" w:type="dxa"/>
            <w:vAlign w:val="bottom"/>
            <w:gridSpan w:val="2"/>
          </w:tcPr>
          <w:p>
            <w:pPr>
              <w:spacing w:after="0"/>
              <w:rPr>
                <w:sz w:val="20"/>
                <w:szCs w:val="20"/>
                <w:color w:val="auto"/>
              </w:rPr>
            </w:pPr>
            <w:r>
              <w:rPr>
                <w:rFonts w:ascii="Arial" w:cs="Arial" w:eastAsia="Arial" w:hAnsi="Arial"/>
                <w:sz w:val="15"/>
                <w:szCs w:val="15"/>
                <w:color w:val="auto"/>
              </w:rPr>
              <w:t>Investment income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6"/>
                <w:szCs w:val="16"/>
                <w:color w:val="auto"/>
              </w:rPr>
            </w:pPr>
          </w:p>
        </w:tc>
      </w:tr>
      <w:tr>
        <w:trPr>
          <w:trHeight w:val="185"/>
        </w:trPr>
        <w:tc>
          <w:tcPr>
            <w:tcW w:w="4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(loss) gain</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(220)</w:t>
            </w:r>
          </w:p>
        </w:tc>
      </w:tr>
      <w:tr>
        <w:trPr>
          <w:trHeight w:val="185"/>
        </w:trPr>
        <w:tc>
          <w:tcPr>
            <w:tcW w:w="48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(948)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(179)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(310)</w:t>
            </w:r>
          </w:p>
        </w:tc>
      </w:tr>
      <w:tr>
        <w:trPr>
          <w:trHeight w:val="185"/>
        </w:trPr>
        <w:tc>
          <w:tcPr>
            <w:tcW w:w="4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expense</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w:t>
            </w:r>
          </w:p>
        </w:tc>
      </w:tr>
      <w:tr>
        <w:trPr>
          <w:trHeight w:val="177"/>
        </w:trPr>
        <w:tc>
          <w:tcPr>
            <w:tcW w:w="4840" w:type="dxa"/>
            <w:vAlign w:val="bottom"/>
            <w:gridSpan w:val="2"/>
          </w:tcPr>
          <w:p>
            <w:pPr>
              <w:spacing w:after="0"/>
              <w:rPr>
                <w:sz w:val="20"/>
                <w:szCs w:val="20"/>
                <w:color w:val="auto"/>
              </w:rPr>
            </w:pPr>
            <w:r>
              <w:rPr>
                <w:rFonts w:ascii="Arial" w:cs="Arial" w:eastAsia="Arial" w:hAnsi="Arial"/>
                <w:sz w:val="15"/>
                <w:szCs w:val="15"/>
                <w:color w:val="auto"/>
              </w:rPr>
              <w:t>Total other income (expense), net</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(535)</w:t>
            </w:r>
          </w:p>
        </w:tc>
        <w:tc>
          <w:tcPr>
            <w:tcW w:w="140" w:type="dxa"/>
            <w:vAlign w:val="bottom"/>
          </w:tcPr>
          <w:p>
            <w:pPr>
              <w:spacing w:after="0"/>
              <w:rPr>
                <w:sz w:val="15"/>
                <w:szCs w:val="15"/>
                <w:color w:val="auto"/>
              </w:rPr>
            </w:pPr>
          </w:p>
        </w:tc>
      </w:tr>
      <w:tr>
        <w:trPr>
          <w:trHeight w:val="177"/>
        </w:trPr>
        <w:tc>
          <w:tcPr>
            <w:tcW w:w="4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(25,174)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(7,476)</w:t>
            </w:r>
          </w:p>
        </w:tc>
      </w:tr>
      <w:tr>
        <w:trPr>
          <w:trHeight w:val="185"/>
        </w:trPr>
        <w:tc>
          <w:tcPr>
            <w:tcW w:w="4840" w:type="dxa"/>
            <w:vAlign w:val="bottom"/>
            <w:gridSpan w:val="2"/>
          </w:tcPr>
          <w:p>
            <w:pPr>
              <w:spacing w:after="0"/>
              <w:rPr>
                <w:sz w:val="20"/>
                <w:szCs w:val="20"/>
                <w:color w:val="auto"/>
              </w:rPr>
            </w:pPr>
            <w:r>
              <w:rPr>
                <w:rFonts w:ascii="Arial" w:cs="Arial" w:eastAsia="Arial" w:hAnsi="Arial"/>
                <w:sz w:val="15"/>
                <w:szCs w:val="15"/>
                <w:color w:val="auto"/>
              </w:rPr>
              <w:t>Accretion of redeemable convertible preferred stock</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(7,335)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(2,356)</w:t>
            </w:r>
          </w:p>
        </w:tc>
      </w:tr>
      <w:tr>
        <w:trPr>
          <w:trHeight w:val="178"/>
        </w:trPr>
        <w:tc>
          <w:tcPr>
            <w:tcW w:w="48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4"/>
              </w:rPr>
              <w:t>Net effect of extinguishment of Series SRN redeemable convertible preferred</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4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stock</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484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(9,832)</w:t>
            </w:r>
          </w:p>
        </w:tc>
        <w:tc>
          <w:tcPr>
            <w:tcW w:w="14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84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84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34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(7.84)</w:t>
            </w: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(15.13)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(3.43)</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(4.52)</w:t>
            </w:r>
          </w:p>
        </w:tc>
      </w:tr>
      <w:tr>
        <w:trPr>
          <w:trHeight w:val="20"/>
        </w:trPr>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84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84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2,090,677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2,150,422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84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w w:val="93"/>
              </w:rPr>
              <w:t>Pro forma net loss per share attributable to common stockholders (unaudited)</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84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(0.58)</w:t>
            </w:r>
          </w:p>
        </w:tc>
      </w:tr>
      <w:tr>
        <w:trPr>
          <w:trHeight w:val="20"/>
        </w:trPr>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8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6"/>
              </w:rPr>
              <w:t>Pro forma weighted average common shares of common stock outstanding</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84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10,057,351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12,868,461</w:t>
            </w:r>
          </w:p>
        </w:tc>
        <w:tc>
          <w:tcPr>
            <w:tcW w:w="1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860" w:type="dxa"/>
            <w:vAlign w:val="bottom"/>
            <w:tcBorders>
              <w:bottom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hanging="463"/>
        <w:spacing w:after="0" w:line="238" w:lineRule="auto"/>
        <w:tabs>
          <w:tab w:leader="none" w:pos="16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96" w:lineRule="exact"/>
        <w:rPr>
          <w:rFonts w:ascii="Arial" w:cs="Arial" w:eastAsia="Arial" w:hAnsi="Arial"/>
          <w:sz w:val="12"/>
          <w:szCs w:val="12"/>
          <w:color w:val="auto"/>
        </w:rPr>
      </w:pPr>
    </w:p>
    <w:p>
      <w:pPr>
        <w:ind w:left="1600" w:hanging="463"/>
        <w:spacing w:after="0" w:line="282" w:lineRule="auto"/>
        <w:tabs>
          <w:tab w:leader="none" w:pos="16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 upon closing of this offering, which, based on the initial public offering price of $14.00 per share, will result in the issuance of 10,126,118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15,094 shares of our common stock, at a weighted average exercise price of $11.32 per share of common stock, based on the initial public offering price of $14.00 per share, upon the closing of this offering and (iii) the automatic cashless exercise of the series E common warrants for 567,306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balance sheet data:</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As of 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54"/>
        </w:trPr>
        <w:tc>
          <w:tcPr>
            <w:tcW w:w="47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2014</w:t>
            </w: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7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short-term investments</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16,592</w:t>
            </w: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36,462</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Arial" w:cs="Arial" w:eastAsia="Arial" w:hAnsi="Arial"/>
                <w:sz w:val="15"/>
                <w:szCs w:val="15"/>
                <w:color w:val="auto"/>
              </w:rPr>
              <w:t>Total assets</w:t>
            </w:r>
          </w:p>
        </w:tc>
        <w:tc>
          <w:tcPr>
            <w:tcW w:w="18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9"/>
              <w:spacing w:after="0"/>
              <w:rPr>
                <w:sz w:val="20"/>
                <w:szCs w:val="20"/>
                <w:color w:val="auto"/>
              </w:rPr>
            </w:pPr>
            <w:r>
              <w:rPr>
                <w:rFonts w:ascii="Arial" w:cs="Arial" w:eastAsia="Arial" w:hAnsi="Arial"/>
                <w:sz w:val="15"/>
                <w:szCs w:val="15"/>
                <w:color w:val="auto"/>
              </w:rPr>
              <w:t>22,228</w:t>
            </w:r>
          </w:p>
        </w:tc>
        <w:tc>
          <w:tcPr>
            <w:tcW w:w="220" w:type="dxa"/>
            <w:vAlign w:val="bottom"/>
          </w:tcPr>
          <w:p>
            <w:pPr>
              <w:ind w:left="6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42,824</w:t>
            </w: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34,723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Loan payables, net of current portion</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4,824</w:t>
            </w: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11,855</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Arial" w:cs="Arial" w:eastAsia="Arial" w:hAnsi="Arial"/>
                <w:sz w:val="15"/>
                <w:szCs w:val="15"/>
                <w:color w:val="auto"/>
              </w:rPr>
              <w:t>Redeemable convertible preferred stock</w:t>
            </w:r>
          </w:p>
        </w:tc>
        <w:tc>
          <w:tcPr>
            <w:tcW w:w="18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9"/>
              <w:spacing w:after="0"/>
              <w:rPr>
                <w:sz w:val="20"/>
                <w:szCs w:val="20"/>
                <w:color w:val="auto"/>
              </w:rPr>
            </w:pPr>
            <w:r>
              <w:rPr>
                <w:rFonts w:ascii="Arial" w:cs="Arial" w:eastAsia="Arial" w:hAnsi="Arial"/>
                <w:sz w:val="15"/>
                <w:szCs w:val="15"/>
                <w:color w:val="auto"/>
              </w:rPr>
              <w:t>94,033</w:t>
            </w:r>
          </w:p>
        </w:tc>
        <w:tc>
          <w:tcPr>
            <w:tcW w:w="220" w:type="dxa"/>
            <w:vAlign w:val="bottom"/>
          </w:tcPr>
          <w:p>
            <w:pPr>
              <w:ind w:left="6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137,482</w:t>
            </w: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139,837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(87,755)</w:t>
            </w: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(116,493)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Management's discussion and analysis of financial condition and results of operations</w:t>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"Selected consolidated financial data" and our consolidated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or ADAs,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ummet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Based on preliminary data from our ongoing Phase 1b clinical trial, we believe that SEL-212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w:t>
      </w:r>
    </w:p>
    <w:p>
      <w:pPr>
        <w:spacing w:after="0" w:line="145"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We were incorporated in 2007 under the laws of the State of Delaware and our corporate headquarters is in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Since our inception and through March 31, 2016, we have raised an aggregate of $151.6 million to fund our operations, of which $118.5 million was from the sale of preferred stock,</w:t>
      </w:r>
    </w:p>
    <w:p>
      <w:pPr>
        <w:spacing w:after="0" w:line="29"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$7.8 million was from government grants, $14.3 million was from the issuance of debt securities and $11.0 million was from grants and collaboration arrangements. As of March 31, 2016, we had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81" w:name="page82"/>
    <w:bookmarkEnd w:id="8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totaling $17.1 million, of which $1.5 million of such cash and cash equivalents was held by our wholly owned Russian subsidiary and designated solely for use in its operations.</w:t>
      </w:r>
    </w:p>
    <w:p>
      <w:pPr>
        <w:spacing w:after="0" w:line="210"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In August and September 2015, we issued and sold 8,888,888 shares of series E preferred stock for $40.0 million in gross proceeds which included 1,619,550 shares of series E preferred stock that were issued as a result of the conversion of convertible notes. As part of the series E preferred stock issuance, we also issued 569,791 common stock warrants to the stockholders who participated in that round of financing.</w:t>
      </w:r>
    </w:p>
    <w:p>
      <w:pPr>
        <w:spacing w:after="0" w:line="15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All shares of our redeemable convertible preferred stock will automatically convert into shares of common stock in connection with this offering, and as a result, our common stock will be the only class of stock outstanding following this offering.</w:t>
      </w:r>
    </w:p>
    <w:p>
      <w:pPr>
        <w:spacing w:after="0" w:line="151"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Since inception, we have incurred significant operating losses. We incurred net losses of $12.9 million and $25.2 million for the years ended December 31, 2014 and 2015, respectively. Our net loss was $5.7 million and $7.5 million for the three months ended March 31, 2015 and 2016, respectively. As of March 31, 2016, we had an accumulated deficit of $121.1 million. We expect to continue incurring significant expenses and operating losses for at least the next several years as we:</w:t>
      </w:r>
    </w:p>
    <w:p>
      <w:pPr>
        <w:spacing w:after="0" w:line="171" w:lineRule="exact"/>
        <w:rPr>
          <w:sz w:val="20"/>
          <w:szCs w:val="20"/>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conduct and expand clinical trials for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seek regulatory approval for any product candidates that successfully complete clinical trials;</w:t>
      </w:r>
    </w:p>
    <w:p>
      <w:pPr>
        <w:spacing w:after="0" w:line="209" w:lineRule="exact"/>
        <w:rPr>
          <w:rFonts w:ascii="Arial" w:cs="Arial" w:eastAsia="Arial" w:hAnsi="Arial"/>
          <w:sz w:val="15"/>
          <w:szCs w:val="15"/>
          <w:color w:val="auto"/>
        </w:rPr>
      </w:pPr>
    </w:p>
    <w:p>
      <w:pPr>
        <w:ind w:left="467" w:right="420" w:hanging="467"/>
        <w:spacing w:after="0" w:line="282" w:lineRule="auto"/>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scale-up external manufacturing capabilities to commercialize any products for which we may obtain regulatory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hire additional staff, including clinical, scientific, operational and financial personnel, to execute our business plan; and</w:t>
      </w:r>
    </w:p>
    <w:p>
      <w:pPr>
        <w:spacing w:after="0" w:line="209" w:lineRule="exact"/>
        <w:rPr>
          <w:rFonts w:ascii="Arial" w:cs="Arial" w:eastAsia="Arial" w:hAnsi="Arial"/>
          <w:sz w:val="15"/>
          <w:szCs w:val="15"/>
          <w:color w:val="auto"/>
        </w:rPr>
      </w:pPr>
    </w:p>
    <w:p>
      <w:pPr>
        <w:ind w:left="467" w:right="60" w:hanging="467"/>
        <w:spacing w:after="0" w:line="282" w:lineRule="auto"/>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151" w:lineRule="exact"/>
        <w:rPr>
          <w:sz w:val="20"/>
          <w:szCs w:val="20"/>
          <w:color w:val="auto"/>
        </w:rPr>
      </w:pPr>
    </w:p>
    <w:p>
      <w:pPr>
        <w:ind w:left="7" w:right="140"/>
        <w:spacing w:after="0" w:line="297" w:lineRule="auto"/>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44" w:lineRule="exact"/>
        <w:rPr>
          <w:sz w:val="20"/>
          <w:szCs w:val="20"/>
          <w:color w:val="auto"/>
        </w:rPr>
      </w:pPr>
    </w:p>
    <w:p>
      <w:pPr>
        <w:ind w:left="7" w:right="60"/>
        <w:spacing w:after="0" w:line="362" w:lineRule="auto"/>
        <w:rPr>
          <w:sz w:val="20"/>
          <w:szCs w:val="20"/>
          <w:color w:val="auto"/>
        </w:rPr>
      </w:pPr>
      <w:r>
        <w:rPr>
          <w:rFonts w:ascii="Arial" w:cs="Arial" w:eastAsia="Arial" w:hAnsi="Arial"/>
          <w:sz w:val="13"/>
          <w:szCs w:val="13"/>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FINANCIAL OVERVIEW</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 and collaboration revenue</w:t>
      </w:r>
    </w:p>
    <w:p>
      <w:pPr>
        <w:spacing w:after="0" w:line="195" w:lineRule="exact"/>
        <w:rPr>
          <w:sz w:val="20"/>
          <w:szCs w:val="20"/>
          <w:color w:val="auto"/>
        </w:rPr>
      </w:pPr>
    </w:p>
    <w:p>
      <w:pPr>
        <w:ind w:left="7" w:right="20"/>
        <w:spacing w:after="0" w:line="282" w:lineRule="auto"/>
        <w:rPr>
          <w:sz w:val="20"/>
          <w:szCs w:val="20"/>
          <w:color w:val="auto"/>
        </w:rPr>
      </w:pPr>
      <w:r>
        <w:rPr>
          <w:rFonts w:ascii="Arial" w:cs="Arial" w:eastAsia="Arial" w:hAnsi="Arial"/>
          <w:sz w:val="15"/>
          <w:szCs w:val="15"/>
          <w:color w:val="auto"/>
        </w:rPr>
        <w:t>To date, we have not generated any product sales. Our revenue consists of grant and collaboration revenue, which includes amounts recognized related to upfront and milestone payments for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consolidated financial statements included elsewhere in 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Research and development expenses consist of costs incurred in performing research and development activities, including compensation and benefits for full-time research and development employees, an allocation of facilities expenses, overhead expenses, manufacturing process-development and scale-up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62"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Our research and development expenses consist of external research and development costs, which we track on a program-by-program basis and primarily include contract manufacturing organization and CRO-related costs, and internal research and development costs, which are primarily compensation expenses for our research and development employees, lab supplies, analytical testing, allocated overhead costs and other related expenses. As we expand the clinical development of SEL-212, we expect our research and development expenses to increase. The increase in external research and development spending is expected to outpace internal research and development spending. We have incurred a total of $82.1 million in research and development expenses from inception through March 31, 2016, with a majority of the expenses being spent on the development of SEL-212 and a prior nicotine vaccine, and the remainder being spent on our various discovery and preclinical stage product candidate programs and the general expansion of our technology.</w:t>
      </w:r>
    </w:p>
    <w:p>
      <w:pPr>
        <w:spacing w:after="0" w:line="139"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research and development expenses during the periods indicated (in thousands, except percentages):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right"/>
              <w:ind w:right="287"/>
              <w:spacing w:after="0"/>
              <w:rPr>
                <w:sz w:val="20"/>
                <w:szCs w:val="20"/>
                <w:color w:val="auto"/>
              </w:rPr>
            </w:pPr>
            <w:r>
              <w:rPr>
                <w:rFonts w:ascii="Arial" w:cs="Arial" w:eastAsia="Arial" w:hAnsi="Arial"/>
                <w:sz w:val="12"/>
                <w:szCs w:val="12"/>
                <w:b w:val="1"/>
                <w:bCs w:val="1"/>
                <w:color w:val="auto"/>
              </w:rPr>
              <w:t>Years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47"/>
              <w:spacing w:after="0"/>
              <w:rPr>
                <w:sz w:val="20"/>
                <w:szCs w:val="20"/>
                <w:color w:val="auto"/>
              </w:rPr>
            </w:pPr>
            <w:r>
              <w:rPr>
                <w:rFonts w:ascii="Arial" w:cs="Arial" w:eastAsia="Arial" w:hAnsi="Arial"/>
                <w:sz w:val="12"/>
                <w:szCs w:val="12"/>
                <w:b w:val="1"/>
                <w:bCs w:val="1"/>
                <w:color w:val="auto"/>
              </w:rPr>
              <w:t>Three months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247"/>
              <w:spacing w:after="0" w:line="129" w:lineRule="exact"/>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left="129"/>
              <w:spacing w:after="0" w:line="129" w:lineRule="exact"/>
              <w:rPr>
                <w:sz w:val="20"/>
                <w:szCs w:val="20"/>
                <w:color w:val="auto"/>
              </w:rPr>
            </w:pPr>
            <w:r>
              <w:rPr>
                <w:rFonts w:ascii="Arial" w:cs="Arial" w:eastAsia="Arial" w:hAnsi="Arial"/>
                <w:sz w:val="12"/>
                <w:szCs w:val="12"/>
                <w:b w:val="1"/>
                <w:bCs w:val="1"/>
                <w:color w:val="auto"/>
              </w:rPr>
              <w:t>Increase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center"/>
              <w:ind w:right="47"/>
              <w:spacing w:after="0" w:line="129" w:lineRule="exact"/>
              <w:rPr>
                <w:sz w:val="20"/>
                <w:szCs w:val="20"/>
                <w:color w:val="auto"/>
              </w:rPr>
            </w:pPr>
            <w:r>
              <w:rPr>
                <w:rFonts w:ascii="Arial" w:cs="Arial" w:eastAsia="Arial" w:hAnsi="Arial"/>
                <w:sz w:val="12"/>
                <w:szCs w:val="12"/>
                <w:b w:val="1"/>
                <w:bCs w:val="1"/>
                <w:color w:val="auto"/>
              </w:rPr>
              <w:t>ended March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ind w:left="9"/>
              <w:spacing w:after="0" w:line="129" w:lineRule="exact"/>
              <w:rPr>
                <w:sz w:val="20"/>
                <w:szCs w:val="20"/>
                <w:color w:val="auto"/>
              </w:rPr>
            </w:pPr>
            <w:r>
              <w:rPr>
                <w:rFonts w:ascii="Arial" w:cs="Arial" w:eastAsia="Arial" w:hAnsi="Arial"/>
                <w:sz w:val="12"/>
                <w:szCs w:val="12"/>
                <w:b w:val="1"/>
                <w:bCs w:val="1"/>
                <w:color w:val="auto"/>
              </w:rPr>
              <w:t>Increase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0"/>
        </w:trPr>
        <w:tc>
          <w:tcPr>
            <w:tcW w:w="3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left="89"/>
              <w:spacing w:after="0"/>
              <w:rPr>
                <w:sz w:val="20"/>
                <w:szCs w:val="20"/>
                <w:color w:val="auto"/>
              </w:rPr>
            </w:pPr>
            <w:r>
              <w:rPr>
                <w:rFonts w:ascii="Arial" w:cs="Arial" w:eastAsia="Arial" w:hAnsi="Arial"/>
                <w:sz w:val="12"/>
                <w:szCs w:val="12"/>
                <w:b w:val="1"/>
                <w:bCs w:val="1"/>
                <w:color w:val="auto"/>
              </w:rPr>
              <w:t>(decrease)</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(decrease)</w:t>
            </w: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4"/>
        </w:trPr>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47"/>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5"/>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External research and development expenses: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5"/>
        </w:trPr>
        <w:tc>
          <w:tcPr>
            <w:tcW w:w="3360" w:type="dxa"/>
            <w:vAlign w:val="bottom"/>
          </w:tcPr>
          <w:p>
            <w:pPr>
              <w:ind w:left="160"/>
              <w:spacing w:after="0"/>
              <w:rPr>
                <w:sz w:val="20"/>
                <w:szCs w:val="20"/>
                <w:color w:val="auto"/>
              </w:rPr>
            </w:pPr>
            <w:r>
              <w:rPr>
                <w:rFonts w:ascii="Arial" w:cs="Arial" w:eastAsia="Arial" w:hAnsi="Arial"/>
                <w:sz w:val="15"/>
                <w:szCs w:val="15"/>
                <w:color w:val="auto"/>
              </w:rPr>
              <w:t>SEL-212</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474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9,335</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8,861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2,305</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2,182</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(123)</w:t>
            </w:r>
          </w:p>
        </w:tc>
        <w:tc>
          <w:tcPr>
            <w:tcW w:w="1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33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Discovery and preclinical stage product programs,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92"/>
        </w:trPr>
        <w:tc>
          <w:tcPr>
            <w:tcW w:w="3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collectively</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0"/>
              </w:rPr>
              <w:t>2,153%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8"/>
              </w:rPr>
              <w:t>317%</w:t>
            </w:r>
          </w:p>
        </w:tc>
      </w:tr>
      <w:tr>
        <w:trPr>
          <w:trHeight w:val="185"/>
        </w:trPr>
        <w:tc>
          <w:tcPr>
            <w:tcW w:w="3360" w:type="dxa"/>
            <w:vAlign w:val="bottom"/>
          </w:tcPr>
          <w:p>
            <w:pPr>
              <w:spacing w:after="0"/>
              <w:rPr>
                <w:sz w:val="20"/>
                <w:szCs w:val="20"/>
                <w:color w:val="auto"/>
              </w:rPr>
            </w:pPr>
            <w:r>
              <w:rPr>
                <w:rFonts w:ascii="Arial" w:cs="Arial" w:eastAsia="Arial" w:hAnsi="Arial"/>
                <w:sz w:val="15"/>
                <w:szCs w:val="15"/>
                <w:color w:val="auto"/>
              </w:rPr>
              <w:t>Internal research and development expenses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9,974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12,789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2,815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3,385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977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41%</w:t>
            </w: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7"/>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Total research and development expenses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w:t>
            </w: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ind w:right="60"/>
        <w:spacing w:after="0" w:line="319" w:lineRule="auto"/>
        <w:rPr>
          <w:sz w:val="20"/>
          <w:szCs w:val="20"/>
          <w:color w:val="auto"/>
        </w:rPr>
      </w:pPr>
      <w:r>
        <w:rPr>
          <w:rFonts w:ascii="Arial" w:cs="Arial" w:eastAsia="Arial" w:hAnsi="Arial"/>
          <w:sz w:val="13"/>
          <w:szCs w:val="13"/>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consists primarily of interest income earned on our cash and cash equivalents and short term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consists of interest expense on amounts borrowed under our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The functional currency of our Russian subsidiary is the ruble. In addition to holding cash denominated in rubles, our Russian bank accounts also hold cash balances denominated in U.S.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dollars to facilitate payments to be settled in U.S. dollars or other currencies. At December 31, 2014 and 2015, and March 31, 2016, we maintained cash of $7.3 million, $3.8 million and</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$4.2 million, respectively, in Russian banks, of which $3.0 million was denominated in U.S. dollars for the period ended March 31, 2016. The amounts denominated in U.S. dollars and used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in transacting the day to day operations are subject to transaction gains and losses, which are reported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months ended March 31, 2015 compared to the three months ended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three months ended March 31, 2015 and 2016 (in thousands, except percentages):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28"/>
              <w:spacing w:after="0"/>
              <w:rPr>
                <w:sz w:val="20"/>
                <w:szCs w:val="20"/>
                <w:color w:val="auto"/>
              </w:rPr>
            </w:pPr>
            <w:r>
              <w:rPr>
                <w:rFonts w:ascii="Arial" w:cs="Arial" w:eastAsia="Arial" w:hAnsi="Arial"/>
                <w:sz w:val="12"/>
                <w:szCs w:val="12"/>
                <w:b w:val="1"/>
                <w:bCs w:val="1"/>
                <w:color w:val="auto"/>
              </w:rPr>
              <w:t>Three months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ind w:right="28"/>
              <w:spacing w:after="0" w:line="129" w:lineRule="exact"/>
              <w:rPr>
                <w:sz w:val="20"/>
                <w:szCs w:val="20"/>
                <w:color w:val="auto"/>
              </w:rPr>
            </w:pPr>
            <w:r>
              <w:rPr>
                <w:rFonts w:ascii="Arial" w:cs="Arial" w:eastAsia="Arial" w:hAnsi="Arial"/>
                <w:sz w:val="12"/>
                <w:szCs w:val="12"/>
                <w:b w:val="1"/>
                <w:bCs w:val="1"/>
                <w:color w:val="auto"/>
              </w:rPr>
              <w:t>ended March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left="10"/>
              <w:spacing w:after="0" w:line="129" w:lineRule="exact"/>
              <w:rPr>
                <w:sz w:val="20"/>
                <w:szCs w:val="20"/>
                <w:color w:val="auto"/>
              </w:rPr>
            </w:pPr>
            <w:r>
              <w:rPr>
                <w:rFonts w:ascii="Arial" w:cs="Arial" w:eastAsia="Arial" w:hAnsi="Arial"/>
                <w:sz w:val="12"/>
                <w:szCs w:val="12"/>
                <w:b w:val="1"/>
                <w:bCs w:val="1"/>
                <w:color w:val="auto"/>
              </w:rPr>
              <w:t>Increase</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(decrease)</w:t>
            </w:r>
          </w:p>
        </w:tc>
        <w:tc>
          <w:tcPr>
            <w:tcW w:w="24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r>
      <w:tr>
        <w:trPr>
          <w:trHeight w:val="124"/>
        </w:trPr>
        <w:tc>
          <w:tcPr>
            <w:tcW w:w="35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center"/>
              <w:ind w:right="28"/>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85"/>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Grant revenue</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88"/>
              </w:rPr>
              <w:t>263%</w:t>
            </w:r>
          </w:p>
        </w:tc>
      </w:tr>
      <w:tr>
        <w:trPr>
          <w:trHeight w:val="185"/>
        </w:trPr>
        <w:tc>
          <w:tcPr>
            <w:tcW w:w="3580" w:type="dxa"/>
            <w:vAlign w:val="bottom"/>
          </w:tcPr>
          <w:p>
            <w:pPr>
              <w:spacing w:after="0"/>
              <w:rPr>
                <w:sz w:val="20"/>
                <w:szCs w:val="20"/>
                <w:color w:val="auto"/>
              </w:rPr>
            </w:pPr>
            <w:r>
              <w:rPr>
                <w:rFonts w:ascii="Arial" w:cs="Arial" w:eastAsia="Arial" w:hAnsi="Arial"/>
                <w:sz w:val="15"/>
                <w:szCs w:val="15"/>
                <w:color w:val="auto"/>
              </w:rPr>
              <w:t>Collaboration revenue</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(341)</w:t>
            </w:r>
          </w:p>
        </w:tc>
        <w:tc>
          <w:tcPr>
            <w:tcW w:w="180" w:type="dxa"/>
            <w:vAlign w:val="bottom"/>
          </w:tcPr>
          <w:p>
            <w:pPr>
              <w:spacing w:after="0"/>
              <w:rPr>
                <w:sz w:val="16"/>
                <w:szCs w:val="16"/>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w w:val="99"/>
              </w:rPr>
              <w:t>(68)%</w:t>
            </w:r>
          </w:p>
        </w:tc>
      </w:tr>
      <w:tr>
        <w:trPr>
          <w:trHeight w:val="20"/>
        </w:trPr>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7"/>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Total revenue</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88"/>
              </w:rPr>
              <w:t>102%</w:t>
            </w:r>
          </w:p>
        </w:tc>
      </w:tr>
      <w:tr>
        <w:trPr>
          <w:trHeight w:val="20"/>
        </w:trPr>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During the three months ended March 31, 2016, total revenue increased by $1.1 million, or 102%, as compared to the same period in the prior year, of which $1.3 million was related to a National Institute on Drug Abuse, or NIDA, grant, or the NIDA grant, awarded to us in 2014 and recognized as revenue throughout the three months ended March 31, 2016, offset by a reduction of $0.3 million related to the amortization of upfront payments from the license and research collaboration agreement with Sanofi executed in November 2012 and supplemented in May 2015. We recognized revenue increases of $0.1 million from various other grants and collaborations during the three months ended March 31, 2016 over the three months ended March 31, 2015.</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three months ended March 31, 2015 and 2016 (in thousands, except percentages):</w:t>
      </w:r>
    </w:p>
    <w:p>
      <w:pPr>
        <w:spacing w:after="0" w:line="219" w:lineRule="exact"/>
        <w:rPr>
          <w:sz w:val="20"/>
          <w:szCs w:val="20"/>
          <w:color w:val="auto"/>
        </w:rPr>
      </w:pPr>
    </w:p>
    <w:p>
      <w:pPr>
        <w:ind w:left="7880"/>
        <w:spacing w:after="0"/>
        <w:rPr>
          <w:sz w:val="20"/>
          <w:szCs w:val="20"/>
          <w:color w:val="auto"/>
        </w:rPr>
      </w:pPr>
      <w:r>
        <w:rPr>
          <w:rFonts w:ascii="Arial" w:cs="Arial" w:eastAsia="Arial" w:hAnsi="Arial"/>
          <w:sz w:val="12"/>
          <w:szCs w:val="12"/>
          <w:b w:val="1"/>
          <w:bCs w:val="1"/>
          <w:color w:val="auto"/>
        </w:rPr>
        <w:t>Three months</w:t>
      </w:r>
    </w:p>
    <w:p>
      <w:pPr>
        <w:ind w:left="7800"/>
        <w:spacing w:after="0" w:line="217" w:lineRule="auto"/>
        <w:tabs>
          <w:tab w:leader="none" w:pos="9340" w:val="left"/>
        </w:tabs>
        <w:rPr>
          <w:sz w:val="20"/>
          <w:szCs w:val="20"/>
          <w:color w:val="auto"/>
        </w:rPr>
      </w:pPr>
      <w:r>
        <w:rPr>
          <w:rFonts w:ascii="Arial" w:cs="Arial" w:eastAsia="Arial" w:hAnsi="Arial"/>
          <w:sz w:val="12"/>
          <w:szCs w:val="12"/>
          <w:b w:val="1"/>
          <w:bCs w:val="1"/>
          <w:color w:val="auto"/>
        </w:rPr>
        <w:t>ended March 31,</w:t>
      </w:r>
      <w:r>
        <w:rPr>
          <w:sz w:val="20"/>
          <w:szCs w:val="20"/>
          <w:color w:val="auto"/>
        </w:rPr>
        <w:tab/>
      </w:r>
      <w:r>
        <w:rPr>
          <w:rFonts w:ascii="Arial" w:cs="Arial" w:eastAsia="Arial" w:hAnsi="Arial"/>
          <w:sz w:val="17"/>
          <w:szCs w:val="17"/>
          <w:b w:val="1"/>
          <w:bCs w:val="1"/>
          <w:color w:val="auto"/>
          <w:vertAlign w:val="subscript"/>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-16510</wp:posOffset>
            </wp:positionV>
            <wp:extent cx="80899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780"/>
        <w:spacing w:after="0"/>
        <w:tabs>
          <w:tab w:leader="none" w:pos="8460" w:val="left"/>
          <w:tab w:leader="none" w:pos="92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12700</wp:posOffset>
            </wp:positionV>
            <wp:extent cx="572198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21985" cy="7620"/>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2"/>
          <w:szCs w:val="12"/>
          <w:b w:val="1"/>
          <w:bCs w:val="1"/>
          <w:color w:val="auto"/>
        </w:rPr>
        <w:t>(unaudited)</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3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4,972</w:t>
            </w: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  6,648</w:t>
            </w:r>
          </w:p>
        </w:tc>
        <w:tc>
          <w:tcPr>
            <w:tcW w:w="8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  1,676</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bl>
    <w:p>
      <w:pPr>
        <w:spacing w:after="0" w:line="178" w:lineRule="exact"/>
        <w:rPr>
          <w:sz w:val="20"/>
          <w:szCs w:val="20"/>
          <w:color w:val="auto"/>
        </w:rPr>
      </w:pPr>
    </w:p>
    <w:p>
      <w:pPr>
        <w:ind w:right="240"/>
        <w:spacing w:after="0" w:line="319" w:lineRule="auto"/>
        <w:rPr>
          <w:sz w:val="20"/>
          <w:szCs w:val="20"/>
          <w:color w:val="auto"/>
        </w:rPr>
      </w:pPr>
      <w:r>
        <w:rPr>
          <w:rFonts w:ascii="Arial" w:cs="Arial" w:eastAsia="Arial" w:hAnsi="Arial"/>
          <w:sz w:val="14"/>
          <w:szCs w:val="14"/>
          <w:color w:val="auto"/>
        </w:rPr>
        <w:t>During the three months ended March 31, 2016, our research and development expenses increased by $1.7 million, or 34%, as compared to the same period in the prior year, due to the timing of the toxicology expenses associated with the NIDA grant, and the addition of research and development staffing to support the SEL-212 clinical trial.</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three months ended March 31, 2015 and 2016 (in thousands, except percentages):</w:t>
      </w:r>
    </w:p>
    <w:p>
      <w:pPr>
        <w:spacing w:after="0" w:line="219" w:lineRule="exact"/>
        <w:rPr>
          <w:sz w:val="20"/>
          <w:szCs w:val="20"/>
          <w:color w:val="auto"/>
        </w:rPr>
      </w:pPr>
    </w:p>
    <w:p>
      <w:pPr>
        <w:ind w:left="8000"/>
        <w:spacing w:after="0"/>
        <w:rPr>
          <w:sz w:val="20"/>
          <w:szCs w:val="20"/>
          <w:color w:val="auto"/>
        </w:rPr>
      </w:pPr>
      <w:r>
        <w:rPr>
          <w:rFonts w:ascii="Arial" w:cs="Arial" w:eastAsia="Arial" w:hAnsi="Arial"/>
          <w:sz w:val="12"/>
          <w:szCs w:val="12"/>
          <w:b w:val="1"/>
          <w:bCs w:val="1"/>
          <w:color w:val="auto"/>
        </w:rPr>
        <w:t>Three months</w:t>
      </w:r>
    </w:p>
    <w:p>
      <w:pPr>
        <w:ind w:left="7920"/>
        <w:spacing w:after="0" w:line="217" w:lineRule="auto"/>
        <w:tabs>
          <w:tab w:leader="none" w:pos="9400" w:val="left"/>
        </w:tabs>
        <w:rPr>
          <w:sz w:val="20"/>
          <w:szCs w:val="20"/>
          <w:color w:val="auto"/>
        </w:rPr>
      </w:pPr>
      <w:r>
        <w:rPr>
          <w:rFonts w:ascii="Arial" w:cs="Arial" w:eastAsia="Arial" w:hAnsi="Arial"/>
          <w:sz w:val="12"/>
          <w:szCs w:val="12"/>
          <w:b w:val="1"/>
          <w:bCs w:val="1"/>
          <w:color w:val="auto"/>
        </w:rPr>
        <w:t>ended March 31,</w:t>
      </w:r>
      <w:r>
        <w:rPr>
          <w:sz w:val="20"/>
          <w:szCs w:val="20"/>
          <w:color w:val="auto"/>
        </w:rPr>
        <w:tab/>
      </w:r>
      <w:r>
        <w:rPr>
          <w:rFonts w:ascii="Arial" w:cs="Arial" w:eastAsia="Arial" w:hAnsi="Arial"/>
          <w:sz w:val="17"/>
          <w:szCs w:val="17"/>
          <w:b w:val="1"/>
          <w:bCs w:val="1"/>
          <w:color w:val="auto"/>
          <w:vertAlign w:val="subscript"/>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-16510</wp:posOffset>
            </wp:positionV>
            <wp:extent cx="80899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900"/>
        <w:spacing w:after="0"/>
        <w:tabs>
          <w:tab w:leader="none" w:pos="8580" w:val="left"/>
          <w:tab w:leader="none" w:pos="932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12700</wp:posOffset>
            </wp:positionV>
            <wp:extent cx="572198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21985" cy="7620"/>
                    </a:xfrm>
                    <a:prstGeom prst="rect">
                      <a:avLst/>
                    </a:prstGeom>
                    <a:noFill/>
                  </pic:spPr>
                </pic:pic>
              </a:graphicData>
            </a:graphic>
          </wp:anchor>
        </w:drawing>
      </w:r>
    </w:p>
    <w:p>
      <w:pPr>
        <w:spacing w:after="0" w:line="2" w:lineRule="exact"/>
        <w:rPr>
          <w:sz w:val="20"/>
          <w:szCs w:val="20"/>
          <w:color w:val="auto"/>
        </w:rPr>
      </w:pPr>
    </w:p>
    <w:p>
      <w:pPr>
        <w:ind w:left="8040"/>
        <w:spacing w:after="0"/>
        <w:rPr>
          <w:sz w:val="20"/>
          <w:szCs w:val="20"/>
          <w:color w:val="auto"/>
        </w:rPr>
      </w:pPr>
      <w:r>
        <w:rPr>
          <w:rFonts w:ascii="Arial" w:cs="Arial" w:eastAsia="Arial" w:hAnsi="Arial"/>
          <w:sz w:val="12"/>
          <w:szCs w:val="12"/>
          <w:b w:val="1"/>
          <w:bCs w:val="1"/>
          <w:color w:val="auto"/>
        </w:rPr>
        <w:t>(unaudited)</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3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1,872</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2,381</w:t>
            </w:r>
          </w:p>
        </w:tc>
        <w:tc>
          <w:tcPr>
            <w:tcW w:w="7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  509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For the three months ended March 31, 2016, our general and administrative expenses increased $0.5 million, or 27%, as compared to the same period in the prior year, primarily due to an increase in costs for intellectual property filings and corresponding searches. Additionally, facility costs increased as a result of the termination of our sublease and subsequent utilization of the related space.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ind w:right="520"/>
        <w:spacing w:after="0" w:line="282" w:lineRule="auto"/>
        <w:rPr>
          <w:sz w:val="20"/>
          <w:szCs w:val="20"/>
          <w:color w:val="auto"/>
        </w:rPr>
      </w:pPr>
      <w:r>
        <w:rPr>
          <w:rFonts w:ascii="Arial" w:cs="Arial" w:eastAsia="Arial" w:hAnsi="Arial"/>
          <w:sz w:val="15"/>
          <w:szCs w:val="15"/>
          <w:color w:val="auto"/>
        </w:rPr>
        <w:t>Change in investment income during the three months ended March 31, 2016 as compared to the prior year period reflects reduced interest bearing account balances of cash and cash equivalents held by our company and our Russia subsidiary.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 (loss)</w:t>
      </w:r>
    </w:p>
    <w:p>
      <w:pPr>
        <w:spacing w:after="0" w:line="195" w:lineRule="exact"/>
        <w:rPr>
          <w:sz w:val="20"/>
          <w:szCs w:val="20"/>
          <w:color w:val="auto"/>
        </w:rPr>
      </w:pPr>
    </w:p>
    <w:p>
      <w:pPr>
        <w:ind w:right="560"/>
        <w:spacing w:after="0" w:line="282" w:lineRule="auto"/>
        <w:rPr>
          <w:sz w:val="20"/>
          <w:szCs w:val="20"/>
          <w:color w:val="auto"/>
        </w:rPr>
      </w:pPr>
      <w:r>
        <w:rPr>
          <w:rFonts w:ascii="Arial" w:cs="Arial" w:eastAsia="Arial" w:hAnsi="Arial"/>
          <w:sz w:val="15"/>
          <w:szCs w:val="15"/>
          <w:color w:val="auto"/>
        </w:rPr>
        <w:t>We recognized a foreign currency gain of $0.2 million and foreign currency loss of $0.2 million during the three months ended March 31, 2015 and 2016, respectively, reflecting the fluctuation of the U.S. dollar to the ruble from the beginning to the end of each period.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Interest expense for the three months ended March 31, 2016 was $0.3 million, an increase of $0.1 million, or 50%, as compared to the same period in the prior year. The increase was primarily due to the amortization of loan issuance costs and interest accrued on the increase of the venture debt effective December 31,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was de minimis for the three months ended March 31, 2015 and 2016.</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2014 compared to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years ended December 31, 2014 and 2015 (in thousands, except percentages):</w:t>
      </w:r>
    </w:p>
    <w:p>
      <w:pPr>
        <w:spacing w:after="0" w:line="276" w:lineRule="exact"/>
        <w:rPr>
          <w:sz w:val="20"/>
          <w:szCs w:val="20"/>
          <w:color w:val="auto"/>
        </w:rPr>
      </w:pPr>
    </w:p>
    <w:p>
      <w:pPr>
        <w:ind w:left="792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7880"/>
        <w:spacing w:after="0"/>
        <w:tabs>
          <w:tab w:leader="none" w:pos="9340" w:val="left"/>
        </w:tabs>
        <w:rPr>
          <w:sz w:val="20"/>
          <w:szCs w:val="20"/>
          <w:color w:val="auto"/>
        </w:rPr>
      </w:pPr>
      <w:r>
        <w:rPr>
          <w:rFonts w:ascii="Arial" w:cs="Arial" w:eastAsia="Arial" w:hAnsi="Arial"/>
          <w:sz w:val="12"/>
          <w:szCs w:val="12"/>
          <w:b w:val="1"/>
          <w:bCs w:val="1"/>
          <w:color w:val="auto"/>
        </w:rPr>
        <w:t>December 31,</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-1270</wp:posOffset>
            </wp:positionV>
            <wp:extent cx="80899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780"/>
        <w:spacing w:after="0"/>
        <w:tabs>
          <w:tab w:leader="none" w:pos="8460" w:val="left"/>
          <w:tab w:leader="none" w:pos="926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422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Grant and collaboration revenue</w:t>
            </w:r>
          </w:p>
        </w:tc>
        <w:tc>
          <w:tcPr>
            <w:tcW w:w="29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3,040</w:t>
            </w:r>
          </w:p>
        </w:tc>
        <w:tc>
          <w:tcPr>
            <w:tcW w:w="720" w:type="dxa"/>
            <w:vAlign w:val="bottom"/>
            <w:shd w:val="clear" w:color="auto" w:fill="CCEEFF"/>
          </w:tcPr>
          <w:p>
            <w:pPr>
              <w:jc w:val="right"/>
              <w:ind w:right="5"/>
              <w:spacing w:after="0" w:line="157" w:lineRule="exact"/>
              <w:rPr>
                <w:sz w:val="20"/>
                <w:szCs w:val="20"/>
                <w:color w:val="auto"/>
              </w:rPr>
            </w:pPr>
            <w:r>
              <w:rPr>
                <w:rFonts w:ascii="Arial" w:cs="Arial" w:eastAsia="Arial" w:hAnsi="Arial"/>
                <w:sz w:val="15"/>
                <w:szCs w:val="15"/>
                <w:color w:val="auto"/>
              </w:rPr>
              <w:t>$  6,011</w:t>
            </w:r>
          </w:p>
        </w:tc>
        <w:tc>
          <w:tcPr>
            <w:tcW w:w="820" w:type="dxa"/>
            <w:vAlign w:val="bottom"/>
            <w:shd w:val="clear" w:color="auto" w:fill="CCEEFF"/>
          </w:tcPr>
          <w:p>
            <w:pPr>
              <w:jc w:val="right"/>
              <w:ind w:right="125"/>
              <w:spacing w:after="0" w:line="157" w:lineRule="exact"/>
              <w:rPr>
                <w:sz w:val="20"/>
                <w:szCs w:val="20"/>
                <w:color w:val="auto"/>
              </w:rPr>
            </w:pPr>
            <w:r>
              <w:rPr>
                <w:rFonts w:ascii="Arial" w:cs="Arial" w:eastAsia="Arial" w:hAnsi="Arial"/>
                <w:sz w:val="15"/>
                <w:szCs w:val="15"/>
                <w:color w:val="auto"/>
              </w:rPr>
              <w:t>$  2,971</w:t>
            </w:r>
          </w:p>
        </w:tc>
        <w:tc>
          <w:tcPr>
            <w:tcW w:w="4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98%</w:t>
            </w:r>
          </w:p>
        </w:tc>
      </w:tr>
    </w:tbl>
    <w:p>
      <w:pPr>
        <w:spacing w:after="0" w:line="178" w:lineRule="exact"/>
        <w:rPr>
          <w:sz w:val="20"/>
          <w:szCs w:val="20"/>
          <w:color w:val="auto"/>
        </w:rPr>
      </w:pPr>
    </w:p>
    <w:p>
      <w:pPr>
        <w:ind w:right="200"/>
        <w:spacing w:after="0" w:line="266" w:lineRule="auto"/>
        <w:rPr>
          <w:sz w:val="20"/>
          <w:szCs w:val="20"/>
          <w:color w:val="auto"/>
        </w:rPr>
      </w:pPr>
      <w:r>
        <w:rPr>
          <w:rFonts w:ascii="Arial" w:cs="Arial" w:eastAsia="Arial" w:hAnsi="Arial"/>
          <w:sz w:val="15"/>
          <w:szCs w:val="15"/>
          <w:color w:val="auto"/>
        </w:rPr>
        <w:t>During the year ended December 31, 2015, total revenue increased by $3.0 million, or 98%, as compared to the prior year, primarily due to revenue from our grants and collaborations associated with increased research and development activities, including an increase of $1.9 million of revenue recognized during the year from the NIDA grant, $0.1 million for our collaboration with JDRF, $0.4 million of revenue recognized that was previously reported as contingently repayable grant funding, $0.3 million from other collaborations initiated in 2015 and $0.3 million from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6" w:name="page87"/>
    <w:bookmarkEnd w:id="8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years ended December 31, 2014 and 2015 (in thousands, except percentages):</w:t>
      </w:r>
    </w:p>
    <w:p>
      <w:pPr>
        <w:spacing w:after="0" w:line="276" w:lineRule="exact"/>
        <w:rPr>
          <w:sz w:val="20"/>
          <w:szCs w:val="20"/>
          <w:color w:val="auto"/>
        </w:rPr>
      </w:pPr>
    </w:p>
    <w:p>
      <w:pPr>
        <w:ind w:left="774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7700"/>
        <w:spacing w:after="0"/>
        <w:tabs>
          <w:tab w:leader="none" w:pos="9280" w:val="left"/>
        </w:tabs>
        <w:rPr>
          <w:sz w:val="20"/>
          <w:szCs w:val="20"/>
          <w:color w:val="auto"/>
        </w:rPr>
      </w:pPr>
      <w:r>
        <w:rPr>
          <w:rFonts w:ascii="Arial" w:cs="Arial" w:eastAsia="Arial" w:hAnsi="Arial"/>
          <w:sz w:val="12"/>
          <w:szCs w:val="12"/>
          <w:b w:val="1"/>
          <w:bCs w:val="1"/>
          <w:color w:val="auto"/>
        </w:rPr>
        <w:t>December 31,</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-1270</wp:posOffset>
            </wp:positionV>
            <wp:extent cx="92646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26465" cy="7620"/>
                    </a:xfrm>
                    <a:prstGeom prst="rect">
                      <a:avLst/>
                    </a:prstGeom>
                    <a:noFill/>
                  </pic:spPr>
                </pic:pic>
              </a:graphicData>
            </a:graphic>
          </wp:anchor>
        </w:drawing>
      </w:r>
    </w:p>
    <w:p>
      <w:pPr>
        <w:ind w:left="7540"/>
        <w:spacing w:after="0"/>
        <w:tabs>
          <w:tab w:leader="none" w:pos="8320" w:val="left"/>
          <w:tab w:leader="none" w:pos="922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392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39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Research and development</w:t>
            </w:r>
          </w:p>
        </w:tc>
        <w:tc>
          <w:tcPr>
            <w:tcW w:w="30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10,486</w:t>
            </w:r>
          </w:p>
        </w:tc>
        <w:tc>
          <w:tcPr>
            <w:tcW w:w="800" w:type="dxa"/>
            <w:vAlign w:val="bottom"/>
            <w:shd w:val="clear" w:color="auto" w:fill="CCEEFF"/>
          </w:tcPr>
          <w:p>
            <w:pPr>
              <w:jc w:val="right"/>
              <w:ind w:right="5"/>
              <w:spacing w:after="0" w:line="157" w:lineRule="exact"/>
              <w:rPr>
                <w:sz w:val="20"/>
                <w:szCs w:val="20"/>
                <w:color w:val="auto"/>
              </w:rPr>
            </w:pPr>
            <w:r>
              <w:rPr>
                <w:rFonts w:ascii="Arial" w:cs="Arial" w:eastAsia="Arial" w:hAnsi="Arial"/>
                <w:sz w:val="15"/>
                <w:szCs w:val="15"/>
                <w:color w:val="auto"/>
              </w:rPr>
              <w:t>$  22,980</w:t>
            </w:r>
          </w:p>
        </w:tc>
        <w:tc>
          <w:tcPr>
            <w:tcW w:w="880" w:type="dxa"/>
            <w:vAlign w:val="bottom"/>
            <w:shd w:val="clear" w:color="auto" w:fill="CCEEFF"/>
          </w:tcPr>
          <w:p>
            <w:pPr>
              <w:jc w:val="right"/>
              <w:ind w:right="85"/>
              <w:spacing w:after="0" w:line="157" w:lineRule="exact"/>
              <w:rPr>
                <w:sz w:val="20"/>
                <w:szCs w:val="20"/>
                <w:color w:val="auto"/>
              </w:rPr>
            </w:pPr>
            <w:r>
              <w:rPr>
                <w:rFonts w:ascii="Arial" w:cs="Arial" w:eastAsia="Arial" w:hAnsi="Arial"/>
                <w:sz w:val="15"/>
                <w:szCs w:val="15"/>
                <w:color w:val="auto"/>
              </w:rPr>
              <w:t>$  12,494</w:t>
            </w:r>
          </w:p>
        </w:tc>
        <w:tc>
          <w:tcPr>
            <w:tcW w:w="5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119%</w:t>
            </w:r>
          </w:p>
        </w:tc>
      </w:tr>
    </w:tbl>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During the year ended December 31, 2015, our total research and development expenses increased by $12.5 million from the prior year, reflecting the costs associated with the advancement of SEL-212 into clinical trials, including related headcount growth, as compared to the prior year during which research and development expenses primarily reflected costs associated with the general pre-clinical development of SEL-212.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years ended December 31, 2014 and 2015 (in thousands, except percentages):</w:t>
      </w:r>
    </w:p>
    <w:p>
      <w:pPr>
        <w:spacing w:after="0" w:line="276" w:lineRule="exact"/>
        <w:rPr>
          <w:sz w:val="20"/>
          <w:szCs w:val="20"/>
          <w:color w:val="auto"/>
        </w:rPr>
      </w:pPr>
    </w:p>
    <w:p>
      <w:pPr>
        <w:ind w:left="804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8000"/>
        <w:spacing w:after="0"/>
        <w:tabs>
          <w:tab w:leader="none" w:pos="9400" w:val="left"/>
        </w:tabs>
        <w:rPr>
          <w:sz w:val="20"/>
          <w:szCs w:val="20"/>
          <w:color w:val="auto"/>
        </w:rPr>
      </w:pPr>
      <w:r>
        <w:rPr>
          <w:rFonts w:ascii="Arial" w:cs="Arial" w:eastAsia="Arial" w:hAnsi="Arial"/>
          <w:sz w:val="12"/>
          <w:szCs w:val="12"/>
          <w:b w:val="1"/>
          <w:bCs w:val="1"/>
          <w:color w:val="auto"/>
        </w:rPr>
        <w:t>December 31,</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-1270</wp:posOffset>
            </wp:positionV>
            <wp:extent cx="80899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900"/>
        <w:spacing w:after="0"/>
        <w:tabs>
          <w:tab w:leader="none" w:pos="8580" w:val="left"/>
          <w:tab w:leader="none" w:pos="932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1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General and administrative</w:t>
            </w:r>
          </w:p>
        </w:tc>
        <w:tc>
          <w:tcPr>
            <w:tcW w:w="3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7,953</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8,335</w:t>
            </w:r>
          </w:p>
        </w:tc>
        <w:tc>
          <w:tcPr>
            <w:tcW w:w="760" w:type="dxa"/>
            <w:vAlign w:val="bottom"/>
            <w:shd w:val="clear" w:color="auto" w:fill="CCEEFF"/>
          </w:tcPr>
          <w:p>
            <w:pPr>
              <w:jc w:val="right"/>
              <w:ind w:right="165"/>
              <w:spacing w:after="0" w:line="157" w:lineRule="exact"/>
              <w:rPr>
                <w:sz w:val="20"/>
                <w:szCs w:val="20"/>
                <w:color w:val="auto"/>
              </w:rPr>
            </w:pPr>
            <w:r>
              <w:rPr>
                <w:rFonts w:ascii="Arial" w:cs="Arial" w:eastAsia="Arial" w:hAnsi="Arial"/>
                <w:sz w:val="15"/>
                <w:szCs w:val="15"/>
                <w:color w:val="auto"/>
              </w:rPr>
              <w:t>$  382</w:t>
            </w:r>
          </w:p>
        </w:tc>
        <w:tc>
          <w:tcPr>
            <w:tcW w:w="4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5%</w:t>
            </w:r>
          </w:p>
        </w:tc>
      </w:tr>
    </w:tbl>
    <w:p>
      <w:pPr>
        <w:spacing w:after="0" w:line="178"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During the year ended December 31, 2015, our general and administrative expenses increased by $0.4 million, or 5%, as compared to the prior year, primarily due to an increase in legal expense as a result of initiating and reviewing potential collaboration agreements and expanding intellectual property protections.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Change in investment income was de minimis during the year ended December 31, 2015 as compared to the prior year as cash and cash equivalent balances held in interest bearing accounts and the prevailing interest rates remained relatively consistent during both years.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w:t>
      </w:r>
    </w:p>
    <w:p>
      <w:pPr>
        <w:spacing w:after="0" w:line="195" w:lineRule="exact"/>
        <w:rPr>
          <w:sz w:val="20"/>
          <w:szCs w:val="20"/>
          <w:color w:val="auto"/>
        </w:rPr>
      </w:pPr>
    </w:p>
    <w:p>
      <w:pPr>
        <w:ind w:right="420"/>
        <w:spacing w:after="0" w:line="319" w:lineRule="auto"/>
        <w:rPr>
          <w:sz w:val="20"/>
          <w:szCs w:val="20"/>
          <w:color w:val="auto"/>
        </w:rPr>
      </w:pPr>
      <w:r>
        <w:rPr>
          <w:rFonts w:ascii="Arial" w:cs="Arial" w:eastAsia="Arial" w:hAnsi="Arial"/>
          <w:sz w:val="14"/>
          <w:szCs w:val="14"/>
          <w:color w:val="auto"/>
        </w:rPr>
        <w:t>We recognized a foreign currency gain of $0.9 million during the year ended December 31, 2015 as compared to $3.0 million during the year ended December 31, 2014 reflecting the continued strength of the U.S. dollar to the ruble occurring between December 31, 2014 (beginning of the period) to December 31, 2015 (end of period).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Interest expense was $0.9 million during the year ended December 31, 2015, as compared to $0.6 million in the prior year. The increase was primarily due to outstanding borrowings throughout 2015 as well as incremental amounts borrowed during the year. As of January 2014, we had outstanding borrowings of $3.0 million under our credit facility. In July 2014, we drew the remaining $4.5 million of available borrowings under the credit facility. As of December 31, 2015, we expanded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credit facility to a total of $12.0 million and drew all of the remaining borrowings available under the credit facility. Additionally, the increase included the amortization of loan issuance costs and interest accrued on convertible notes issued in April 2015 that were converted into our series E preferred stock in August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right="520"/>
        <w:spacing w:after="0" w:line="362" w:lineRule="auto"/>
        <w:rPr>
          <w:sz w:val="20"/>
          <w:szCs w:val="20"/>
          <w:color w:val="auto"/>
        </w:rPr>
      </w:pPr>
      <w:r>
        <w:rPr>
          <w:rFonts w:ascii="Arial" w:cs="Arial" w:eastAsia="Arial" w:hAnsi="Arial"/>
          <w:sz w:val="13"/>
          <w:szCs w:val="13"/>
          <w:color w:val="auto"/>
        </w:rPr>
        <w:t>Since our inception and through March 31, 2016, we have raised an aggregate of $151.6 million to fund our operations, of which $118.5 million was from the sale of preferred stock, $7.8 million was from government grants and $14.3 million was from borrowings under our credit facility and $11.0 million was through our collaborations and license agreements.</w:t>
      </w:r>
    </w:p>
    <w:p>
      <w:pPr>
        <w:spacing w:after="0" w:line="105" w:lineRule="exact"/>
        <w:rPr>
          <w:sz w:val="20"/>
          <w:szCs w:val="20"/>
          <w:color w:val="auto"/>
        </w:rPr>
      </w:pPr>
    </w:p>
    <w:p>
      <w:pPr>
        <w:ind w:right="600"/>
        <w:spacing w:after="0" w:line="319" w:lineRule="auto"/>
        <w:rPr>
          <w:sz w:val="20"/>
          <w:szCs w:val="20"/>
          <w:color w:val="auto"/>
        </w:rPr>
      </w:pPr>
      <w:r>
        <w:rPr>
          <w:rFonts w:ascii="Arial" w:cs="Arial" w:eastAsia="Arial" w:hAnsi="Arial"/>
          <w:sz w:val="14"/>
          <w:szCs w:val="14"/>
          <w:color w:val="auto"/>
        </w:rPr>
        <w:t>As of March 31, 2016, our cash and cash equivalents were $17.1 million, of which $1.5 million was held by our Russian subsidiary designated solely for use in its operations and is consolidated for financial reporting purposes. Additionally, our Russian subsidiary maintained $2.0 million in short term deposits and $0.7 million in restricted cash.</w:t>
      </w:r>
    </w:p>
    <w:p>
      <w:pPr>
        <w:spacing w:after="0" w:line="128" w:lineRule="exact"/>
        <w:rPr>
          <w:sz w:val="20"/>
          <w:szCs w:val="20"/>
          <w:color w:val="auto"/>
        </w:rPr>
      </w:pPr>
    </w:p>
    <w:p>
      <w:pPr>
        <w:ind w:right="160"/>
        <w:spacing w:after="0" w:line="330" w:lineRule="auto"/>
        <w:rPr>
          <w:sz w:val="20"/>
          <w:szCs w:val="20"/>
          <w:color w:val="auto"/>
        </w:rPr>
      </w:pPr>
      <w:r>
        <w:rPr>
          <w:rFonts w:ascii="Arial" w:cs="Arial" w:eastAsia="Arial" w:hAnsi="Arial"/>
          <w:sz w:val="13"/>
          <w:szCs w:val="13"/>
          <w:color w:val="auto"/>
        </w:rPr>
        <w:t>In addition to our existing cash and cash equivalents, we receive research and development funding and are eligible to earn a significant amount of milestone payments under collaboration agreements. Our ability to earn these milestone payments, and the timing of achieving these milestones, is dependent upon the outcome of our research and development and regulatory activities, and is uncertain at this time. Currently, funding from research grants and payments under collaboration agreements represent our only source of committed external funds.</w:t>
      </w:r>
    </w:p>
    <w:p>
      <w:pPr>
        <w:spacing w:after="0" w:line="12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To date, we have financed our operations primarily through private placements of our preferred stock and common stock, issuance of debt securities, funding received from grants and collaborative arrangements and through borrowings under our credit facility.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Indebtedness</w:t>
      </w:r>
    </w:p>
    <w:p>
      <w:pPr>
        <w:spacing w:after="0" w:line="19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August 2013, we entered into a credit facility with Oxford Finance, LLC, or Oxford, and Pacific Western Bank, as successor in interest to Square 1 Bank, as co-lenders. The credit facility initially provided funding for an aggregate principal amount of up to $7.5 million. The term loan A portion of the facility was funded on the facility's closing date in the aggregate principal 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color w:val="auto"/>
        </w:rPr>
        <w:t>The credit facility is secured by substantially all of our personal property other than our intellectual property. The term loan under the credit facility bears interest at an annual rate equal to the greater of (i) 8.0% and (ii) the sum of (a) the 30-day U.S. LIBOR rate five business days prior to the applicable funding date plus (b) 7.68%. We are required to make interest payments through January 1, 2017, or the interest only period. Following the interest only period, all outstanding borrowings under the credit facility will begin amortizing with monthly payments of principal and interest being made over 30 consecutive monthly installments. All loans under the facility mature on July 1, 2019, and include a final payment fee equal to 6% of the total amount borrowed under the credit facility. This final payment has been recorded as a discount to the loan balance and is being amortized into interest expense over the life of the loan.</w:t>
      </w:r>
    </w:p>
    <w:p>
      <w:pPr>
        <w:spacing w:after="0" w:line="137"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The term loan is prepayable at our option in whole, but not in part, subject to a prepayment fee of 3% if the term loan is prepaid prior to the first anniversary of the December 31, 2015 borrowing date, the borrowing date, 2% if the terms loans are prepaid between the first and second anniversary of the borrowing date and 1% if the term loan is prepaid after the 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We were also required to issue the lenders warrants for the purchase of preferred stock equal to 4.0% of the term loan A and term loan B at each closing, and 2.5% for the additional borrowing on December 31, 2015. In connection with the term loan security and loan agreement, in August 2013, we issued a fully vested warrant to purchase 26,668 shares of our series D preferred stock, in July 2014, we issued an additional fully vested warrant to purchase 40,000 shares of our series D preferred stock, and in December 31, 2015, we issued an additional fully vested warrant to purchase 37,978 shares of our series E preferred stock. The exercise price for all warrants is $4.50 per share, and they have a ten year life from date of issuance. These are recorded at the fair market value and expensed through the income statement.</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 As of March 31, 2016, we were in compliance with the covenants under our credit facility.</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credit facility also includes events of default, the occurrence and continuation of which provide the co-lenders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9" w:name="page90"/>
    <w:bookmarkEnd w:id="8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insolvency and the insolvency of our subsidiaries, the occurrence of a material adverse event, the occurrence of any default under certain other indebtedness, and a final judgment against us in an amount greater than $100,000. As of March 31, 2016, there had been no such events of default and the lenders had not exercised their rights with respect to an event of default under the credit facility.</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Plan of operations and future funding requirements</w:t>
      </w:r>
    </w:p>
    <w:p>
      <w:pPr>
        <w:spacing w:after="0" w:line="195" w:lineRule="exact"/>
        <w:rPr>
          <w:sz w:val="20"/>
          <w:szCs w:val="20"/>
          <w:color w:val="auto"/>
        </w:rPr>
      </w:pPr>
    </w:p>
    <w:p>
      <w:pPr>
        <w:ind w:left="7" w:right="180"/>
        <w:spacing w:after="0" w:line="281" w:lineRule="auto"/>
        <w:rPr>
          <w:sz w:val="20"/>
          <w:szCs w:val="20"/>
          <w:color w:val="auto"/>
        </w:rPr>
      </w:pPr>
      <w:r>
        <w:rPr>
          <w:rFonts w:ascii="Arial" w:cs="Arial" w:eastAsia="Arial" w:hAnsi="Arial"/>
          <w:sz w:val="14"/>
          <w:szCs w:val="14"/>
          <w:color w:val="auto"/>
        </w:rPr>
        <w:t>To date,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Upon the closing of this offering, we expect to incur additional costs associated with operating as a public company. We expect that we will need substantial additional funding in connection with our continuing operations. In their report on our consolidated financial statements for the years ended December 31, 2014 and 2015, our independent registered public accounting firm included an explanatory paragraph stating that we have recurring losses from operations since inception and negative cash flows from operating activities and will require additional capital to fund planned operations. These conditions raise substantial doubt about our ability to continue as a going concern.</w:t>
      </w:r>
    </w:p>
    <w:p>
      <w:pPr>
        <w:spacing w:after="0" w:line="153"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We expect that the net proceeds from this offering, together with our cash and cash equivalents as of March 31, 2016, and funding that we expect to receive under our existing collaborations will fund our operating expenses and capital expenditure requirements through at least December 31, 2017. We have based these estimates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79" w:lineRule="exact"/>
        <w:rPr>
          <w:sz w:val="20"/>
          <w:szCs w:val="20"/>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4"/>
          <w:szCs w:val="14"/>
          <w:color w:val="auto"/>
        </w:rPr>
      </w:pPr>
      <w:r>
        <w:rPr>
          <w:rFonts w:ascii="Arial" w:cs="Arial" w:eastAsia="Arial" w:hAnsi="Arial"/>
          <w:sz w:val="14"/>
          <w:szCs w:val="14"/>
          <w:color w:val="auto"/>
        </w:rPr>
        <w:t>our collaboration agreements remaining in effect, our ability to enter into additional collaboration agreements and our ability to achieve milestones under these agreements;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number and development requirements of other product candidates that we pursue;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09" w:lineRule="exact"/>
        <w:rPr>
          <w:rFonts w:ascii="Arial" w:cs="Arial" w:eastAsia="Arial" w:hAnsi="Arial"/>
          <w:sz w:val="15"/>
          <w:szCs w:val="15"/>
          <w:color w:val="auto"/>
        </w:rPr>
      </w:pPr>
    </w:p>
    <w:p>
      <w:pPr>
        <w:ind w:left="467" w:right="500" w:hanging="467"/>
        <w:spacing w:after="0" w:line="282" w:lineRule="auto"/>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0" w:name="page91"/>
    <w:bookmarkEnd w:id="9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3" w:lineRule="exact"/>
        <w:rPr>
          <w:sz w:val="20"/>
          <w:szCs w:val="20"/>
          <w:color w:val="auto"/>
        </w:rPr>
      </w:pPr>
    </w:p>
    <w:p>
      <w:pPr>
        <w:ind w:left="467" w:hanging="467"/>
        <w:spacing w:after="0" w:line="282" w:lineRule="auto"/>
        <w:tabs>
          <w:tab w:leader="none" w:pos="467"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extent to which we acquire or in-license other products and technologies.</w:t>
      </w:r>
    </w:p>
    <w:p>
      <w:pPr>
        <w:spacing w:after="0" w:line="198"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upon completion of this offering, we will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Cash flows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is a summary of cash flows for the years ended December 31, 2014 and 2015 and the three months ending March 31, 2016 (in thousands):</w:t>
      </w:r>
    </w:p>
    <w:p>
      <w:pPr>
        <w:spacing w:after="0" w:line="195"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right"/>
              <w:spacing w:after="0"/>
              <w:rPr>
                <w:sz w:val="20"/>
                <w:szCs w:val="20"/>
                <w:color w:val="auto"/>
              </w:rPr>
            </w:pPr>
            <w:r>
              <w:rPr>
                <w:rFonts w:ascii="Arial" w:cs="Arial" w:eastAsia="Arial" w:hAnsi="Arial"/>
                <w:sz w:val="12"/>
                <w:szCs w:val="12"/>
                <w:b w:val="1"/>
                <w:bCs w:val="1"/>
                <w:color w:val="auto"/>
              </w:rPr>
              <w:t>March 31,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5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w w:val="97"/>
              </w:rPr>
              <w:t>2016</w:t>
            </w:r>
          </w:p>
        </w:tc>
        <w:tc>
          <w:tcPr>
            <w:tcW w:w="140" w:type="dxa"/>
            <w:vAlign w:val="bottom"/>
          </w:tcPr>
          <w:p>
            <w:pPr>
              <w:spacing w:after="0"/>
              <w:rPr>
                <w:sz w:val="13"/>
                <w:szCs w:val="13"/>
                <w:color w:val="auto"/>
              </w:rPr>
            </w:pPr>
          </w:p>
        </w:tc>
      </w:tr>
      <w:tr>
        <w:trPr>
          <w:trHeight w:val="131"/>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60"/>
              <w:spacing w:after="0" w:line="131" w:lineRule="exact"/>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1"/>
                <w:szCs w:val="11"/>
                <w:color w:val="auto"/>
              </w:rPr>
            </w:pPr>
          </w:p>
        </w:tc>
        <w:tc>
          <w:tcPr>
            <w:tcW w:w="760" w:type="dxa"/>
            <w:vAlign w:val="bottom"/>
            <w:gridSpan w:val="2"/>
          </w:tcPr>
          <w:p>
            <w:pPr>
              <w:jc w:val="right"/>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Beginning of the period</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32,337</w:t>
            </w:r>
          </w:p>
        </w:tc>
        <w:tc>
          <w:tcPr>
            <w:tcW w:w="140" w:type="dxa"/>
            <w:vAlign w:val="bottom"/>
            <w:shd w:val="clear" w:color="auto" w:fill="CCEEFF"/>
          </w:tcPr>
          <w:p>
            <w:pPr>
              <w:spacing w:after="0"/>
              <w:rPr>
                <w:sz w:val="16"/>
                <w:szCs w:val="16"/>
                <w:color w:val="auto"/>
              </w:rPr>
            </w:pPr>
          </w:p>
        </w:tc>
      </w:tr>
      <w:tr>
        <w:trPr>
          <w:trHeight w:val="185"/>
        </w:trPr>
        <w:tc>
          <w:tcPr>
            <w:tcW w:w="5620" w:type="dxa"/>
            <w:vAlign w:val="bottom"/>
          </w:tcPr>
          <w:p>
            <w:pPr>
              <w:ind w:left="160"/>
              <w:spacing w:after="0"/>
              <w:rPr>
                <w:sz w:val="20"/>
                <w:szCs w:val="20"/>
                <w:color w:val="auto"/>
              </w:rPr>
            </w:pPr>
            <w:r>
              <w:rPr>
                <w:rFonts w:ascii="Arial" w:cs="Arial" w:eastAsia="Arial" w:hAnsi="Arial"/>
                <w:sz w:val="15"/>
                <w:szCs w:val="15"/>
                <w:color w:val="auto"/>
              </w:rPr>
              <w:t>Net cash used in operating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(12,686)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(22,463)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(4,898)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(10,166)</w:t>
            </w:r>
          </w:p>
        </w:tc>
      </w:tr>
      <w:tr>
        <w:trPr>
          <w:trHeight w:val="185"/>
        </w:trPr>
        <w:tc>
          <w:tcPr>
            <w:tcW w:w="56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cash used in investing activities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(4,679)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(3,555)</w:t>
            </w:r>
          </w:p>
        </w:tc>
      </w:tr>
      <w:tr>
        <w:trPr>
          <w:trHeight w:val="185"/>
        </w:trPr>
        <w:tc>
          <w:tcPr>
            <w:tcW w:w="5620" w:type="dxa"/>
            <w:vAlign w:val="bottom"/>
          </w:tcPr>
          <w:p>
            <w:pPr>
              <w:ind w:left="160"/>
              <w:spacing w:after="0"/>
              <w:rPr>
                <w:sz w:val="20"/>
                <w:szCs w:val="20"/>
                <w:color w:val="auto"/>
              </w:rPr>
            </w:pPr>
            <w:r>
              <w:rPr>
                <w:rFonts w:ascii="Arial" w:cs="Arial" w:eastAsia="Arial" w:hAnsi="Arial"/>
                <w:sz w:val="15"/>
                <w:szCs w:val="15"/>
                <w:color w:val="auto"/>
              </w:rPr>
              <w:t>Net cash provided by (used in) financing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24,771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43,906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(207)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(1,677)</w:t>
            </w:r>
          </w:p>
        </w:tc>
      </w:tr>
      <w:tr>
        <w:trPr>
          <w:trHeight w:val="185"/>
        </w:trPr>
        <w:tc>
          <w:tcPr>
            <w:tcW w:w="56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Effect of exchange rate changes on cash</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(1,019)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40" w:type="dxa"/>
            <w:vAlign w:val="bottom"/>
            <w:shd w:val="clear" w:color="auto" w:fill="CCEEFF"/>
          </w:tcPr>
          <w:p>
            <w:pPr>
              <w:spacing w:after="0"/>
              <w:rPr>
                <w:sz w:val="16"/>
                <w:szCs w:val="16"/>
                <w:color w:val="auto"/>
              </w:rPr>
            </w:pPr>
          </w:p>
        </w:tc>
      </w:tr>
      <w:tr>
        <w:trPr>
          <w:trHeight w:val="177"/>
        </w:trPr>
        <w:tc>
          <w:tcPr>
            <w:tcW w:w="5620" w:type="dxa"/>
            <w:vAlign w:val="bottom"/>
          </w:tcPr>
          <w:p>
            <w:pPr>
              <w:spacing w:after="0"/>
              <w:rPr>
                <w:sz w:val="20"/>
                <w:szCs w:val="20"/>
                <w:color w:val="auto"/>
              </w:rPr>
            </w:pPr>
            <w:r>
              <w:rPr>
                <w:rFonts w:ascii="Arial" w:cs="Arial" w:eastAsia="Arial" w:hAnsi="Arial"/>
                <w:sz w:val="15"/>
                <w:szCs w:val="15"/>
                <w:color w:val="auto"/>
              </w:rPr>
              <w:t>End of the period</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32,337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11,134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17,051</w:t>
            </w:r>
          </w:p>
        </w:tc>
        <w:tc>
          <w:tcPr>
            <w:tcW w:w="140" w:type="dxa"/>
            <w:vAlign w:val="bottom"/>
          </w:tcPr>
          <w:p>
            <w:pPr>
              <w:spacing w:after="0"/>
              <w:rPr>
                <w:sz w:val="15"/>
                <w:szCs w:val="15"/>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195" w:lineRule="exact"/>
        <w:rPr>
          <w:sz w:val="20"/>
          <w:szCs w:val="20"/>
          <w:color w:val="auto"/>
        </w:rPr>
      </w:pPr>
    </w:p>
    <w:p>
      <w:pPr>
        <w:jc w:val="both"/>
        <w:ind w:left="7" w:right="120"/>
        <w:spacing w:after="0" w:line="300" w:lineRule="auto"/>
        <w:rPr>
          <w:sz w:val="20"/>
          <w:szCs w:val="20"/>
          <w:color w:val="auto"/>
        </w:rPr>
      </w:pPr>
      <w:r>
        <w:rPr>
          <w:rFonts w:ascii="Arial" w:cs="Arial" w:eastAsia="Arial" w:hAnsi="Arial"/>
          <w:sz w:val="13"/>
          <w:szCs w:val="13"/>
          <w:color w:val="auto"/>
        </w:rPr>
        <w:t>Net cash used in operating activities was $4.9 million for the three months ended March 31, 2015 as compared to $10.2 million for the three months ended March 31, 2016. The increase in net cash used in operating activities of $5.3 million reflected an increase of (i) $1.7 million in net loss due to increased research and development expenses as we advanced from preclinical studies into the Phase 1 clinical trials, (ii) $2.0 million of restricted cash and other deposits, (iii) $1.0 million of receivables associated with pending receipts from the NIDA grant and</w:t>
      </w:r>
    </w:p>
    <w:p>
      <w:pPr>
        <w:ind w:left="7" w:right="320" w:hanging="7"/>
        <w:spacing w:after="0" w:line="275" w:lineRule="auto"/>
        <w:tabs>
          <w:tab w:leader="none" w:pos="263" w:val="left"/>
        </w:tabs>
        <w:numPr>
          <w:ilvl w:val="0"/>
          <w:numId w:val="59"/>
        </w:numPr>
        <w:rPr>
          <w:rFonts w:ascii="Arial" w:cs="Arial" w:eastAsia="Arial" w:hAnsi="Arial"/>
          <w:sz w:val="15"/>
          <w:szCs w:val="15"/>
          <w:color w:val="auto"/>
        </w:rPr>
      </w:pPr>
      <w:r>
        <w:rPr>
          <w:rFonts w:ascii="Arial" w:cs="Arial" w:eastAsia="Arial" w:hAnsi="Arial"/>
          <w:sz w:val="15"/>
          <w:szCs w:val="15"/>
          <w:color w:val="auto"/>
        </w:rPr>
        <w:t>$2.2 million from the net payments of accounts payable and other liabilities, offset by (a) $1.3 million of advance grant and collaboration receipts classified as deferred revenue and contingent repayable grant funding and (b) a $0.3 million decrease in other assets.</w:t>
      </w:r>
    </w:p>
    <w:p>
      <w:pPr>
        <w:spacing w:after="0" w:line="156" w:lineRule="exact"/>
        <w:rPr>
          <w:sz w:val="20"/>
          <w:szCs w:val="20"/>
          <w:color w:val="auto"/>
        </w:rPr>
      </w:pPr>
    </w:p>
    <w:p>
      <w:pPr>
        <w:ind w:left="7" w:right="580"/>
        <w:spacing w:after="0" w:line="282" w:lineRule="auto"/>
        <w:rPr>
          <w:sz w:val="20"/>
          <w:szCs w:val="20"/>
          <w:color w:val="auto"/>
        </w:rPr>
      </w:pPr>
      <w:r>
        <w:rPr>
          <w:rFonts w:ascii="Arial" w:cs="Arial" w:eastAsia="Arial" w:hAnsi="Arial"/>
          <w:sz w:val="15"/>
          <w:szCs w:val="15"/>
          <w:color w:val="auto"/>
        </w:rPr>
        <w:t>Net cash used in operating activities was $12.7 million for the year ended December 31, 2014, as compared to $22.5 million for the year ended December 31, 2015. The increase of $10.0 million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cash used in operating activities during the year ended December 31, 2015, was primarily related to the increased net loss position as a result of the incremental costs associated with the clinical trial.</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195" w:lineRule="exact"/>
        <w:rPr>
          <w:sz w:val="20"/>
          <w:szCs w:val="20"/>
          <w:color w:val="auto"/>
        </w:rPr>
      </w:pPr>
    </w:p>
    <w:p>
      <w:pPr>
        <w:ind w:right="340"/>
        <w:spacing w:after="0" w:line="362" w:lineRule="auto"/>
        <w:rPr>
          <w:sz w:val="20"/>
          <w:szCs w:val="20"/>
          <w:color w:val="auto"/>
        </w:rPr>
      </w:pPr>
      <w:r>
        <w:rPr>
          <w:rFonts w:ascii="Arial" w:cs="Arial" w:eastAsia="Arial" w:hAnsi="Arial"/>
          <w:sz w:val="13"/>
          <w:szCs w:val="13"/>
          <w:color w:val="auto"/>
        </w:rPr>
        <w:t>Net cash used in investing activities was $0.1 million for the three months ended March 31, 2015 as compared to net cash used in investing activities of $3.6 million of the three months ended March 31, 2016. The increase in cash used for investing activities of $3.5 million was primarily caused by the purchase of $3.5 million of short term government obligations.</w:t>
      </w:r>
    </w:p>
    <w:p>
      <w:pPr>
        <w:spacing w:after="0" w:line="105" w:lineRule="exact"/>
        <w:rPr>
          <w:sz w:val="20"/>
          <w:szCs w:val="20"/>
          <w:color w:val="auto"/>
        </w:rPr>
      </w:pPr>
    </w:p>
    <w:p>
      <w:pPr>
        <w:ind w:right="380"/>
        <w:spacing w:after="0" w:line="270" w:lineRule="auto"/>
        <w:rPr>
          <w:sz w:val="20"/>
          <w:szCs w:val="20"/>
          <w:color w:val="auto"/>
        </w:rPr>
      </w:pPr>
      <w:r>
        <w:rPr>
          <w:rFonts w:ascii="Arial" w:cs="Arial" w:eastAsia="Arial" w:hAnsi="Arial"/>
          <w:sz w:val="15"/>
          <w:szCs w:val="15"/>
          <w:color w:val="auto"/>
        </w:rPr>
        <w:t>Net cash used in investing activities was $0.2 million for the year ended December 31, 2014, as compared to net cash used in investing activities of $4.7 million for the year ended December 31, 2015. The increase in cash used for investing activities was caused by the purchase of $3.5 million of short-term investments and an additional $1.2 million of purchased equipment.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provided by (used in) financing activities</w:t>
      </w:r>
    </w:p>
    <w:p>
      <w:pPr>
        <w:spacing w:after="0" w:line="195"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Net cash used in financing activities was $0.2 million for the three months ended March 31, 2015 as compared to $1.7 million for the three months ended March 31, 2016. The increase of $1.5 million used in financing activities is caused by the increase in deferred costs related to this initial public offering.</w:t>
      </w:r>
    </w:p>
    <w:p>
      <w:pPr>
        <w:spacing w:after="0" w:line="151" w:lineRule="exact"/>
        <w:rPr>
          <w:sz w:val="20"/>
          <w:szCs w:val="20"/>
          <w:color w:val="auto"/>
        </w:rPr>
      </w:pPr>
    </w:p>
    <w:p>
      <w:pPr>
        <w:ind w:right="160"/>
        <w:spacing w:after="0" w:line="297" w:lineRule="auto"/>
        <w:rPr>
          <w:sz w:val="20"/>
          <w:szCs w:val="20"/>
          <w:color w:val="auto"/>
        </w:rPr>
      </w:pPr>
      <w:r>
        <w:rPr>
          <w:rFonts w:ascii="Arial" w:cs="Arial" w:eastAsia="Arial" w:hAnsi="Arial"/>
          <w:sz w:val="14"/>
          <w:szCs w:val="14"/>
          <w:color w:val="auto"/>
        </w:rPr>
        <w:t>Net cash provided by financing activities was $24.8 million for the year ended December 31, 2014, as compared to net cash provided by financing activities of $43.9 million for the year ended December 31, 2015. The increase of $19.1 million reflected the difference in proceeds from the issuance of the series E preferred stock and the convertible notes (that converted into series E preferred stock) in 2015 versus the proceeds from the issuance of series D preferred stock and our series SRN preferred stock issued in 2014.</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exchange rates on cash</w:t>
      </w:r>
    </w:p>
    <w:p>
      <w:pPr>
        <w:spacing w:after="0" w:line="195" w:lineRule="exact"/>
        <w:rPr>
          <w:sz w:val="20"/>
          <w:szCs w:val="20"/>
          <w:color w:val="auto"/>
        </w:rPr>
      </w:pPr>
    </w:p>
    <w:p>
      <w:pPr>
        <w:jc w:val="both"/>
        <w:ind w:right="240"/>
        <w:spacing w:after="0" w:line="297" w:lineRule="auto"/>
        <w:rPr>
          <w:sz w:val="20"/>
          <w:szCs w:val="20"/>
          <w:color w:val="auto"/>
        </w:rPr>
      </w:pPr>
      <w:r>
        <w:rPr>
          <w:rFonts w:ascii="Arial" w:cs="Arial" w:eastAsia="Arial" w:hAnsi="Arial"/>
          <w:sz w:val="14"/>
          <w:szCs w:val="14"/>
          <w:color w:val="auto"/>
        </w:rPr>
        <w:t>The functional currency of our Russian subsidiary is the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short term investments and restricted cash at the end of the period is translated using the exchange rate as of the ending balance sheet date.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contingent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our significant contractual obligations as of March 31, 2016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b w:val="1"/>
                <w:bCs w:val="1"/>
                <w:color w:val="auto"/>
              </w:rPr>
              <w:t>Less than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9"/>
        </w:trPr>
        <w:tc>
          <w:tcPr>
            <w:tcW w:w="4900" w:type="dxa"/>
            <w:vAlign w:val="bottom"/>
            <w:gridSpan w:val="3"/>
          </w:tcPr>
          <w:p>
            <w:pPr>
              <w:spacing w:after="0"/>
              <w:rPr>
                <w:sz w:val="20"/>
                <w:szCs w:val="20"/>
                <w:color w:val="auto"/>
              </w:rPr>
            </w:pPr>
            <w:r>
              <w:rPr>
                <w:rFonts w:ascii="Arial" w:cs="Arial" w:eastAsia="Arial" w:hAnsi="Arial"/>
                <w:sz w:val="12"/>
                <w:szCs w:val="12"/>
                <w:b w:val="1"/>
                <w:bCs w:val="1"/>
                <w:color w:val="auto"/>
              </w:rPr>
              <w:t>Contractual Obligations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7"/>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2"/>
                <w:szCs w:val="12"/>
                <w:b w:val="1"/>
                <w:bCs w:val="1"/>
                <w:color w:val="auto"/>
              </w:rPr>
              <w:t>1 year</w:t>
            </w:r>
          </w:p>
        </w:tc>
        <w:tc>
          <w:tcPr>
            <w:tcW w:w="140" w:type="dxa"/>
            <w:vAlign w:val="bottom"/>
          </w:tcPr>
          <w:p>
            <w:pPr>
              <w:spacing w:after="0"/>
              <w:rPr>
                <w:sz w:val="12"/>
                <w:szCs w:val="12"/>
                <w:color w:val="auto"/>
              </w:rPr>
            </w:pPr>
          </w:p>
        </w:tc>
        <w:tc>
          <w:tcPr>
            <w:tcW w:w="80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1 to 3 years</w:t>
            </w:r>
          </w:p>
        </w:tc>
        <w:tc>
          <w:tcPr>
            <w:tcW w:w="140" w:type="dxa"/>
            <w:vAlign w:val="bottom"/>
          </w:tcPr>
          <w:p>
            <w:pPr>
              <w:spacing w:after="0"/>
              <w:rPr>
                <w:sz w:val="12"/>
                <w:szCs w:val="12"/>
                <w:color w:val="auto"/>
              </w:rPr>
            </w:pPr>
          </w:p>
        </w:tc>
        <w:tc>
          <w:tcPr>
            <w:tcW w:w="78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3 to 5 years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leases(1)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Research and development contract obligations(2)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 term debt(3)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4900" w:type="dxa"/>
            <w:vAlign w:val="bottom"/>
            <w:gridSpan w:val="3"/>
          </w:tcPr>
          <w:p>
            <w:pPr>
              <w:spacing w:after="0"/>
              <w:rPr>
                <w:sz w:val="20"/>
                <w:szCs w:val="20"/>
                <w:color w:val="auto"/>
              </w:rPr>
            </w:pPr>
            <w:r>
              <w:rPr>
                <w:rFonts w:ascii="Arial" w:cs="Arial" w:eastAsia="Arial" w:hAnsi="Arial"/>
                <w:sz w:val="15"/>
                <w:szCs w:val="15"/>
                <w:color w:val="auto"/>
              </w:rPr>
              <w:t>Total obligations</w:t>
            </w: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16,173</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3,307</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10,757</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2,109</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right="120" w:hanging="463"/>
        <w:spacing w:after="0" w:line="238" w:lineRule="auto"/>
        <w:tabs>
          <w:tab w:leader="none" w:pos="16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Represents future minimum lease payments under non-cancellable operating leases in effect as of March 31, 2016, including the remaining lease payments for our current facilities in Watertown, Massachusetts. The minimum lease payments above do not include common area maintenance charges, real estate taxes or any sublease payments we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58" w:lineRule="exact"/>
        <w:rPr>
          <w:sz w:val="20"/>
          <w:szCs w:val="20"/>
          <w:color w:val="auto"/>
        </w:rPr>
      </w:pPr>
    </w:p>
    <w:p>
      <w:pPr>
        <w:ind w:left="1600" w:right="280" w:hanging="463"/>
        <w:spacing w:after="0" w:line="233" w:lineRule="auto"/>
        <w:tabs>
          <w:tab w:leader="none" w:pos="16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Represents minimum annual license fees payable to universities or partners under our license agreements. Under our license agreement with the Massachusetts Institute of Technology, or MIT, milestone payments are due upon the occurrence of certain events and royalty payments commence upon our commercialization of a product. For the purposes of presenting our contractual obligations under the MIT agreement, we have assumed license payments are fully offset by royalty payments in 2020.</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Represents payments of principal and interest under our credit facility assuming $12.0 million of borrowings and no prepayments.</w:t>
      </w:r>
    </w:p>
    <w:p>
      <w:pPr>
        <w:spacing w:after="0" w:line="177"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in-licensed certain intellectual property, including our license agreement with MIT. We have excluded these potential payments in the contractual obligations table because the timing and likelihood of these contingent payments are not known. See "Business—Licenses and collaborations" for additional information about these license agreements, including with respect to potential payments thereunder.</w:t>
      </w:r>
    </w:p>
    <w:p>
      <w:pPr>
        <w:spacing w:after="0" w:line="167" w:lineRule="exact"/>
        <w:rPr>
          <w:sz w:val="20"/>
          <w:szCs w:val="20"/>
          <w:color w:val="auto"/>
        </w:rPr>
      </w:pPr>
    </w:p>
    <w:p>
      <w:pPr>
        <w:jc w:val="both"/>
        <w:ind w:right="240"/>
        <w:spacing w:after="0" w:line="290" w:lineRule="auto"/>
        <w:rPr>
          <w:sz w:val="20"/>
          <w:szCs w:val="20"/>
          <w:color w:val="auto"/>
        </w:rPr>
      </w:pPr>
      <w:r>
        <w:rPr>
          <w:rFonts w:ascii="Arial" w:cs="Arial" w:eastAsia="Arial" w:hAnsi="Arial"/>
          <w:sz w:val="14"/>
          <w:szCs w:val="14"/>
          <w:color w:val="auto"/>
        </w:rPr>
        <w:t>We enter into agreements in the normal course of business with manufacturers and CROs for clinical trials, preclinical research studies and testing, manufacturing and other services and products for operating purposes. As of March 31, 2016, we had approximately $7.0 million of purchase orders under these agreements. However, these agreements generally provide for termination upon notice. As a result, we have excluded payments under these agreements because (i) the timing of these payments is uncertain and contingent upon completion of future activities and (ii) we believe that our non-cancelable obligations under these agreements are not material.</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USE OF ESTIMATES</w:t>
      </w:r>
    </w:p>
    <w:p>
      <w:pPr>
        <w:spacing w:after="0" w:line="195" w:lineRule="exact"/>
        <w:rPr>
          <w:sz w:val="20"/>
          <w:szCs w:val="20"/>
          <w:color w:val="auto"/>
        </w:rPr>
      </w:pPr>
    </w:p>
    <w:p>
      <w:pPr>
        <w:ind w:right="160"/>
        <w:spacing w:after="0" w:line="308" w:lineRule="auto"/>
        <w:rPr>
          <w:sz w:val="20"/>
          <w:szCs w:val="20"/>
          <w:color w:val="auto"/>
        </w:rPr>
      </w:pPr>
      <w:r>
        <w:rPr>
          <w:rFonts w:ascii="Arial" w:cs="Arial" w:eastAsia="Arial" w:hAnsi="Arial"/>
          <w:sz w:val="13"/>
          <w:szCs w:val="13"/>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While our significant accounting policies are more fully described in the notes to our consolidated financial statements included elsewhere in this prospectus,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Collaborative research and development and multiple-deliverable arrangements</w:t>
      </w:r>
    </w:p>
    <w:p>
      <w:pPr>
        <w:spacing w:after="0" w:line="195"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We enter into collaborative arrangements for the development and commercialization of product candidates utilizing our SVP technology. The terms of these agreements have typically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multiple deliverables by us (for example, license rights, research and development services and manufacturing of clinical materials) in exchange for consideration to us of some combination of non-refundable upfront payments, research and development funding, payments based upon achievement of clinical development or other milestones, and royalties in the form of a designated percentage of product sales or profits.</w:t>
      </w:r>
    </w:p>
    <w:p>
      <w:pPr>
        <w:spacing w:after="0" w:line="15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Revenue is recognized when there is persuasive evidence that an arrangement exists, delivery has occurred, the price is fixed or determinable and collection is reasonably assured. When one or more of the revenue recognition criteria are not met, we defer the recognition of revenue until such time as all such criteria are met. Multiple-deliverable arrangements, such as development agreements, are analyzed to determine whether the deliverables can be separated or whether they must be accounted for as a single unit of accounting. When deliverables are separable, consideration received is allocated to the separate units of accounting based on the relative selling price method and the appropriate revenue recognition principles are applied to each unit.</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We determine the estimated selling price for deliverables within each agreement using vendor-specific objective evidence, or VSOE, of selling price, if available, third-party evidence, or TPE, of selling price if VSOE is not available, or best estimate of selling price if neither VSOE nor TPE is available. Determining the best estimate of selling price for a deliverable requires significant judgment. We have used our best estimate of selling price to estimate the selling price for licenses related to our proprietary technology, since we do not have VSOE or TPE of selling price for these deliverables. In those circumstances, we consider market conditions as well as entity-specific factors, including those factors contemplated in negotiating the agreements, estimated development costs, probability of success and the time needed to commercialize a product candidate pursuant to the license. In validating the best estimate of selling price, we evaluate whether changes in the key assumptions used to determine the best estimate of selling price will have a significant effect on the allocation of consideration between multiple deliverables.</w:t>
      </w:r>
    </w:p>
    <w:p>
      <w:pPr>
        <w:spacing w:after="0" w:line="169" w:lineRule="exact"/>
        <w:rPr>
          <w:sz w:val="20"/>
          <w:szCs w:val="20"/>
          <w:color w:val="auto"/>
        </w:rPr>
      </w:pPr>
    </w:p>
    <w:p>
      <w:pPr>
        <w:ind w:right="100"/>
        <w:spacing w:after="0" w:line="313" w:lineRule="auto"/>
        <w:rPr>
          <w:sz w:val="20"/>
          <w:szCs w:val="20"/>
          <w:color w:val="auto"/>
        </w:rPr>
      </w:pPr>
      <w:r>
        <w:rPr>
          <w:rFonts w:ascii="Arial" w:cs="Arial" w:eastAsia="Arial" w:hAnsi="Arial"/>
          <w:sz w:val="13"/>
          <w:szCs w:val="13"/>
          <w:color w:val="auto"/>
        </w:rPr>
        <w:t>We may receive upfront payments when licensing our intellectual property in conjunction with a research and development agreement. When management believes the license to our intellectual property does not have stand-alone value from the other deliverables to be provided in the arrangement, we generally recognize revenue attributed to the license over the contractual or estimated performance period. When management believes the license to our intellectual property has stand-alone value, we generally recognize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we record in future periods. We have not experienced any significant adjustments to our estimates to date.</w:t>
      </w:r>
    </w:p>
    <w:p>
      <w:pPr>
        <w:spacing w:after="0" w:line="137"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Payments or reimbursements resulting from our research and development efforts are recognized and presented on a gross basis as the services are performed. The rationale for presenting on a gross basis is that we are the principal for such efforts, and as long as there is persuasive evidence of an arrangement, the fee is fixed or determinable and collection of the related amount is reasonably assured. Grant agreements generally provide for the reimbursement of direct costs, including salaries, benefits and supplies, as well as indirect costs.</w:t>
      </w:r>
    </w:p>
    <w:p>
      <w:pPr>
        <w:spacing w:after="0" w:line="144"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At the inception of each agreement that includes milestones payments, we evaluate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4" w:name="page95"/>
    <w:bookmarkEnd w:id="94"/>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milestones. Milestones that are not considered substantive are accounted for as license payments and recognized over the remaining period of performance.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Deferred revenue</w:t>
      </w:r>
    </w:p>
    <w:p>
      <w:pPr>
        <w:spacing w:after="0" w:line="195"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Accrued expenses</w:t>
      </w:r>
    </w:p>
    <w:p>
      <w:pPr>
        <w:spacing w:after="0" w:line="195"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As part of the process of preparing our consolidated financial statements, we are required to estimate our accrued research and development expenses. This process involves reviewing contracts and purchase orders, reviewing the terms of our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161" w:lineRule="exact"/>
        <w:rPr>
          <w:sz w:val="20"/>
          <w:szCs w:val="20"/>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fees payable to CROs and other third parties;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fees payable to vendors in connection with preclinical or clinical development activities;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fees payable to vendors related to product manufacturing, development and distribution of clinical supplies.</w:t>
      </w:r>
    </w:p>
    <w:p>
      <w:pPr>
        <w:spacing w:after="0" w:line="198"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 We have not experienced any significant adjustments to our estimates to date.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left="7" w:right="260"/>
        <w:spacing w:after="0" w:line="270" w:lineRule="auto"/>
        <w:rPr>
          <w:sz w:val="20"/>
          <w:szCs w:val="20"/>
          <w:color w:val="auto"/>
        </w:rPr>
      </w:pPr>
      <w:r>
        <w:rPr>
          <w:rFonts w:ascii="Arial" w:cs="Arial" w:eastAsia="Arial" w:hAnsi="Arial"/>
          <w:sz w:val="15"/>
          <w:szCs w:val="15"/>
          <w:color w:val="auto"/>
        </w:rPr>
        <w:t xml:space="preserve">We issue stock-based awards to employees and non-employees, generally in the form of stock options and restricted stock. We account for our stock-based awards in accordance with the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or ASC 718. We account for stock-based awards to non-employees in accordance with ASC 505-50, </w:t>
      </w:r>
      <w:r>
        <w:rPr>
          <w:rFonts w:ascii="Arial" w:cs="Arial" w:eastAsia="Arial" w:hAnsi="Arial"/>
          <w:sz w:val="15"/>
          <w:szCs w:val="15"/>
          <w:i w:val="1"/>
          <w:iCs w:val="1"/>
          <w:color w:val="auto"/>
        </w:rPr>
        <w:t>Equity-Based Payments to Non-Employees</w:t>
      </w:r>
      <w:r>
        <w:rPr>
          <w:rFonts w:ascii="Arial" w:cs="Arial" w:eastAsia="Arial" w:hAnsi="Arial"/>
          <w:sz w:val="15"/>
          <w:szCs w:val="15"/>
          <w:color w:val="auto"/>
        </w:rPr>
        <w:t>, or ASC 505-50.</w:t>
      </w:r>
    </w:p>
    <w:p>
      <w:pPr>
        <w:spacing w:after="0" w:line="159" w:lineRule="exact"/>
        <w:rPr>
          <w:sz w:val="20"/>
          <w:szCs w:val="20"/>
          <w:color w:val="auto"/>
        </w:rPr>
      </w:pPr>
    </w:p>
    <w:p>
      <w:pPr>
        <w:ind w:left="7" w:right="60"/>
        <w:spacing w:after="0" w:line="297" w:lineRule="auto"/>
        <w:rPr>
          <w:sz w:val="20"/>
          <w:szCs w:val="20"/>
          <w:color w:val="auto"/>
        </w:rPr>
      </w:pPr>
      <w:r>
        <w:rPr>
          <w:rFonts w:ascii="Arial" w:cs="Arial" w:eastAsia="Arial" w:hAnsi="Arial"/>
          <w:sz w:val="14"/>
          <w:szCs w:val="14"/>
          <w:color w:val="auto"/>
        </w:rPr>
        <w:t>Pursuant to ASC 718, 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5" w:name="page96"/>
    <w:bookmarkEnd w:id="95"/>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Pursuant to ASC 505-50, 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62" w:lineRule="exact"/>
        <w:rPr>
          <w:sz w:val="20"/>
          <w:szCs w:val="20"/>
          <w:color w:val="auto"/>
        </w:rPr>
      </w:pPr>
    </w:p>
    <w:p>
      <w:pPr>
        <w:jc w:val="both"/>
        <w:ind w:left="7" w:right="100"/>
        <w:spacing w:after="0" w:line="270" w:lineRule="auto"/>
        <w:rPr>
          <w:sz w:val="20"/>
          <w:szCs w:val="20"/>
          <w:color w:val="auto"/>
        </w:rPr>
      </w:pPr>
      <w:r>
        <w:rPr>
          <w:rFonts w:ascii="Arial" w:cs="Arial" w:eastAsia="Arial" w:hAnsi="Arial"/>
          <w:sz w:val="15"/>
          <w:szCs w:val="15"/>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4"/>
          <w:szCs w:val="14"/>
          <w:color w:val="auto"/>
        </w:rPr>
        <w:t>Stock-based compensation for employees and non-employees were classified in the consolidated statements of operations and comprehensive loss as outlined below (in thousands):</w:t>
      </w:r>
    </w:p>
    <w:p>
      <w:pPr>
        <w:spacing w:after="0" w:line="207"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rPr>
              <w:t>Three months</w:t>
            </w:r>
          </w:p>
        </w:tc>
      </w:t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248"/>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32"/>
              <w:spacing w:after="0"/>
              <w:rPr>
                <w:sz w:val="20"/>
                <w:szCs w:val="20"/>
                <w:color w:val="auto"/>
              </w:rPr>
            </w:pPr>
            <w:r>
              <w:rPr>
                <w:rFonts w:ascii="Arial" w:cs="Arial" w:eastAsia="Arial" w:hAnsi="Arial"/>
                <w:sz w:val="12"/>
                <w:szCs w:val="12"/>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4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2"/>
                <w:szCs w:val="12"/>
                <w:b w:val="1"/>
                <w:bCs w:val="1"/>
                <w:color w:val="auto"/>
              </w:rPr>
              <w:t>2015</w:t>
            </w:r>
          </w:p>
        </w:tc>
        <w:tc>
          <w:tcPr>
            <w:tcW w:w="5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31"/>
        </w:trPr>
        <w:tc>
          <w:tcPr>
            <w:tcW w:w="4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4"/>
          </w:tcPr>
          <w:p>
            <w:pPr>
              <w:jc w:val="center"/>
              <w:ind w:right="45"/>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132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167</w:t>
            </w:r>
          </w:p>
        </w:tc>
        <w:tc>
          <w:tcPr>
            <w:tcW w:w="140" w:type="dxa"/>
            <w:vAlign w:val="bottom"/>
            <w:shd w:val="clear" w:color="auto" w:fill="CCEEFF"/>
          </w:tcPr>
          <w:p>
            <w:pPr>
              <w:spacing w:after="0"/>
              <w:rPr>
                <w:sz w:val="16"/>
                <w:szCs w:val="16"/>
                <w:color w:val="auto"/>
              </w:rPr>
            </w:pPr>
          </w:p>
        </w:tc>
      </w:tr>
      <w:tr>
        <w:trPr>
          <w:trHeight w:val="185"/>
        </w:trPr>
        <w:tc>
          <w:tcPr>
            <w:tcW w:w="41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9"/>
              </w:rPr>
              <w:t>170</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115</w:t>
            </w:r>
          </w:p>
        </w:tc>
        <w:tc>
          <w:tcPr>
            <w:tcW w:w="140" w:type="dxa"/>
            <w:vAlign w:val="bottom"/>
          </w:tcPr>
          <w:p>
            <w:pPr>
              <w:spacing w:after="0"/>
              <w:rPr>
                <w:sz w:val="16"/>
                <w:szCs w:val="16"/>
                <w:color w:val="auto"/>
              </w:rPr>
            </w:pPr>
          </w:p>
        </w:tc>
      </w:tr>
      <w:tr>
        <w:trPr>
          <w:trHeight w:val="177"/>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302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282</w:t>
            </w:r>
          </w:p>
        </w:tc>
        <w:tc>
          <w:tcPr>
            <w:tcW w:w="140" w:type="dxa"/>
            <w:vAlign w:val="bottom"/>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As of March 31, 2016, we had $3.0 million of total unrecognized compensation expense, net of related forfeiture estimates, which is expected to be recognized over a weighted average remaining vesting period of approximately 3.0 years. We expect the impact of our stock-based compensation expense for stock options and restricted stock granted to employees and non-employees to grow in future periods due to the potential increases in the value of our common stock and headcount.</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Common stock valuation</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 xml:space="preserve">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w:t>
      </w:r>
    </w:p>
    <w:p>
      <w:pPr>
        <w:spacing w:after="0" w:line="14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62" w:lineRule="exact"/>
        <w:rPr>
          <w:sz w:val="20"/>
          <w:szCs w:val="20"/>
          <w:color w:val="auto"/>
        </w:rPr>
      </w:pPr>
    </w:p>
    <w:p>
      <w:pPr>
        <w:ind w:left="467" w:right="200" w:hanging="467"/>
        <w:spacing w:after="0" w:line="319" w:lineRule="auto"/>
        <w:tabs>
          <w:tab w:leader="none" w:pos="467" w:val="left"/>
        </w:tabs>
        <w:numPr>
          <w:ilvl w:val="0"/>
          <w:numId w:val="63"/>
        </w:numPr>
        <w:rPr>
          <w:rFonts w:ascii="Arial" w:cs="Arial" w:eastAsia="Arial" w:hAnsi="Arial"/>
          <w:sz w:val="14"/>
          <w:szCs w:val="14"/>
          <w:color w:val="auto"/>
        </w:rPr>
      </w:pPr>
      <w:r>
        <w:rPr>
          <w:rFonts w:ascii="Arial" w:cs="Arial" w:eastAsia="Arial" w:hAnsi="Arial"/>
          <w:sz w:val="14"/>
          <w:szCs w:val="14"/>
          <w:i w:val="1"/>
          <w:iCs w:val="1"/>
          <w:color w:val="auto"/>
        </w:rPr>
        <w:t xml:space="preserve">Option Pricing Method. </w:t>
      </w:r>
      <w:r>
        <w:rPr>
          <w:rFonts w:ascii="Arial" w:cs="Arial" w:eastAsia="Arial" w:hAnsi="Arial"/>
          <w:sz w:val="14"/>
          <w:szCs w:val="14"/>
          <w:color w:val="auto"/>
        </w:rPr>
        <w:t>Under the option pricing method, or OPM, shares are valued by creating a series of call options with exercise prices based on the liquidation preferences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conversion terms of each equity class. The estimated fair values of the preferred and common stock are inferred by analyzing these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6630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6" w:name="page97"/>
    <w:bookmarkEnd w:id="96"/>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jc w:val="both"/>
        <w:ind w:left="467" w:right="20" w:hanging="467"/>
        <w:spacing w:after="0" w:line="270" w:lineRule="auto"/>
        <w:tabs>
          <w:tab w:leader="none" w:pos="467"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Probability-Weighted Expected Return Method. </w:t>
      </w:r>
      <w:r>
        <w:rPr>
          <w:rFonts w:ascii="Arial" w:cs="Arial" w:eastAsia="Arial" w:hAnsi="Arial"/>
          <w:sz w:val="15"/>
          <w:szCs w:val="15"/>
          <w:color w:val="auto"/>
        </w:rPr>
        <w:t>The probability-weighted expected return method, or PWERM, is a scenario-based analysis that estimates value per share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probability-weighted present value of expected future investment returns, considering each of the possible outcomes available to us, as well as the economic and control rights of each share class.</w:t>
      </w:r>
    </w:p>
    <w:p>
      <w:pPr>
        <w:spacing w:after="0" w:line="159"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Given the range of possible financing and exit events that existed at the time we completed our valuations, our board of directors concluded the PWERM to be the most appropriate for purposes of valuing our common stock given our expected time to a liquidity event, subjectivity with regards to estimating possible proceeds from a future liquidation event and subjectivity with regards to the ability to estimate the probability of an initial public offering, sale or other financing events. The PWERM explicitly considers the various terms of our investor related documents, including various rights of each class of our stock, at the date of the liquidity event when those rights will either be executed or abandoned.</w:t>
      </w:r>
    </w:p>
    <w:p>
      <w:pPr>
        <w:spacing w:after="0" w:line="148"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We obtained valuations of our common stock on February 28, 2014, November 30, 2014, September 30, 2015, December 31, 2015, January 31, 2016, March 31, 2016 and April 30, 2016. All valuations utilized the PWERM methodology to allocate the enterprise value to the common stock. The fair value of our common stock was estimated using a probability-weighted analysis of the present value of the returns afforded to common stockholders under several future stockholder exit or liquidity event scenarios, either through (1) a near-term and longer-term initial public offering, or IPO, scenario; (2) a sale of our company at values deemed to be low, medium and high; or (3) a liquidation event where the value is well below the preferred stock preference levels.</w:t>
      </w:r>
    </w:p>
    <w:p>
      <w:pPr>
        <w:spacing w:after="0" w:line="167" w:lineRule="exact"/>
        <w:rPr>
          <w:sz w:val="20"/>
          <w:szCs w:val="20"/>
          <w:color w:val="auto"/>
        </w:rPr>
      </w:pPr>
    </w:p>
    <w:p>
      <w:pPr>
        <w:ind w:left="7" w:right="100"/>
        <w:spacing w:after="0" w:line="261" w:lineRule="auto"/>
        <w:rPr>
          <w:sz w:val="20"/>
          <w:szCs w:val="20"/>
          <w:color w:val="auto"/>
        </w:rPr>
      </w:pPr>
      <w:r>
        <w:rPr>
          <w:rFonts w:ascii="Arial" w:cs="Arial" w:eastAsia="Arial" w:hAnsi="Arial"/>
          <w:sz w:val="15"/>
          <w:szCs w:val="15"/>
          <w:color w:val="auto"/>
        </w:rPr>
        <w:t>The selected enterprise value in the near-term IPO scenario was based on the pre-money market data for IPOs between the median and the mean of the observed range given reasonably "like" stage companies. The selected aggregate enterprise value in the longer-term scenario was also based on the pre-money market data for IPOs of equivalent stage biotechnology companies, but with added consideration that the market may not be as robust in the near-term initial public offering time frame and we will have completed our proof-of-concept with positive findings. The selected enterprise values utilized for each of the three scenarios in the sale scenario considered management's best estimates considering program accomplishments towards one or more indications being in the clinic, the available cash runway and additional preclinical data from our other product candidates. In the liquidation scenario at a price below liquidation preference, the valuations assumed a value that would not allow the preferred stockholders to realize their full liquidation preference resulting in no value to common stockholders.</w:t>
      </w:r>
    </w:p>
    <w:p>
      <w:pPr>
        <w:spacing w:after="0" w:line="169" w:lineRule="exact"/>
        <w:rPr>
          <w:sz w:val="20"/>
          <w:szCs w:val="20"/>
          <w:color w:val="auto"/>
        </w:rPr>
      </w:pPr>
    </w:p>
    <w:p>
      <w:pPr>
        <w:ind w:left="7" w:right="100"/>
        <w:spacing w:after="0" w:line="284" w:lineRule="auto"/>
        <w:rPr>
          <w:sz w:val="20"/>
          <w:szCs w:val="20"/>
          <w:color w:val="auto"/>
        </w:rPr>
      </w:pPr>
      <w:r>
        <w:rPr>
          <w:rFonts w:ascii="Arial" w:cs="Arial" w:eastAsia="Arial" w:hAnsi="Arial"/>
          <w:sz w:val="14"/>
          <w:szCs w:val="14"/>
          <w:color w:val="auto"/>
        </w:rPr>
        <w:t>Under all the exit scenarios considered in the PWERM, the fair value of our common stock was calculated using the estimated future enterprise valuations and a risk-adjusted discount rate based on the inherent risk of a hypothetical investment in our common stock, and a discount for lack of marketability. The risk-adjusted discount rate was based on consideration of the weighted average cost of capital, or WACC, for comparable biotechnology companies adjusted for company-specific risk factors, the venture capital rates of return and an analysis of other quantitative and qualitative factors considered pertinent to estimating the discount rate. We corroborated the discount based on the value of a put option compared to the value of common stock using Black-Scholes. We also considered the rights and privileges of our preferred stock as compared to our common stock, including anti-dilution protection, redemption rights, protective provisions in our certificate of incorporation and rights to participate in future rounds of financing.</w:t>
      </w:r>
    </w:p>
    <w:p>
      <w:pPr>
        <w:spacing w:after="0" w:line="154"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We performed these valuations, with the assistance of a third-party valuation specialist, on February 28, 2014, November 30, 2014, September 30, 2015, December 31, 2015, January 31, 2016, March 31, 2016 and April 30, 2016. The resulting estimated fair value of our common stock as of April 30, 2016 was $8.97, March 31, 2016 was $8.15, January 31, 2016 was $7.02,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2015 was $6.79, September 30, 2015 was $6.40, November 30, 2014 was $9.36 and February 28, 2014 was $8.97 per share. The changes in the assumptions used for the September 2015 valuation as compared to the November 2014 valuation reflected our progress towards proof of scientific concept and resulting technology advancement, the decision to advance towards an IPO, and the offering value of our series E preferred stock financing. This decrease in per share value was primarily due to then-current valuations for biotechnology companies, capital market conditions for biotechnology companies and the terms of our recent series E preferred stock financing. The valuations performed as of January 31, 2016 and December 31, 2015, as compared to September 30, 2015, reflected only the advancement of time between valuations towards the future stockholder exit or liquidity event scenarios. As there were no new significant clinical data, financial events or other changes in the business during that period, management believes the change in valuation is attributable to time progression. The valuations performed for April 30, 2016 and March 31, 2016 included consideration for the continued advancement of time towards an IPO in the second quarter of 2016, the apparent stabilization of the capital markets, the initial results of our Phase 1b clinical trial and analysis of the valuations for other biotechnology companies.</w:t>
      </w:r>
    </w:p>
    <w:p>
      <w:pPr>
        <w:spacing w:after="0" w:line="154" w:lineRule="exact"/>
        <w:rPr>
          <w:sz w:val="20"/>
          <w:szCs w:val="20"/>
          <w:color w:val="auto"/>
        </w:rPr>
      </w:pPr>
    </w:p>
    <w:p>
      <w:pPr>
        <w:ind w:right="20"/>
        <w:spacing w:after="0" w:line="319" w:lineRule="auto"/>
        <w:rPr>
          <w:sz w:val="20"/>
          <w:szCs w:val="20"/>
          <w:color w:val="auto"/>
        </w:rPr>
      </w:pPr>
      <w:r>
        <w:rPr>
          <w:rFonts w:ascii="Arial" w:cs="Arial" w:eastAsia="Arial" w:hAnsi="Arial"/>
          <w:sz w:val="14"/>
          <w:szCs w:val="14"/>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Following the closing of this offering, the fair value of our common stock will be determined based on the quoted market price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grants</w:t>
      </w:r>
    </w:p>
    <w:p>
      <w:pPr>
        <w:spacing w:after="0" w:line="19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common shares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8"/>
              <w:spacing w:after="0"/>
              <w:rPr>
                <w:sz w:val="20"/>
                <w:szCs w:val="20"/>
                <w:color w:val="auto"/>
              </w:rPr>
            </w:pPr>
            <w:r>
              <w:rPr>
                <w:rFonts w:ascii="Arial" w:cs="Arial" w:eastAsia="Arial" w:hAnsi="Arial"/>
                <w:sz w:val="12"/>
                <w:szCs w:val="12"/>
                <w:b w:val="1"/>
                <w:bCs w:val="1"/>
                <w:color w:val="auto"/>
              </w:rPr>
              <w:t>Fair value of</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Per share</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Exercise price</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common stock</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estimated</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per common</w:t>
            </w:r>
          </w:p>
        </w:tc>
        <w:tc>
          <w:tcPr>
            <w:tcW w:w="140" w:type="dxa"/>
            <w:vAlign w:val="bottom"/>
          </w:tcPr>
          <w:p>
            <w:pPr>
              <w:spacing w:after="0"/>
              <w:rPr>
                <w:sz w:val="12"/>
                <w:szCs w:val="12"/>
                <w:color w:val="auto"/>
              </w:rPr>
            </w:pPr>
          </w:p>
        </w:tc>
        <w:tc>
          <w:tcPr>
            <w:tcW w:w="940" w:type="dxa"/>
            <w:vAlign w:val="bottom"/>
          </w:tcPr>
          <w:p>
            <w:pPr>
              <w:jc w:val="center"/>
              <w:ind w:right="48"/>
              <w:spacing w:after="0"/>
              <w:rPr>
                <w:sz w:val="20"/>
                <w:szCs w:val="20"/>
                <w:color w:val="auto"/>
              </w:rPr>
            </w:pPr>
            <w:r>
              <w:rPr>
                <w:rFonts w:ascii="Arial" w:cs="Arial" w:eastAsia="Arial" w:hAnsi="Arial"/>
                <w:sz w:val="12"/>
                <w:szCs w:val="12"/>
                <w:b w:val="1"/>
                <w:bCs w:val="1"/>
                <w:color w:val="auto"/>
              </w:rPr>
              <w:t>per share on</w:t>
            </w:r>
          </w:p>
        </w:tc>
        <w:tc>
          <w:tcPr>
            <w:tcW w:w="16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fair value</w:t>
            </w:r>
          </w:p>
        </w:tc>
      </w:tr>
      <w:tr>
        <w:trPr>
          <w:trHeight w:val="167"/>
        </w:trPr>
        <w:tc>
          <w:tcPr>
            <w:tcW w:w="5100" w:type="dxa"/>
            <w:vAlign w:val="bottom"/>
            <w:gridSpan w:val="3"/>
          </w:tcPr>
          <w:p>
            <w:pPr>
              <w:spacing w:after="0"/>
              <w:rPr>
                <w:sz w:val="20"/>
                <w:szCs w:val="20"/>
                <w:color w:val="auto"/>
              </w:rPr>
            </w:pPr>
            <w:r>
              <w:rPr>
                <w:rFonts w:ascii="Arial" w:cs="Arial" w:eastAsia="Arial" w:hAnsi="Arial"/>
                <w:sz w:val="12"/>
                <w:szCs w:val="12"/>
                <w:b w:val="1"/>
                <w:bCs w:val="1"/>
                <w:color w:val="auto"/>
              </w:rPr>
              <w:t>Grant date</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granted</w:t>
            </w:r>
          </w:p>
        </w:tc>
        <w:tc>
          <w:tcPr>
            <w:tcW w:w="260" w:type="dxa"/>
            <w:vAlign w:val="bottom"/>
          </w:tcPr>
          <w:p>
            <w:pPr>
              <w:spacing w:after="0"/>
              <w:rPr>
                <w:sz w:val="14"/>
                <w:szCs w:val="14"/>
                <w:color w:val="auto"/>
              </w:rPr>
            </w:pPr>
          </w:p>
        </w:tc>
        <w:tc>
          <w:tcPr>
            <w:tcW w:w="820" w:type="dxa"/>
            <w:vAlign w:val="bottom"/>
          </w:tcPr>
          <w:p>
            <w:pPr>
              <w:jc w:val="center"/>
              <w:ind w:right="146"/>
              <w:spacing w:after="0"/>
              <w:rPr>
                <w:sz w:val="20"/>
                <w:szCs w:val="20"/>
                <w:color w:val="auto"/>
              </w:rPr>
            </w:pPr>
            <w:r>
              <w:rPr>
                <w:rFonts w:ascii="Arial" w:cs="Arial" w:eastAsia="Arial" w:hAnsi="Arial"/>
                <w:sz w:val="12"/>
                <w:szCs w:val="12"/>
                <w:b w:val="1"/>
                <w:bCs w:val="1"/>
                <w:color w:val="auto"/>
              </w:rPr>
              <w:t>share(1)</w:t>
            </w:r>
          </w:p>
        </w:tc>
        <w:tc>
          <w:tcPr>
            <w:tcW w:w="14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2"/>
                <w:szCs w:val="12"/>
                <w:b w:val="1"/>
                <w:bCs w:val="1"/>
                <w:color w:val="auto"/>
              </w:rPr>
              <w:t>grant date(2)</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of options</w:t>
            </w:r>
          </w:p>
        </w:tc>
      </w:tr>
      <w:tr>
        <w:trPr>
          <w:trHeight w:val="182"/>
        </w:trPr>
        <w:tc>
          <w:tcPr>
            <w:tcW w:w="20" w:type="dxa"/>
            <w:vAlign w:val="bottom"/>
          </w:tcPr>
          <w:p>
            <w:pPr>
              <w:spacing w:after="0"/>
              <w:rPr>
                <w:sz w:val="15"/>
                <w:szCs w:val="15"/>
                <w:color w:val="auto"/>
              </w:rPr>
            </w:pPr>
          </w:p>
        </w:tc>
        <w:tc>
          <w:tcPr>
            <w:tcW w:w="5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April 8, 2014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152,820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8.97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23, 2014</w:t>
            </w:r>
          </w:p>
        </w:tc>
        <w:tc>
          <w:tcPr>
            <w:tcW w:w="1000" w:type="dxa"/>
            <w:vAlign w:val="bottom"/>
          </w:tcPr>
          <w:p>
            <w:pPr>
              <w:jc w:val="right"/>
              <w:spacing w:after="0"/>
              <w:rPr>
                <w:sz w:val="20"/>
                <w:szCs w:val="20"/>
                <w:color w:val="auto"/>
              </w:rPr>
            </w:pPr>
            <w:r>
              <w:rPr>
                <w:rFonts w:ascii="Arial" w:cs="Arial" w:eastAsia="Arial" w:hAnsi="Arial"/>
                <w:sz w:val="15"/>
                <w:szCs w:val="15"/>
                <w:color w:val="auto"/>
              </w:rPr>
              <w:t>20,512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8.97</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8.97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6.37</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9, 2014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February 6, 2015</w:t>
            </w:r>
          </w:p>
        </w:tc>
        <w:tc>
          <w:tcPr>
            <w:tcW w:w="1000" w:type="dxa"/>
            <w:vAlign w:val="bottom"/>
          </w:tcPr>
          <w:p>
            <w:pPr>
              <w:jc w:val="right"/>
              <w:spacing w:after="0"/>
              <w:rPr>
                <w:sz w:val="20"/>
                <w:szCs w:val="20"/>
                <w:color w:val="auto"/>
              </w:rPr>
            </w:pPr>
            <w:r>
              <w:rPr>
                <w:rFonts w:ascii="Arial" w:cs="Arial" w:eastAsia="Arial" w:hAnsi="Arial"/>
                <w:sz w:val="15"/>
                <w:szCs w:val="15"/>
                <w:color w:val="auto"/>
              </w:rPr>
              <w:t>57,692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9.36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7.14</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21,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62,820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7, 2015</w:t>
            </w:r>
          </w:p>
        </w:tc>
        <w:tc>
          <w:tcPr>
            <w:tcW w:w="1000" w:type="dxa"/>
            <w:vAlign w:val="bottom"/>
          </w:tcPr>
          <w:p>
            <w:pPr>
              <w:jc w:val="right"/>
              <w:spacing w:after="0"/>
              <w:rPr>
                <w:sz w:val="20"/>
                <w:szCs w:val="20"/>
                <w:color w:val="auto"/>
              </w:rPr>
            </w:pPr>
            <w:r>
              <w:rPr>
                <w:rFonts w:ascii="Arial" w:cs="Arial" w:eastAsia="Arial" w:hAnsi="Arial"/>
                <w:sz w:val="15"/>
                <w:szCs w:val="15"/>
                <w:color w:val="auto"/>
              </w:rPr>
              <w:t>5,128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9.36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7.06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12,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September 8, 2015</w:t>
            </w:r>
          </w:p>
        </w:tc>
        <w:tc>
          <w:tcPr>
            <w:tcW w:w="1000" w:type="dxa"/>
            <w:vAlign w:val="bottom"/>
          </w:tcPr>
          <w:p>
            <w:pPr>
              <w:jc w:val="right"/>
              <w:spacing w:after="0"/>
              <w:rPr>
                <w:sz w:val="20"/>
                <w:szCs w:val="20"/>
                <w:color w:val="auto"/>
              </w:rPr>
            </w:pPr>
            <w:r>
              <w:rPr>
                <w:rFonts w:ascii="Arial" w:cs="Arial" w:eastAsia="Arial" w:hAnsi="Arial"/>
                <w:sz w:val="15"/>
                <w:szCs w:val="15"/>
                <w:color w:val="auto"/>
              </w:rPr>
              <w:t>115,384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3.78</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4,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315,320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March 9, 2016</w:t>
            </w:r>
          </w:p>
        </w:tc>
        <w:tc>
          <w:tcPr>
            <w:tcW w:w="1000" w:type="dxa"/>
            <w:vAlign w:val="bottom"/>
          </w:tcPr>
          <w:p>
            <w:pPr>
              <w:jc w:val="right"/>
              <w:spacing w:after="0"/>
              <w:rPr>
                <w:sz w:val="20"/>
                <w:szCs w:val="20"/>
                <w:color w:val="auto"/>
              </w:rPr>
            </w:pPr>
            <w:r>
              <w:rPr>
                <w:rFonts w:ascii="Arial" w:cs="Arial" w:eastAsia="Arial" w:hAnsi="Arial"/>
                <w:sz w:val="15"/>
                <w:szCs w:val="15"/>
                <w:color w:val="auto"/>
              </w:rPr>
              <w:t>171,794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7.02</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7.41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5.69</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5, 2016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140" w:type="dxa"/>
            <w:vAlign w:val="bottom"/>
            <w:shd w:val="clear" w:color="auto" w:fill="CCEEFF"/>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926,085</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260" w:hanging="463"/>
        <w:spacing w:after="0" w:line="238" w:lineRule="auto"/>
        <w:tabs>
          <w:tab w:leader="none" w:pos="16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Our board of directors determined at the time of grant of the stock options that the exercise price was based upon the fair value of our common stock calculated in the most recent valuation as of February 28, 2014, November 30, 2014, September 30, 2015, December 31, 2015, January 31, 2016 or March 31, 2016,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8" w:name="page99"/>
    <w:bookmarkEnd w:id="9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6" w:lineRule="exact"/>
        <w:rPr>
          <w:sz w:val="20"/>
          <w:szCs w:val="20"/>
          <w:color w:val="auto"/>
        </w:rPr>
      </w:pPr>
    </w:p>
    <w:p>
      <w:pPr>
        <w:ind w:left="1607" w:hanging="463"/>
        <w:spacing w:after="0" w:line="288" w:lineRule="auto"/>
        <w:tabs>
          <w:tab w:leader="none" w:pos="1607" w:val="left"/>
        </w:tabs>
        <w:numPr>
          <w:ilvl w:val="0"/>
          <w:numId w:val="66"/>
        </w:numPr>
        <w:rPr>
          <w:rFonts w:ascii="Arial" w:cs="Arial" w:eastAsia="Arial" w:hAnsi="Arial"/>
          <w:sz w:val="10"/>
          <w:szCs w:val="10"/>
          <w:color w:val="auto"/>
        </w:rPr>
      </w:pPr>
      <w:r>
        <w:rPr>
          <w:rFonts w:ascii="Arial" w:cs="Arial" w:eastAsia="Arial" w:hAnsi="Arial"/>
          <w:sz w:val="10"/>
          <w:szCs w:val="10"/>
          <w:color w:val="auto"/>
        </w:rPr>
        <w:t>As described below, the fair value of common stock at the date of these grants was adjusted to recognize the decline in the per share valuation for the period between the November 30, 2014 and the December 31, 2015 valuations. The adjustments are made based on a reassessment of the events occurring between the two valuations, such as the value paid for the most recent venture funding, and the determination of the time in which the pricing of the funding would be known. The fair value of common stock per share on the March 9, 2016 grant date was based on the valuation performed as of January 31, 2016, and the fair value of the common stock per share on the April 5, 2016 grant date was based on the valuation performed as of March 31, 2016.</w:t>
      </w:r>
    </w:p>
    <w:p>
      <w:pPr>
        <w:spacing w:after="0" w:line="145" w:lineRule="exact"/>
        <w:rPr>
          <w:sz w:val="20"/>
          <w:szCs w:val="20"/>
          <w:color w:val="auto"/>
        </w:rPr>
      </w:pPr>
    </w:p>
    <w:p>
      <w:pPr>
        <w:ind w:left="7" w:right="20"/>
        <w:spacing w:after="0" w:line="284" w:lineRule="auto"/>
        <w:rPr>
          <w:sz w:val="20"/>
          <w:szCs w:val="20"/>
          <w:color w:val="auto"/>
        </w:rPr>
      </w:pPr>
      <w:r>
        <w:rPr>
          <w:rFonts w:ascii="Arial" w:cs="Arial" w:eastAsia="Arial" w:hAnsi="Arial"/>
          <w:sz w:val="14"/>
          <w:szCs w:val="14"/>
          <w:color w:val="auto"/>
        </w:rPr>
        <w:t>In the course of preparing for this offering, on January 31, 2016 and March 31, 2016, we performed a fair value assessment and concluded that the fair value of our common stock underlying the stock options we granted between April 8, 2014 and April 5, 2016 was between $6.40 and $9.36 per share for accounting purposes. These reassessed values, which we applied to determine the fair values of the option grants in determining the stock-based compensation expense for accounting purposes, were based in part upon the valuation of our common stock as of January 31, 2016 and March 31, 2016, performed with the assistance of a third-party specialist, taking into account an increased probability of executing a successful IPO during the first half of 2016, the recent IPO valuations for early-stage biotechnology companies and the probability of a successful result in our Phase 1/2 clinical trials of SEL-212. These revised common stock valuations were performed using the PWERM method noted above.</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95"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In consultation with the underwriters for this offering, we determined the estimated price range for this offering, the midpoint of which was $15.00 per share. In comparison, our estimate of the fair value of our common stock was $8.97 per share as of the April 30, 2016 valuation. We note that, as is typical with IPOs, the estimated price range for this offering was not derived using a formal determination of fair value, but was determined by negotiation between us and the underwriters. Among the factors that were considered in setting this range were the following:</w:t>
      </w:r>
    </w:p>
    <w:p>
      <w:pPr>
        <w:spacing w:after="0" w:line="173" w:lineRule="exact"/>
        <w:rPr>
          <w:sz w:val="20"/>
          <w:szCs w:val="20"/>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analysis of the typical valuation ranges seen in recent IPO for companies in our industry;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general condition of the securities markets and the recent market prices of, and the demand for, publicly traded common stock of generally comparable companies;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assumption that there would be a receptive public trading market for clinical and pre-commercial biotechnology companies such as us;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assumption that there would be sufficient demand for our common stock to support an offering of the size contemplated by this prospectus.</w:t>
      </w:r>
    </w:p>
    <w:p>
      <w:pPr>
        <w:spacing w:after="0" w:line="198" w:lineRule="exact"/>
        <w:rPr>
          <w:sz w:val="20"/>
          <w:szCs w:val="20"/>
          <w:color w:val="auto"/>
        </w:rPr>
      </w:pPr>
    </w:p>
    <w:p>
      <w:pPr>
        <w:ind w:left="7" w:right="40"/>
        <w:spacing w:after="0" w:line="301" w:lineRule="auto"/>
        <w:rPr>
          <w:sz w:val="20"/>
          <w:szCs w:val="20"/>
          <w:color w:val="auto"/>
        </w:rPr>
      </w:pPr>
      <w:r>
        <w:rPr>
          <w:rFonts w:ascii="Arial" w:cs="Arial" w:eastAsia="Arial" w:hAnsi="Arial"/>
          <w:sz w:val="13"/>
          <w:szCs w:val="13"/>
          <w:color w:val="auto"/>
        </w:rPr>
        <w:t>In addition to these factors, we believe that the difference between the fair value of our common stock as of April 30, 2016 and the midpoint of the estimated price range for this offering is primarily the result of our receipt in late May and early June 2016 of positive data from our Phase 1b clinical trial in respect of the safety and tolerability of our lead product candidate, SEL-</w:t>
      </w:r>
    </w:p>
    <w:p>
      <w:pPr>
        <w:ind w:left="307" w:hanging="307"/>
        <w:spacing w:after="0"/>
        <w:tabs>
          <w:tab w:leader="none" w:pos="307" w:val="left"/>
        </w:tabs>
        <w:numPr>
          <w:ilvl w:val="0"/>
          <w:numId w:val="68"/>
        </w:numPr>
        <w:rPr>
          <w:rFonts w:ascii="Arial" w:cs="Arial" w:eastAsia="Arial" w:hAnsi="Arial"/>
          <w:sz w:val="14"/>
          <w:szCs w:val="14"/>
          <w:color w:val="auto"/>
        </w:rPr>
      </w:pPr>
      <w:r>
        <w:rPr>
          <w:rFonts w:ascii="Arial" w:cs="Arial" w:eastAsia="Arial" w:hAnsi="Arial"/>
          <w:sz w:val="14"/>
          <w:szCs w:val="14"/>
          <w:color w:val="auto"/>
        </w:rPr>
        <w:t>See "Business—Our antigen-specific tolerance program SEL-212 for the treatment of refractory and chronic tophaceous gout-clinical development—Phase 1b clinical trail." In</w:t>
      </w:r>
    </w:p>
    <w:p>
      <w:pPr>
        <w:spacing w:after="0" w:line="24" w:lineRule="exact"/>
        <w:rPr>
          <w:rFonts w:ascii="Arial" w:cs="Arial" w:eastAsia="Arial" w:hAnsi="Arial"/>
          <w:sz w:val="14"/>
          <w:szCs w:val="14"/>
          <w:color w:val="auto"/>
        </w:rPr>
      </w:pPr>
    </w:p>
    <w:p>
      <w:pPr>
        <w:ind w:left="7" w:right="240"/>
        <w:spacing w:after="0" w:line="354" w:lineRule="auto"/>
        <w:rPr>
          <w:rFonts w:ascii="Arial" w:cs="Arial" w:eastAsia="Arial" w:hAnsi="Arial"/>
          <w:sz w:val="14"/>
          <w:szCs w:val="14"/>
          <w:color w:val="auto"/>
        </w:rPr>
      </w:pPr>
      <w:r>
        <w:rPr>
          <w:rFonts w:ascii="Arial" w:cs="Arial" w:eastAsia="Arial" w:hAnsi="Arial"/>
          <w:sz w:val="13"/>
          <w:szCs w:val="13"/>
          <w:color w:val="auto"/>
        </w:rPr>
        <w:t>addition, the estimated IPO price range necessarily assumes that the IPO has occurred, a public market for our common stock has been created and that our preferred stock converted into common stock in connection with the IPO, and therefore excludes any discount for lack of marketability of our common stock, which was factored into the April 30, 2016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630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6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 VALUATION</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We granted warrants to purchase shares of our series D preferred stock and series E preferred stock to the lenders under our loan and security agreement dated August 9, 2013, as amended on May 9, 2014, and as amended and restated on December 31, 2015. These warrants are classified as a liability as the warrants are free-standing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 We will continue to adjust the liability for changes in fair value of the warrants until the earlier of the exercise or expiration of the warrants.</w:t>
      </w:r>
    </w:p>
    <w:p>
      <w:pPr>
        <w:spacing w:after="0" w:line="149"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The fair value of the warrants are estimated using Black-Sholes,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and series E preferred stock, the remaining contractual term of the warrants, risk-free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third-party valuations and additional factors that we deem relevant. We have historically been a private company and lack company-specific historical and implied volatility information of our stock. Therefore, we estimate expected stock volatility based on the historical volatility of publicly traded comparable companies for a term equal to the remaining contractual term of the warrants. The risk-free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171"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In connection with this offering, the underlying redeemable convertible preferred stock will be converted to common stock. The preferred warrants will therefore become exercisable into common stock instead of preferred stock and the fair value of the warrant liability will be reclassified to additional paid-in capital at that time.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Securities and Exchange Commission rules.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OPERATING LOSS AND RESEARCH AND DEVELOPMENT TAX CREDIT CARRYFORWARDS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As of December 31, 2015, we had net operating loss carryforwards, or NOLs, for federal and state income tax purposes of $82.4 million and $76.3 million, respectively, which expire at various times through 2035.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2035. At December 31, 2015, we had available federal and state research and development income tax credits of approximately $1.6 million and $1.1 million respectively, which may be available to reduce future income taxes, if any, at various times through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20"/>
        <w:spacing w:after="0" w:line="308" w:lineRule="auto"/>
        <w:rPr>
          <w:sz w:val="20"/>
          <w:szCs w:val="20"/>
          <w:color w:val="auto"/>
        </w:rPr>
      </w:pPr>
      <w:r>
        <w:rPr>
          <w:rFonts w:ascii="Arial" w:cs="Arial" w:eastAsia="Arial" w:hAnsi="Arial"/>
          <w:sz w:val="13"/>
          <w:szCs w:val="13"/>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 xml:space="preserve">In May 2014, FASB issued Accounting Standards Update, or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or ASU 2014-09, which amends the guidance for revenue recognition to replace numerous industry-specific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We are currently in the process of evaluating the effect the adoption of ASU 2014-09 may have on our financial statements.</w:t>
      </w:r>
    </w:p>
    <w:p>
      <w:pPr>
        <w:spacing w:after="0" w:line="154"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Disclosure of Uncertainties about an Entity's Ability to Continue as a Going Concern,</w:t>
      </w:r>
      <w:r>
        <w:rPr>
          <w:rFonts w:ascii="Arial" w:cs="Arial" w:eastAsia="Arial" w:hAnsi="Arial"/>
          <w:sz w:val="13"/>
          <w:szCs w:val="13"/>
          <w:color w:val="auto"/>
        </w:rPr>
        <w:t xml:space="preserve"> or ASU 2014-15. ASU 2014-15 requires management to assess our ability to continue as a going concern and to provide related disclosures in certain circumstances. The requirements of ASU 2014-15 will be effective for the annual financial statement period beginning after December 15, 2016, with early adoption permitted. We are currently in the process of evaluating the impact of adopting ASU 2014-15.</w:t>
      </w:r>
    </w:p>
    <w:p>
      <w:pPr>
        <w:spacing w:after="0" w:line="125"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 xml:space="preserve">In February 2016,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01" w:name="page102"/>
    <w:bookmarkEnd w:id="10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accounting for lessors with the revenue recognition guidance in ASU 2014-09. ASU 2016-02 is effective for fiscal years beginning after December 15, 2018, including interim periods within those fiscal years, and is to be applied at the beginning of the earliest period presented using a modified retrospective approach. We are currently in the process of evaluating the impact of adopting ASU 2016-02.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 market risk inherent in our financial instruments and in our financial position represents the potential loss arising from adverse changes in interest rates. As of December 31, 2015 and March 31, 2016, we had cash equivalents of $32.3 million and $17.1 million, respectively, consisting of non-interest and interest-bearing money market accounts. Our primary exposure to market risk is interest rate sensitivity, which is affected by changes in the general level of U.S. interest rates. Due to the short-term the low risk profile of our money market accounts, an immediate 100 basis point change in interest rates would not have a material effect on the fair market value of our cash equivalents.</w:t>
      </w:r>
    </w:p>
    <w:p>
      <w:pPr>
        <w:spacing w:after="0" w:line="148" w:lineRule="exact"/>
        <w:rPr>
          <w:sz w:val="20"/>
          <w:szCs w:val="20"/>
          <w:color w:val="auto"/>
        </w:rPr>
      </w:pPr>
    </w:p>
    <w:p>
      <w:pPr>
        <w:jc w:val="both"/>
        <w:ind w:right="40"/>
        <w:spacing w:after="0" w:line="299" w:lineRule="auto"/>
        <w:rPr>
          <w:sz w:val="20"/>
          <w:szCs w:val="20"/>
          <w:color w:val="auto"/>
        </w:rPr>
      </w:pPr>
      <w:r>
        <w:rPr>
          <w:rFonts w:ascii="Arial" w:cs="Arial" w:eastAsia="Arial" w:hAnsi="Arial"/>
          <w:sz w:val="13"/>
          <w:szCs w:val="13"/>
          <w:color w:val="auto"/>
        </w:rPr>
        <w:t>In addition, we are subject to currency risk for balances held in rubles in our foreign subsidiary. We hold portions of our funds in both U.S. dollars and rubles. The exchange rate between the U.S. dollar and ruble fluctuated significantly. As of December 31, 2013, the exchange rate was 32.7 rubles per U.S. dollar as compared to 56.26 rubles per U.S. dollar at December 31, 2014 and 72.89 rubles per U.S. dollar at December 31, 2015. As of March 31, 2016, the exchange rate was 67.61 rubles per U.S. dollar, under which we held $4.2 million of total cash in Russian banks to support our Russian subsidiary, which includes $1.5 million of cash and cash equivalents, $2.0 million of short-term deposits and $0.7 million of restricted cash, of which</w:t>
      </w:r>
    </w:p>
    <w:p>
      <w:pPr>
        <w:spacing w:after="0" w:line="1" w:lineRule="exact"/>
        <w:rPr>
          <w:sz w:val="20"/>
          <w:szCs w:val="20"/>
          <w:color w:val="auto"/>
        </w:rPr>
      </w:pPr>
    </w:p>
    <w:p>
      <w:pPr>
        <w:ind w:right="220"/>
        <w:spacing w:after="0" w:line="275" w:lineRule="auto"/>
        <w:rPr>
          <w:sz w:val="20"/>
          <w:szCs w:val="20"/>
          <w:color w:val="auto"/>
        </w:rPr>
      </w:pPr>
      <w:r>
        <w:rPr>
          <w:rFonts w:ascii="Arial" w:cs="Arial" w:eastAsia="Arial" w:hAnsi="Arial"/>
          <w:sz w:val="15"/>
          <w:szCs w:val="15"/>
          <w:color w:val="auto"/>
        </w:rPr>
        <w:t>$1.0 million of cash and cash equivalents and the $2.0 million of short-term deposits were denominated in U.S. dollars. We do not hedge against foreign currency risks. We do not believe that inflation and changing prices had a significant impact on our results of operations for any periods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the harmful deposits of uric acid in chronic tophaceous gout, each a painful and debilitating disease with unmet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Based on preliminary data from our ongoing Phase 1b clinical trial, we believe that SEL-212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 We have submitted to the FDA two investigational new drug, or IND, applications, both of which are active. Each IND lists us as the named sponsor and is indicated for the treatment of chronic gout in adult patients refractory to conventional therapy.</w:t>
      </w:r>
    </w:p>
    <w:p>
      <w:pPr>
        <w:spacing w:after="0" w:line="161"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Despite rapid advancement in biologic treatment of rare and serious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the co-administration of our SVP technology with biologic treatments has the potential to overcome these limitations without requiring changes in dosing or formulation. We intend to build a platform based on our SVP technology applied to the mitigation of ADAs for a wide range of biologics.</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Our lead product candidate, SEL-212, was designed specifically to overcome the challenges faced by Krystexxa, a pegylated uricase. Krystexxa, is the only product approved by the U.S. Food and Drug Administration, or the FDA, for the treatment of chronic refractory gout. In clinical trials, Krystexxa demonstrated the ability to rapidly reduce uric acid levels in serum upon initial dosing. However, despite these results, Krystexxa has not achieved broad commercial adoption. We believe this is largely attributable to undesired immunogenicity. The package insert information for Krystexxa indicates that during Phase 3 clinical trials, 92% of patients developed ADAs. The package insert information also indicates that during the drug's Phase 3 clinical trials, high Krystexxa-specific ADA levels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3" w:name="page104"/>
    <w:bookmarkEnd w:id="10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were associated with a failure to maintain Krystexxa-induced normalization of uric acid levels. Similarly, in 2011, The Journal of the American Medical Association published the results of clinical trials finding that 58% of Krystexxa patients who received biweekly doses of Krystexxa were non-responders.</w:t>
      </w:r>
    </w:p>
    <w:p>
      <w:pPr>
        <w:spacing w:after="0" w:line="151"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SEL-212 consists of SVP-Rapamycin co-administered with pegsiticase, our proprietary pegylated uricase, for the treatment of refractory and chronic tophaceous gout. SVP-Rapamycin uses our SVP technology to encapsulate the approved immunomodulator rapamycin in biodegradable nanoparticles. Our preclinical data indicate that SVP-Rapamycin, when co-administered with pegsiticase, induces antigen-specific immune tolerance to pegsiticase and substantially reduces the formation of associated ADAs. We believe that SEL-212 has the potential to offer a uniquely effective treatment for patients with refractory or chronic tophaceous gout, while also demonstrating the clinical effectiveness of our SVP technology. Approximately 8.3 million patients in the United States suffer from gout, which is caused by elevated levels of serum uric acid. Excessive uric acid levels result in harmful deposits of insoluble uric acid crystals in joints and tissues, causing joint damage and painful inflammation. High concentrations of serum uric acid also increase the risk for other conditions, including cardiovascular, cardiometabolic, joint and kidney disease. No treatment has been approved to remove uric acid deposits from joints and tissues. Approximately 50,000 patients in the United States have been diagnosed with chronic refractory gout, an orphan indication defined as uric acid levels that cannot be controlled by available oral therapies.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Tophi are a source of inflammation and pain, and have been associated with diseases of the heart, vascular system, metabolic process, kidney and joints. There is no approved drug for chronic tophaceous gout.</w:t>
      </w:r>
    </w:p>
    <w:p>
      <w:pPr>
        <w:spacing w:after="0" w:line="158" w:lineRule="exact"/>
        <w:rPr>
          <w:sz w:val="20"/>
          <w:szCs w:val="20"/>
          <w:color w:val="auto"/>
        </w:rPr>
      </w:pPr>
    </w:p>
    <w:p>
      <w:pPr>
        <w:ind w:right="100"/>
        <w:spacing w:after="0" w:line="308" w:lineRule="auto"/>
        <w:rPr>
          <w:sz w:val="20"/>
          <w:szCs w:val="20"/>
          <w:color w:val="auto"/>
        </w:rPr>
      </w:pPr>
      <w:r>
        <w:rPr>
          <w:rFonts w:ascii="Arial" w:cs="Arial" w:eastAsia="Arial" w:hAnsi="Arial"/>
          <w:sz w:val="13"/>
          <w:szCs w:val="13"/>
          <w:color w:val="auto"/>
        </w:rPr>
        <w:t>We are also applying our SVP technology to antigen-specific immune tolerance for gene therapy involving gene augmentation, replacement or editing. Gene therapies often use a viral vector, such as an adeno-associated virus, or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the first administration of a gene therapy vector and prevent effective subsequent doses of gene therapy. Subsequent doses are particularly necessary for pediatric indications due to cellular turnover in young patients. The ability to readminister gene therapies is also important for diseases where the goal is to transfect a high number of cells. Moreover, the third way in which immunogenicity can manifest itself against the viral vector is that the cellular immune system can respond to the transduced cells, which can reduce efficacy and pose safety concerns.</w:t>
      </w:r>
    </w:p>
    <w:p>
      <w:pPr>
        <w:spacing w:after="0" w:line="140"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We have in-licensed the Anc80 gene therapy vector, or Anc80, from the Massachusetts Eye and Ear Infirmary and The Schepens Eye Research Institute, Inc., collectively referred to as MEE. Developed by the laboratory of Luk H. Vandenberghe, Ph.D., of Massachusetts Eye and Ear Infirmary and Harvard Medical School, Anc80 was designed as a synthetic precursor of AAV1, AAV2, AAV8 and AAV9. In preclinical studies, Anc80 has been observed to be a potent gene therapy vector that has demonstrated the capability of yielding superior gene expression levels in the liver compared to naturally occurring AAVs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4" w:name="page105"/>
    <w:bookmarkEnd w:id="104"/>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use of viral vectors. We believe that any such potential proprietary gene therapy products utilizing SVP-Rapamycin and Anc80 would have significant advantages, including</w:t>
      </w:r>
    </w:p>
    <w:p>
      <w:pPr>
        <w:spacing w:after="0" w:line="29" w:lineRule="exact"/>
        <w:rPr>
          <w:sz w:val="20"/>
          <w:szCs w:val="20"/>
          <w:color w:val="auto"/>
        </w:rPr>
      </w:pPr>
    </w:p>
    <w:p>
      <w:pPr>
        <w:ind w:left="7" w:right="100" w:hanging="7"/>
        <w:spacing w:after="0" w:line="312" w:lineRule="auto"/>
        <w:tabs>
          <w:tab w:leader="none" w:pos="187" w:val="left"/>
        </w:tabs>
        <w:numPr>
          <w:ilvl w:val="0"/>
          <w:numId w:val="69"/>
        </w:numPr>
        <w:rPr>
          <w:rFonts w:ascii="Arial" w:cs="Arial" w:eastAsia="Arial" w:hAnsi="Arial"/>
          <w:sz w:val="14"/>
          <w:szCs w:val="14"/>
          <w:color w:val="auto"/>
        </w:rPr>
      </w:pPr>
      <w:r>
        <w:rPr>
          <w:rFonts w:ascii="Arial" w:cs="Arial" w:eastAsia="Arial" w:hAnsi="Arial"/>
          <w:sz w:val="14"/>
          <w:szCs w:val="14"/>
          <w:color w:val="auto"/>
        </w:rPr>
        <w:t>applicability to patients with pre-existing ADAs to naturally occurring AAV, a current exclusion criteria for many clinical studies, and (ii) the potential development of gene therapies for diseases that require repeat dosing due to a younger patient population or need to reach higher levels of protein expression than can be achieved with a single dose.</w:t>
      </w:r>
    </w:p>
    <w:p>
      <w:pPr>
        <w:spacing w:after="0" w:line="132" w:lineRule="exact"/>
        <w:rPr>
          <w:sz w:val="20"/>
          <w:szCs w:val="20"/>
          <w:color w:val="auto"/>
        </w:rPr>
      </w:pPr>
    </w:p>
    <w:p>
      <w:pPr>
        <w:ind w:left="7"/>
        <w:spacing w:after="0" w:line="313" w:lineRule="auto"/>
        <w:rPr>
          <w:sz w:val="20"/>
          <w:szCs w:val="20"/>
          <w:color w:val="auto"/>
        </w:rPr>
      </w:pPr>
      <w:r>
        <w:rPr>
          <w:rFonts w:ascii="Arial" w:cs="Arial" w:eastAsia="Arial" w:hAnsi="Arial"/>
          <w:sz w:val="13"/>
          <w:szCs w:val="13"/>
          <w:color w:val="auto"/>
        </w:rPr>
        <w:t>In collaboration with the clinical and gene therapy laboratory at the National Institutes of Health, or NIH, and MEE, we plan to develop a product candidate utilizing the Anc80 vector for the treatment of an autosomal recessive metabolic, or ARM, disorder resulting from an inborn error of metabolism. This ARM disorder can cause severe developmental defects and premature death as a result of an accumulation of toxic metabolites. Under our license agreement with MEE, we also have the option to develop gene therapies using Anc80 for several additional diseases including lysosomal storage, muscular and genetic metabolic diseases. We plan to develop another product candidate for the treatment of an X-linked metabolic, or XLM, disorder, which is a metabolic disorder similar to ARM disorder. We are pursuing this second indication through collaborations with third parties with preclinical and clinical experience in this area.</w:t>
      </w:r>
    </w:p>
    <w:p>
      <w:pPr>
        <w:spacing w:after="0" w:line="137"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In addition to developing proprietary non-immunogenic therapeutic enzymes and gene therapies, we intend to pursue out-licensing opportunities for select applications of our SVP technology. We believe that our preclinical data may support the potential application of SVP-Rapamycin to both marketed products, such as monoclonal antibodies against human tumor necrosis factor-alpha, or TNF-alpha, which are known to induce undesired immnogenicity, and novel biologic drugs that would otherwise be too immunogenic to develop, such as novel antibody-drug conjugates. We are also applying our SVP technology to the treatment of autoimmune diseases and allergies. Currently, most autoimmune diseases are treated with broadly immunosuppressive therapies that indiscriminately affect the function of the entire immune system. Our SVP technology is designed to re-program the immune system to elicit tolerance to a specific antigen without impacting the rest of the immune system. Since 2012, we have established three collaborations with Sanofi to research novel products for the treatment of a life-threatening food allergy, celiac disease and type 1 diabetes. We intend to continue a strategy of out-licensing our SVP technology for antigen-specific immune tolerance for applications that are outside our areas of focus.</w:t>
      </w:r>
    </w:p>
    <w:p>
      <w:pPr>
        <w:spacing w:after="0" w:line="167" w:lineRule="exact"/>
        <w:rPr>
          <w:sz w:val="20"/>
          <w:szCs w:val="20"/>
          <w:color w:val="auto"/>
        </w:rPr>
      </w:pPr>
    </w:p>
    <w:p>
      <w:pPr>
        <w:ind w:left="7" w:right="160"/>
        <w:spacing w:after="0" w:line="266" w:lineRule="auto"/>
        <w:rPr>
          <w:sz w:val="20"/>
          <w:szCs w:val="20"/>
          <w:color w:val="auto"/>
        </w:rPr>
      </w:pPr>
      <w:r>
        <w:rPr>
          <w:rFonts w:ascii="Arial" w:cs="Arial" w:eastAsia="Arial" w:hAnsi="Arial"/>
          <w:sz w:val="15"/>
          <w:szCs w:val="15"/>
          <w:color w:val="auto"/>
        </w:rPr>
        <w:t>We believe our SVP technology also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These programs use our SVP technology to encapsulate an immune-stimulatory agent in biodegradable nanoparticles in order to stimulate the immune system in response to a specific antigen. We currently finance these programs primarily through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92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Description</w:t>
            </w:r>
          </w:p>
        </w:tc>
        <w:tc>
          <w:tcPr>
            <w:tcW w:w="3060" w:type="dxa"/>
            <w:vAlign w:val="bottom"/>
            <w:tcBorders>
              <w:bottom w:val="single" w:sz="8" w:color="auto"/>
            </w:tcBorders>
          </w:tcPr>
          <w:p>
            <w:pPr>
              <w:ind w:left="1020"/>
              <w:spacing w:after="0"/>
              <w:rPr>
                <w:sz w:val="20"/>
                <w:szCs w:val="20"/>
                <w:color w:val="auto"/>
              </w:rPr>
            </w:pPr>
            <w:r>
              <w:rPr>
                <w:rFonts w:ascii="Arial" w:cs="Arial" w:eastAsia="Arial" w:hAnsi="Arial"/>
                <w:sz w:val="12"/>
                <w:szCs w:val="12"/>
                <w:b w:val="1"/>
                <w:bCs w:val="1"/>
                <w:color w:val="auto"/>
              </w:rPr>
              <w:t>Development status</w:t>
            </w:r>
          </w:p>
        </w:tc>
        <w:tc>
          <w:tcPr>
            <w:tcW w:w="2820" w:type="dxa"/>
            <w:vAlign w:val="bottom"/>
            <w:tcBorders>
              <w:bottom w:val="single" w:sz="8" w:color="auto"/>
            </w:tcBorders>
          </w:tcPr>
          <w:p>
            <w:pPr>
              <w:ind w:left="98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6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307"/>
        </w:trPr>
        <w:tc>
          <w:tcPr>
            <w:tcW w:w="2640" w:type="dxa"/>
            <w:vAlign w:val="bottom"/>
          </w:tcPr>
          <w:p>
            <w:pPr>
              <w:spacing w:after="0"/>
              <w:rPr>
                <w:sz w:val="20"/>
                <w:szCs w:val="20"/>
                <w:color w:val="auto"/>
              </w:rPr>
            </w:pPr>
            <w:r>
              <w:rPr>
                <w:rFonts w:ascii="Arial" w:cs="Arial" w:eastAsia="Arial" w:hAnsi="Arial"/>
                <w:sz w:val="12"/>
                <w:szCs w:val="12"/>
                <w:color w:val="auto"/>
                <w:w w:val="96"/>
              </w:rPr>
              <w:t>Refractory and chronic tophaceous gout (SEL-212)</w:t>
            </w:r>
          </w:p>
        </w:tc>
        <w:tc>
          <w:tcPr>
            <w:tcW w:w="2920" w:type="dxa"/>
            <w:vAlign w:val="bottom"/>
          </w:tcPr>
          <w:p>
            <w:pPr>
              <w:ind w:left="280"/>
              <w:spacing w:after="0"/>
              <w:rPr>
                <w:sz w:val="20"/>
                <w:szCs w:val="20"/>
                <w:color w:val="auto"/>
              </w:rPr>
            </w:pPr>
            <w:r>
              <w:rPr>
                <w:rFonts w:ascii="Arial" w:cs="Arial" w:eastAsia="Arial" w:hAnsi="Arial"/>
                <w:sz w:val="12"/>
                <w:szCs w:val="12"/>
                <w:color w:val="auto"/>
                <w:w w:val="98"/>
              </w:rPr>
              <w:t>SVP-Rapamycin co-administered with pegsiticase</w:t>
            </w:r>
          </w:p>
        </w:tc>
        <w:tc>
          <w:tcPr>
            <w:tcW w:w="3060" w:type="dxa"/>
            <w:vAlign w:val="bottom"/>
          </w:tcPr>
          <w:p>
            <w:pPr>
              <w:ind w:left="300"/>
              <w:spacing w:after="0"/>
              <w:rPr>
                <w:sz w:val="20"/>
                <w:szCs w:val="20"/>
                <w:color w:val="auto"/>
              </w:rPr>
            </w:pPr>
            <w:r>
              <w:rPr>
                <w:rFonts w:ascii="Arial" w:cs="Arial" w:eastAsia="Arial" w:hAnsi="Arial"/>
                <w:sz w:val="12"/>
                <w:szCs w:val="12"/>
                <w:color w:val="auto"/>
              </w:rPr>
              <w:t>Final data from Phase 1a and Phase 1b trials and</w:t>
            </w:r>
          </w:p>
        </w:tc>
        <w:tc>
          <w:tcPr>
            <w:tcW w:w="282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127"/>
        </w:trPr>
        <w:tc>
          <w:tcPr>
            <w:tcW w:w="26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3060" w:type="dxa"/>
            <w:vAlign w:val="bottom"/>
          </w:tcPr>
          <w:p>
            <w:pPr>
              <w:ind w:left="300"/>
              <w:spacing w:after="0" w:line="128" w:lineRule="exact"/>
              <w:rPr>
                <w:sz w:val="20"/>
                <w:szCs w:val="20"/>
                <w:color w:val="auto"/>
              </w:rPr>
            </w:pPr>
            <w:r>
              <w:rPr>
                <w:rFonts w:ascii="Arial" w:cs="Arial" w:eastAsia="Arial" w:hAnsi="Arial"/>
                <w:sz w:val="12"/>
                <w:szCs w:val="12"/>
                <w:color w:val="auto"/>
                <w:w w:val="94"/>
              </w:rPr>
              <w:t>initiation of Phase 2 trial expected in the second half of</w:t>
            </w:r>
          </w:p>
        </w:tc>
        <w:tc>
          <w:tcPr>
            <w:tcW w:w="2820" w:type="dxa"/>
            <w:vAlign w:val="bottom"/>
          </w:tcPr>
          <w:p>
            <w:pPr>
              <w:spacing w:after="0"/>
              <w:rPr>
                <w:sz w:val="11"/>
                <w:szCs w:val="11"/>
                <w:color w:val="auto"/>
              </w:rPr>
            </w:pPr>
          </w:p>
        </w:tc>
      </w:tr>
      <w:tr>
        <w:trPr>
          <w:trHeight w:val="147"/>
        </w:trPr>
        <w:tc>
          <w:tcPr>
            <w:tcW w:w="2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60" w:type="dxa"/>
            <w:vAlign w:val="bottom"/>
          </w:tcPr>
          <w:p>
            <w:pPr>
              <w:ind w:left="300"/>
              <w:spacing w:after="0"/>
              <w:rPr>
                <w:sz w:val="20"/>
                <w:szCs w:val="20"/>
                <w:color w:val="auto"/>
              </w:rPr>
            </w:pPr>
            <w:r>
              <w:rPr>
                <w:rFonts w:ascii="Arial" w:cs="Arial" w:eastAsia="Arial" w:hAnsi="Arial"/>
                <w:sz w:val="12"/>
                <w:szCs w:val="12"/>
                <w:color w:val="auto"/>
              </w:rPr>
              <w:t>2016</w:t>
            </w:r>
          </w:p>
        </w:tc>
        <w:tc>
          <w:tcPr>
            <w:tcW w:w="2820" w:type="dxa"/>
            <w:vAlign w:val="bottom"/>
          </w:tcPr>
          <w:p>
            <w:pPr>
              <w:spacing w:after="0"/>
              <w:rPr>
                <w:sz w:val="12"/>
                <w:szCs w:val="12"/>
                <w:color w:val="auto"/>
              </w:rPr>
            </w:pPr>
          </w:p>
        </w:tc>
      </w:tr>
      <w:tr>
        <w:trPr>
          <w:trHeight w:val="316"/>
        </w:trPr>
        <w:tc>
          <w:tcPr>
            <w:tcW w:w="2640" w:type="dxa"/>
            <w:vAlign w:val="bottom"/>
          </w:tcPr>
          <w:p>
            <w:pPr>
              <w:spacing w:after="0"/>
              <w:rPr>
                <w:sz w:val="20"/>
                <w:szCs w:val="20"/>
                <w:color w:val="auto"/>
              </w:rPr>
            </w:pPr>
            <w:r>
              <w:rPr>
                <w:rFonts w:ascii="Arial" w:cs="Arial" w:eastAsia="Arial" w:hAnsi="Arial"/>
                <w:sz w:val="12"/>
                <w:szCs w:val="12"/>
                <w:color w:val="auto"/>
              </w:rPr>
              <w:t>Gene therapy for an ARM disorder</w:t>
            </w:r>
          </w:p>
        </w:tc>
        <w:tc>
          <w:tcPr>
            <w:tcW w:w="2920" w:type="dxa"/>
            <w:vAlign w:val="bottom"/>
          </w:tcPr>
          <w:p>
            <w:pPr>
              <w:ind w:left="280"/>
              <w:spacing w:after="0"/>
              <w:rPr>
                <w:sz w:val="20"/>
                <w:szCs w:val="20"/>
                <w:color w:val="auto"/>
              </w:rPr>
            </w:pPr>
            <w:r>
              <w:rPr>
                <w:rFonts w:ascii="Arial" w:cs="Arial" w:eastAsia="Arial" w:hAnsi="Arial"/>
                <w:sz w:val="12"/>
                <w:szCs w:val="12"/>
                <w:color w:val="auto"/>
              </w:rPr>
              <w:t>SVP-Rapamycin co-administered with Anc80</w:t>
            </w:r>
          </w:p>
        </w:tc>
        <w:tc>
          <w:tcPr>
            <w:tcW w:w="3060" w:type="dxa"/>
            <w:vAlign w:val="bottom"/>
          </w:tcPr>
          <w:p>
            <w:pPr>
              <w:ind w:left="300"/>
              <w:spacing w:after="0"/>
              <w:rPr>
                <w:sz w:val="20"/>
                <w:szCs w:val="20"/>
                <w:color w:val="auto"/>
              </w:rPr>
            </w:pPr>
            <w:r>
              <w:rPr>
                <w:rFonts w:ascii="Arial" w:cs="Arial" w:eastAsia="Arial" w:hAnsi="Arial"/>
                <w:sz w:val="12"/>
                <w:szCs w:val="12"/>
                <w:color w:val="auto"/>
              </w:rPr>
              <w:t>Investigational New Drug Application, or IND, filing</w:t>
            </w:r>
          </w:p>
        </w:tc>
        <w:tc>
          <w:tcPr>
            <w:tcW w:w="282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147"/>
        </w:trPr>
        <w:tc>
          <w:tcPr>
            <w:tcW w:w="2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60" w:type="dxa"/>
            <w:vAlign w:val="bottom"/>
          </w:tcPr>
          <w:p>
            <w:pPr>
              <w:ind w:left="300"/>
              <w:spacing w:after="0"/>
              <w:rPr>
                <w:sz w:val="20"/>
                <w:szCs w:val="20"/>
                <w:color w:val="auto"/>
              </w:rPr>
            </w:pPr>
            <w:r>
              <w:rPr>
                <w:rFonts w:ascii="Arial" w:cs="Arial" w:eastAsia="Arial" w:hAnsi="Arial"/>
                <w:sz w:val="12"/>
                <w:szCs w:val="12"/>
                <w:color w:val="auto"/>
              </w:rPr>
              <w:t>for first indication expected by the end of 2017</w:t>
            </w:r>
          </w:p>
        </w:tc>
        <w:tc>
          <w:tcPr>
            <w:tcW w:w="2820" w:type="dxa"/>
            <w:vAlign w:val="bottom"/>
          </w:tcPr>
          <w:p>
            <w:pPr>
              <w:spacing w:after="0"/>
              <w:rPr>
                <w:sz w:val="12"/>
                <w:szCs w:val="12"/>
                <w:color w:val="auto"/>
              </w:rPr>
            </w:pPr>
          </w:p>
        </w:tc>
      </w:tr>
      <w:tr>
        <w:trPr>
          <w:trHeight w:val="336"/>
        </w:trPr>
        <w:tc>
          <w:tcPr>
            <w:tcW w:w="2640" w:type="dxa"/>
            <w:vAlign w:val="bottom"/>
          </w:tcPr>
          <w:p>
            <w:pPr>
              <w:spacing w:after="0"/>
              <w:rPr>
                <w:sz w:val="20"/>
                <w:szCs w:val="20"/>
                <w:color w:val="auto"/>
              </w:rPr>
            </w:pPr>
            <w:r>
              <w:rPr>
                <w:rFonts w:ascii="Arial" w:cs="Arial" w:eastAsia="Arial" w:hAnsi="Arial"/>
                <w:sz w:val="12"/>
                <w:szCs w:val="12"/>
                <w:color w:val="auto"/>
              </w:rPr>
              <w:t>Gene therapy for an XLM disorder</w:t>
            </w:r>
          </w:p>
        </w:tc>
        <w:tc>
          <w:tcPr>
            <w:tcW w:w="2920" w:type="dxa"/>
            <w:vAlign w:val="bottom"/>
          </w:tcPr>
          <w:p>
            <w:pPr>
              <w:ind w:left="280"/>
              <w:spacing w:after="0"/>
              <w:rPr>
                <w:sz w:val="20"/>
                <w:szCs w:val="20"/>
                <w:color w:val="auto"/>
              </w:rPr>
            </w:pPr>
            <w:r>
              <w:rPr>
                <w:rFonts w:ascii="Arial" w:cs="Arial" w:eastAsia="Arial" w:hAnsi="Arial"/>
                <w:sz w:val="12"/>
                <w:szCs w:val="12"/>
                <w:color w:val="auto"/>
              </w:rPr>
              <w:t>SVP-Rapamycin co-administered with AAV</w:t>
            </w:r>
          </w:p>
        </w:tc>
        <w:tc>
          <w:tcPr>
            <w:tcW w:w="3060" w:type="dxa"/>
            <w:vAlign w:val="bottom"/>
          </w:tcPr>
          <w:p>
            <w:pPr>
              <w:ind w:left="300"/>
              <w:spacing w:after="0"/>
              <w:rPr>
                <w:sz w:val="20"/>
                <w:szCs w:val="20"/>
                <w:color w:val="auto"/>
              </w:rPr>
            </w:pPr>
            <w:r>
              <w:rPr>
                <w:rFonts w:ascii="Arial" w:cs="Arial" w:eastAsia="Arial" w:hAnsi="Arial"/>
                <w:sz w:val="12"/>
                <w:szCs w:val="12"/>
                <w:color w:val="auto"/>
              </w:rPr>
              <w:t>IND filing for first indication expected in 2018</w:t>
            </w:r>
          </w:p>
        </w:tc>
        <w:tc>
          <w:tcPr>
            <w:tcW w:w="282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336"/>
        </w:trPr>
        <w:tc>
          <w:tcPr>
            <w:tcW w:w="26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88"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tabs>
          <w:tab w:leader="none" w:pos="2900" w:val="left"/>
          <w:tab w:leader="none" w:pos="584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Good laboratory practice, or GLP, toxicology studies</w:t>
      </w:r>
    </w:p>
    <w:p>
      <w:pPr>
        <w:ind w:left="5860"/>
        <w:spacing w:after="0"/>
        <w:rPr>
          <w:sz w:val="20"/>
          <w:szCs w:val="20"/>
          <w:color w:val="auto"/>
        </w:rPr>
      </w:pPr>
      <w:r>
        <w:rPr>
          <w:rFonts w:ascii="Arial" w:cs="Arial" w:eastAsia="Arial" w:hAnsi="Arial"/>
          <w:sz w:val="12"/>
          <w:szCs w:val="12"/>
          <w:color w:val="auto"/>
        </w:rPr>
        <w:t>ongoing</w:t>
      </w:r>
    </w:p>
    <w:p>
      <w:pPr>
        <w:spacing w:after="0" w:line="188" w:lineRule="exact"/>
        <w:rPr>
          <w:sz w:val="20"/>
          <w:szCs w:val="20"/>
          <w:color w:val="auto"/>
        </w:rPr>
      </w:pPr>
    </w:p>
    <w:p>
      <w:pPr>
        <w:spacing w:after="0"/>
        <w:tabs>
          <w:tab w:leader="none" w:pos="2900" w:val="left"/>
          <w:tab w:leader="none" w:pos="5840" w:val="left"/>
        </w:tabs>
        <w:rPr>
          <w:sz w:val="20"/>
          <w:szCs w:val="20"/>
          <w:color w:val="auto"/>
        </w:rPr>
      </w:pPr>
      <w:r>
        <w:rPr>
          <w:rFonts w:ascii="Arial" w:cs="Arial" w:eastAsia="Arial" w:hAnsi="Arial"/>
          <w:sz w:val="12"/>
          <w:szCs w:val="12"/>
          <w:color w:val="auto"/>
        </w:rPr>
        <w:t>HPV-associated cancer (SEL-701)</w:t>
      </w:r>
      <w:r>
        <w:rPr>
          <w:sz w:val="20"/>
          <w:szCs w:val="20"/>
          <w:color w:val="auto"/>
        </w:rPr>
        <w:tab/>
      </w:r>
      <w:r>
        <w:rPr>
          <w:rFonts w:ascii="Arial" w:cs="Arial" w:eastAsia="Arial" w:hAnsi="Arial"/>
          <w:sz w:val="12"/>
          <w:szCs w:val="12"/>
          <w:color w:val="auto"/>
        </w:rPr>
        <w:t>SVP-adjuvant and SVP-HPV antigen</w:t>
      </w:r>
      <w:r>
        <w:rPr>
          <w:sz w:val="20"/>
          <w:szCs w:val="20"/>
          <w:color w:val="auto"/>
        </w:rPr>
        <w:tab/>
      </w:r>
      <w:r>
        <w:rPr>
          <w:rFonts w:ascii="Arial" w:cs="Arial" w:eastAsia="Arial" w:hAnsi="Arial"/>
          <w:sz w:val="10"/>
          <w:szCs w:val="10"/>
          <w:color w:val="auto"/>
        </w:rPr>
        <w:t>Preclinical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491490</wp:posOffset>
            </wp:positionV>
            <wp:extent cx="726630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38" w:lineRule="auto"/>
        <w:rPr>
          <w:sz w:val="20"/>
          <w:szCs w:val="20"/>
          <w:color w:val="auto"/>
        </w:rPr>
      </w:pPr>
      <w:r>
        <w:rPr>
          <w:rFonts w:ascii="Arial" w:cs="Arial" w:eastAsia="Arial" w:hAnsi="Arial"/>
          <w:sz w:val="12"/>
          <w:szCs w:val="12"/>
          <w:color w:val="auto"/>
        </w:rPr>
        <w:t>Own development, with grant from the National Institute on Drug Abuse, or NIDA</w:t>
      </w:r>
    </w:p>
    <w:p>
      <w:pPr>
        <w:spacing w:after="0" w:line="190" w:lineRule="exact"/>
        <w:rPr>
          <w:sz w:val="20"/>
          <w:szCs w:val="20"/>
          <w:color w:val="auto"/>
        </w:rPr>
      </w:pPr>
    </w:p>
    <w:p>
      <w:pPr>
        <w:ind w:right="80"/>
        <w:spacing w:after="0" w:line="230" w:lineRule="auto"/>
        <w:rPr>
          <w:sz w:val="20"/>
          <w:szCs w:val="20"/>
          <w:color w:val="auto"/>
        </w:rPr>
      </w:pPr>
      <w:r>
        <w:rPr>
          <w:rFonts w:ascii="Arial" w:cs="Arial" w:eastAsia="Arial" w:hAnsi="Arial"/>
          <w:sz w:val="12"/>
          <w:szCs w:val="12"/>
          <w:color w:val="auto"/>
        </w:rPr>
        <w:t>Own development, with grant from the Russian-based Development Fund of New Technologies Development and Commercialization Center, or the Skolkovo Foundation</w:t>
      </w:r>
    </w:p>
    <w:p>
      <w:pPr>
        <w:spacing w:after="0" w:line="200" w:lineRule="exact"/>
        <w:rPr>
          <w:sz w:val="20"/>
          <w:szCs w:val="20"/>
          <w:color w:val="auto"/>
        </w:rPr>
      </w:pPr>
    </w:p>
    <w:p>
      <w:pPr>
        <w:sectPr>
          <w:pgSz w:w="11900" w:h="16838" w:orient="portrait"/>
          <w:cols w:equalWidth="0" w:num="2">
            <w:col w:w="8320" w:space="480"/>
            <w:col w:w="2640"/>
          </w:cols>
          <w:pgMar w:left="240" w:top="132" w:right="219" w:bottom="1440" w:gutter="0" w:footer="0" w:header="0"/>
          <w:type w:val="continuous"/>
        </w:sect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180" w:type="dxa"/>
            <w:vAlign w:val="bottom"/>
            <w:tcBorders>
              <w:bottom w:val="single" w:sz="8" w:color="auto"/>
            </w:tcBorders>
          </w:tcPr>
          <w:p>
            <w:pPr>
              <w:ind w:left="1740"/>
              <w:spacing w:after="0"/>
              <w:rPr>
                <w:sz w:val="20"/>
                <w:szCs w:val="20"/>
                <w:color w:val="auto"/>
              </w:rPr>
            </w:pPr>
            <w:r>
              <w:rPr>
                <w:rFonts w:ascii="Arial" w:cs="Arial" w:eastAsia="Arial" w:hAnsi="Arial"/>
                <w:sz w:val="12"/>
                <w:szCs w:val="12"/>
                <w:b w:val="1"/>
                <w:bCs w:val="1"/>
                <w:color w:val="auto"/>
              </w:rPr>
              <w:t>Description</w:t>
            </w:r>
          </w:p>
        </w:tc>
        <w:tc>
          <w:tcPr>
            <w:tcW w:w="296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Development status</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1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327"/>
        </w:trPr>
        <w:tc>
          <w:tcPr>
            <w:tcW w:w="2140" w:type="dxa"/>
            <w:vAlign w:val="bottom"/>
          </w:tcPr>
          <w:p>
            <w:pPr>
              <w:spacing w:after="0"/>
              <w:rPr>
                <w:sz w:val="20"/>
                <w:szCs w:val="20"/>
                <w:color w:val="auto"/>
              </w:rPr>
            </w:pPr>
            <w:r>
              <w:rPr>
                <w:rFonts w:ascii="Arial" w:cs="Arial" w:eastAsia="Arial" w:hAnsi="Arial"/>
                <w:sz w:val="12"/>
                <w:szCs w:val="12"/>
                <w:color w:val="auto"/>
              </w:rPr>
              <w:t>Food allergy</w:t>
            </w:r>
          </w:p>
        </w:tc>
        <w:tc>
          <w:tcPr>
            <w:tcW w:w="3180" w:type="dxa"/>
            <w:vAlign w:val="bottom"/>
          </w:tcPr>
          <w:p>
            <w:pPr>
              <w:ind w:left="780"/>
              <w:spacing w:after="0"/>
              <w:rPr>
                <w:sz w:val="20"/>
                <w:szCs w:val="20"/>
                <w:color w:val="auto"/>
              </w:rPr>
            </w:pPr>
            <w:r>
              <w:rPr>
                <w:rFonts w:ascii="Arial" w:cs="Arial" w:eastAsia="Arial" w:hAnsi="Arial"/>
                <w:sz w:val="12"/>
                <w:szCs w:val="12"/>
                <w:color w:val="auto"/>
              </w:rPr>
              <w:t>SVP-adjuvant and SVP-food allergen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140" w:type="dxa"/>
            <w:vAlign w:val="bottom"/>
          </w:tcPr>
          <w:p>
            <w:pPr>
              <w:spacing w:after="0"/>
              <w:rPr>
                <w:sz w:val="20"/>
                <w:szCs w:val="20"/>
                <w:color w:val="auto"/>
              </w:rPr>
            </w:pPr>
            <w:r>
              <w:rPr>
                <w:rFonts w:ascii="Arial" w:cs="Arial" w:eastAsia="Arial" w:hAnsi="Arial"/>
                <w:sz w:val="12"/>
                <w:szCs w:val="12"/>
                <w:color w:val="auto"/>
              </w:rPr>
              <w:t>Celiac disease</w:t>
            </w:r>
          </w:p>
        </w:tc>
        <w:tc>
          <w:tcPr>
            <w:tcW w:w="3180" w:type="dxa"/>
            <w:vAlign w:val="bottom"/>
          </w:tcPr>
          <w:p>
            <w:pPr>
              <w:ind w:left="780"/>
              <w:spacing w:after="0"/>
              <w:rPr>
                <w:sz w:val="20"/>
                <w:szCs w:val="20"/>
                <w:color w:val="auto"/>
              </w:rPr>
            </w:pPr>
            <w:r>
              <w:rPr>
                <w:rFonts w:ascii="Arial" w:cs="Arial" w:eastAsia="Arial" w:hAnsi="Arial"/>
                <w:sz w:val="12"/>
                <w:szCs w:val="12"/>
                <w:color w:val="auto"/>
              </w:rPr>
              <w:t>SVP-Rapamycin and SVP-gluten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140" w:type="dxa"/>
            <w:vAlign w:val="bottom"/>
          </w:tcPr>
          <w:p>
            <w:pPr>
              <w:spacing w:after="0"/>
              <w:rPr>
                <w:sz w:val="20"/>
                <w:szCs w:val="20"/>
                <w:color w:val="auto"/>
              </w:rPr>
            </w:pPr>
            <w:r>
              <w:rPr>
                <w:rFonts w:ascii="Arial" w:cs="Arial" w:eastAsia="Arial" w:hAnsi="Arial"/>
                <w:sz w:val="12"/>
                <w:szCs w:val="12"/>
                <w:color w:val="auto"/>
              </w:rPr>
              <w:t>Type 1 diabetes</w:t>
            </w:r>
          </w:p>
        </w:tc>
        <w:tc>
          <w:tcPr>
            <w:tcW w:w="3180" w:type="dxa"/>
            <w:vAlign w:val="bottom"/>
          </w:tcPr>
          <w:p>
            <w:pPr>
              <w:ind w:left="780"/>
              <w:spacing w:after="0"/>
              <w:rPr>
                <w:sz w:val="20"/>
                <w:szCs w:val="20"/>
                <w:color w:val="auto"/>
              </w:rPr>
            </w:pPr>
            <w:r>
              <w:rPr>
                <w:rFonts w:ascii="Arial" w:cs="Arial" w:eastAsia="Arial" w:hAnsi="Arial"/>
                <w:sz w:val="12"/>
                <w:szCs w:val="12"/>
                <w:color w:val="auto"/>
              </w:rPr>
              <w:t>SVP-Rapamycin and SVP-insulin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1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16"/>
        </w:trPr>
        <w:tc>
          <w:tcPr>
            <w:tcW w:w="2140" w:type="dxa"/>
            <w:vAlign w:val="bottom"/>
          </w:tcPr>
          <w:p>
            <w:pPr>
              <w:spacing w:after="0"/>
              <w:rPr>
                <w:sz w:val="20"/>
                <w:szCs w:val="20"/>
                <w:color w:val="auto"/>
              </w:rPr>
            </w:pPr>
            <w:r>
              <w:rPr>
                <w:rFonts w:ascii="Arial" w:cs="Arial" w:eastAsia="Arial" w:hAnsi="Arial"/>
                <w:sz w:val="12"/>
                <w:szCs w:val="12"/>
                <w:color w:val="auto"/>
              </w:rPr>
              <w:t>Malaria</w:t>
            </w:r>
          </w:p>
        </w:tc>
        <w:tc>
          <w:tcPr>
            <w:tcW w:w="3180" w:type="dxa"/>
            <w:vAlign w:val="bottom"/>
          </w:tcPr>
          <w:p>
            <w:pPr>
              <w:ind w:left="780"/>
              <w:spacing w:after="0"/>
              <w:rPr>
                <w:sz w:val="20"/>
                <w:szCs w:val="20"/>
                <w:color w:val="auto"/>
              </w:rPr>
            </w:pPr>
            <w:r>
              <w:rPr>
                <w:rFonts w:ascii="Arial" w:cs="Arial" w:eastAsia="Arial" w:hAnsi="Arial"/>
                <w:sz w:val="12"/>
                <w:szCs w:val="12"/>
                <w:color w:val="auto"/>
              </w:rPr>
              <w:t>SVP-adjuvant and SVP-malaria antigen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research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243205</wp:posOffset>
            </wp:positionV>
            <wp:extent cx="726630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jc w:val="both"/>
        <w:ind w:right="120"/>
        <w:spacing w:after="0" w:line="282" w:lineRule="auto"/>
        <w:rPr>
          <w:sz w:val="20"/>
          <w:szCs w:val="20"/>
          <w:color w:val="auto"/>
        </w:rPr>
      </w:pPr>
      <w:r>
        <w:rPr>
          <w:rFonts w:ascii="Arial" w:cs="Arial" w:eastAsia="Arial" w:hAnsi="Arial"/>
          <w:sz w:val="15"/>
          <w:szCs w:val="15"/>
          <w:color w:val="auto"/>
        </w:rPr>
        <w:t>Our goal is to become the first biopharmaceutical company to develop and commercialize targeted therapies that are designed to modulate the immune system to effectively and safely treat rare and serious diseases. In addition, we intend to maximize the value of our SVP technology by collaborating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06" w:name="page107"/>
    <w:bookmarkEnd w:id="106"/>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4"/>
          <w:szCs w:val="14"/>
          <w:color w:val="auto"/>
        </w:rPr>
        <w:t>with biopharmaceutical companies on programs that can benefit from our technology but that are outside our area of focus. The key elements of our strategy include the following.</w:t>
      </w:r>
    </w:p>
    <w:p>
      <w:pPr>
        <w:spacing w:after="0" w:line="221" w:lineRule="exact"/>
        <w:rPr>
          <w:sz w:val="20"/>
          <w:szCs w:val="20"/>
          <w:color w:val="auto"/>
        </w:rPr>
      </w:pPr>
    </w:p>
    <w:p>
      <w:pPr>
        <w:ind w:left="467" w:hanging="467"/>
        <w:spacing w:after="0" w:line="263" w:lineRule="auto"/>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Rapidly advance the development of our lead product candidate, SEL-212, for the treatment of refractory and chronic tophaceous gout. </w:t>
      </w:r>
      <w:r>
        <w:rPr>
          <w:rFonts w:ascii="Arial" w:cs="Arial" w:eastAsia="Arial" w:hAnsi="Arial"/>
          <w:sz w:val="15"/>
          <w:szCs w:val="15"/>
          <w:color w:val="auto"/>
        </w:rPr>
        <w:t>We believe SEL-212 has the potential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the first biologic treatment for gout that durably controls uric acid in refractory gout and dissolves and removes harmful deposits of uric acid crystals in chronic tophaceous gout in a majority of patients. We are currently conducting a comprehensive Phase 1/2 clinical program, comprised of two Phase 1 clinical studies, for which we expect to receive final data in the second half of 2016, and a Phase 2 clinical trial, which we expect to initiate in the second half of 2016 and for which we expect to receive data in the first half of 2017. We plan to advance this program through regulatory approval and commercialization.</w:t>
      </w:r>
    </w:p>
    <w:p>
      <w:pPr>
        <w:spacing w:after="0" w:line="189" w:lineRule="exact"/>
        <w:rPr>
          <w:rFonts w:ascii="Arial" w:cs="Arial" w:eastAsia="Arial" w:hAnsi="Arial"/>
          <w:sz w:val="15"/>
          <w:szCs w:val="15"/>
          <w:color w:val="auto"/>
        </w:rPr>
      </w:pPr>
    </w:p>
    <w:p>
      <w:pPr>
        <w:ind w:left="467" w:right="20" w:hanging="467"/>
        <w:spacing w:after="0" w:line="313" w:lineRule="auto"/>
        <w:tabs>
          <w:tab w:leader="none" w:pos="467"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Leverage our SVP technology for immune tolerance to develop novel uses and classes of non-immunogenic biologics. </w:t>
      </w:r>
      <w:r>
        <w:rPr>
          <w:rFonts w:ascii="Arial" w:cs="Arial" w:eastAsia="Arial" w:hAnsi="Arial"/>
          <w:sz w:val="13"/>
          <w:szCs w:val="13"/>
          <w:color w:val="auto"/>
        </w:rPr>
        <w:t>We intend to use our SVP technology to develop gene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therapies designed to mitigate the formation of ADAs and therefore enable repeat administration and first-in-class non-immunogenic versions of therapeutic enzymes or proteins for human therapy. We have several programs in various stages of discovery and we plan to continue to identify opportunities. In addition, we intend to pursue opportunities to in-license proprietary enzymes that we can co-administer with our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48" w:lineRule="exact"/>
        <w:rPr>
          <w:rFonts w:ascii="Arial" w:cs="Arial" w:eastAsia="Arial" w:hAnsi="Arial"/>
          <w:sz w:val="13"/>
          <w:szCs w:val="13"/>
          <w:color w:val="auto"/>
        </w:rPr>
      </w:pPr>
    </w:p>
    <w:p>
      <w:pPr>
        <w:ind w:left="467" w:hanging="467"/>
        <w:spacing w:after="0" w:line="290" w:lineRule="auto"/>
        <w:tabs>
          <w:tab w:leader="none" w:pos="467"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Establish infrastructure and capabilities to commercialize our products in rare and orphan diseases. </w:t>
      </w:r>
      <w:r>
        <w:rPr>
          <w:rFonts w:ascii="Arial" w:cs="Arial" w:eastAsia="Arial" w:hAnsi="Arial"/>
          <w:sz w:val="14"/>
          <w:szCs w:val="14"/>
          <w:color w:val="auto"/>
        </w:rPr>
        <w:t>While we believe our SVP technology may be broadly applicable across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disease areas, we intend to focus our proprietary efforts on developing and commercializing proprietary SVP-enabled products for rare and serious diseases where there is high unmet medical need. Therapies for treating these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59" w:lineRule="exact"/>
        <w:rPr>
          <w:rFonts w:ascii="Arial" w:cs="Arial" w:eastAsia="Arial" w:hAnsi="Arial"/>
          <w:sz w:val="14"/>
          <w:szCs w:val="14"/>
          <w:color w:val="auto"/>
        </w:rPr>
      </w:pPr>
    </w:p>
    <w:p>
      <w:pPr>
        <w:ind w:left="467" w:right="60" w:hanging="467"/>
        <w:spacing w:after="0" w:line="297" w:lineRule="auto"/>
        <w:tabs>
          <w:tab w:leader="none" w:pos="467"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Selectively pursue collaborations and maximize the value of our SVP programs for immune tolerance. </w:t>
      </w:r>
      <w:r>
        <w:rPr>
          <w:rFonts w:ascii="Arial" w:cs="Arial" w:eastAsia="Arial" w:hAnsi="Arial"/>
          <w:sz w:val="14"/>
          <w:szCs w:val="14"/>
          <w:color w:val="auto"/>
        </w:rPr>
        <w:t>In addition to our own proprietary product development efforts, we are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discussions with potential collaborators and licensees to pursue novel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66" w:lineRule="exact"/>
        <w:rPr>
          <w:rFonts w:ascii="Arial" w:cs="Arial" w:eastAsia="Arial" w:hAnsi="Arial"/>
          <w:sz w:val="14"/>
          <w:szCs w:val="14"/>
          <w:color w:val="auto"/>
        </w:rPr>
      </w:pPr>
    </w:p>
    <w:p>
      <w:pPr>
        <w:ind w:left="467" w:right="80" w:hanging="467"/>
        <w:spacing w:after="0" w:line="313" w:lineRule="auto"/>
        <w:tabs>
          <w:tab w:leader="none" w:pos="467"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 system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prevention on our own with grant funding from the Skolkovo Foundation for our HPV program and from the National Institute for Drug Abuse for our nicotine program. We are developing our malaria program under a sponsored research arrangement with The Bill and Melinda Gates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6630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07" w:name="page108"/>
    <w:bookmarkEnd w:id="10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OF THE HUMAN IMMUNE SYSTEM</w:t>
      </w:r>
    </w:p>
    <w:p>
      <w:pPr>
        <w:spacing w:after="0" w:line="1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169"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99060</wp:posOffset>
            </wp:positionV>
            <wp:extent cx="3272790" cy="1941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72790" cy="194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 Antigen Presentation and Related Tolerogenic or Stimulatory Immune Response</w:t>
      </w:r>
    </w:p>
    <w:p>
      <w:pPr>
        <w:spacing w:after="0" w:line="177"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There are a number of diseases that occur when the immune system mounts an undesired response to an innocuous foreign antigen or a self-antigen. For example, food allergy occurs when the immune system mounts an immune response to innocuous food particles. Another example of undesired immunogenicity occurs when the immune system is exposed to a biologic treatment, recognizes it as a foreign antigen and instructs the body to mount a defense by forming ADAs to the antigen,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8" w:name="page109"/>
    <w:bookmarkEnd w:id="10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number of therapies have been developed to modulate an immune response. These therapies fall into two categories:</w:t>
      </w:r>
    </w:p>
    <w:p>
      <w:pPr>
        <w:spacing w:after="0" w:line="210" w:lineRule="exact"/>
        <w:rPr>
          <w:sz w:val="20"/>
          <w:szCs w:val="20"/>
          <w:color w:val="auto"/>
        </w:rPr>
      </w:pPr>
    </w:p>
    <w:p>
      <w:pPr>
        <w:ind w:left="467" w:right="220" w:hanging="467"/>
        <w:spacing w:after="0" w:line="266" w:lineRule="auto"/>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 xml:space="preserve">Immunosuppressive therapies. </w:t>
      </w:r>
      <w:r>
        <w:rPr>
          <w:rFonts w:ascii="Arial" w:cs="Arial" w:eastAsia="Arial" w:hAnsi="Arial"/>
          <w:sz w:val="15"/>
          <w:szCs w:val="15"/>
          <w:color w:val="auto"/>
        </w:rPr>
        <w:t>Immunosuppressive therapies are designed to suppress the immune system and inhibit an undesired immune response. However, many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therapies are not antigen-specific and, as a result, broadly suppress the immune system leading to undesired side effects that include opportunistic infections, skin cancer and lymphomas. We believe there is an opportunity to develop therapies that instruct the immune system to remain tolerant to a specific antigen and thereby avoid off-target effects of systemic immunosuppression.</w:t>
      </w:r>
    </w:p>
    <w:p>
      <w:pPr>
        <w:spacing w:after="0" w:line="185" w:lineRule="exact"/>
        <w:rPr>
          <w:rFonts w:ascii="Arial" w:cs="Arial" w:eastAsia="Arial" w:hAnsi="Arial"/>
          <w:sz w:val="15"/>
          <w:szCs w:val="15"/>
          <w:color w:val="auto"/>
        </w:rPr>
      </w:pPr>
    </w:p>
    <w:p>
      <w:pPr>
        <w:ind w:left="467" w:hanging="467"/>
        <w:spacing w:after="0" w:line="290" w:lineRule="auto"/>
        <w:tabs>
          <w:tab w:leader="none" w:pos="467" w:val="left"/>
        </w:tabs>
        <w:numPr>
          <w:ilvl w:val="0"/>
          <w:numId w:val="71"/>
        </w:numPr>
        <w:rPr>
          <w:rFonts w:ascii="Arial" w:cs="Arial" w:eastAsia="Arial" w:hAnsi="Arial"/>
          <w:sz w:val="14"/>
          <w:szCs w:val="14"/>
          <w:color w:val="auto"/>
        </w:rPr>
      </w:pPr>
      <w:r>
        <w:rPr>
          <w:rFonts w:ascii="Arial" w:cs="Arial" w:eastAsia="Arial" w:hAnsi="Arial"/>
          <w:sz w:val="14"/>
          <w:szCs w:val="14"/>
          <w:i w:val="1"/>
          <w:iCs w:val="1"/>
          <w:color w:val="auto"/>
        </w:rPr>
        <w:t xml:space="preserve">Immunostimulatory therapies. </w:t>
      </w:r>
      <w:r>
        <w:rPr>
          <w:rFonts w:ascii="Arial" w:cs="Arial" w:eastAsia="Arial" w:hAnsi="Arial"/>
          <w:sz w:val="14"/>
          <w:szCs w:val="14"/>
          <w:color w:val="auto"/>
        </w:rPr>
        <w:t>Immunostimulatory therapies are designed to stimulate the immune system to prevent or treat infections and cancers. The most common class of</w:t>
      </w:r>
      <w:r>
        <w:rPr>
          <w:rFonts w:ascii="Arial" w:cs="Arial" w:eastAsia="Arial" w:hAnsi="Arial"/>
          <w:sz w:val="14"/>
          <w:szCs w:val="14"/>
          <w:i w:val="1"/>
          <w:iCs w:val="1"/>
          <w:color w:val="auto"/>
        </w:rPr>
        <w:t xml:space="preserve"> </w:t>
      </w:r>
      <w:r>
        <w:rPr>
          <w:rFonts w:ascii="Arial" w:cs="Arial" w:eastAsia="Arial" w:hAnsi="Arial"/>
          <w:sz w:val="14"/>
          <w:szCs w:val="14"/>
          <w:color w:val="auto"/>
        </w:rPr>
        <w:t>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7" w:right="80"/>
        <w:spacing w:after="0" w:line="282" w:lineRule="auto"/>
        <w:rPr>
          <w:sz w:val="20"/>
          <w:szCs w:val="20"/>
          <w:color w:val="auto"/>
        </w:rPr>
      </w:pPr>
      <w:r>
        <w:rPr>
          <w:rFonts w:ascii="Arial" w:cs="Arial" w:eastAsia="Arial" w:hAnsi="Arial"/>
          <w:sz w:val="14"/>
          <w:szCs w:val="14"/>
          <w:color w:val="auto"/>
        </w:rPr>
        <w:t>Our proprietary SVP technology encapsulates an immunomodulator in biodegradable particles to selectively modulate an immune response in an antigen-specific manner. Our SVP technology is based in part on the pioneering research performed by our co-founders at Harvard University, Massachusetts Institute of Technology, or MIT, and Brigham and Women's Hospital, or Brigham. In connection with our company's founding, we licensed 17 patent families related to certain aspects of our SVP technology as applied to nanoparticles for use in vaccines from our co-founders' institutions pursuant to an agreement with MIT, the party that administers licensing arrangements with respect to patents jointly 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SVP technology, which we have exclusively in-licensed with respect to therapeutic or prophylactic vaccine products or processes. We have aggressively sought to extend and protect the proprietary intellectual property underlying the composition and use of SVP for antigen-specific immunomodulation.</w:t>
      </w:r>
    </w:p>
    <w:p>
      <w:pPr>
        <w:spacing w:after="0" w:line="154" w:lineRule="exact"/>
        <w:rPr>
          <w:sz w:val="20"/>
          <w:szCs w:val="20"/>
          <w:color w:val="auto"/>
        </w:rPr>
      </w:pPr>
    </w:p>
    <w:p>
      <w:pPr>
        <w:ind w:left="7" w:right="2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62" w:lineRule="exact"/>
        <w:rPr>
          <w:sz w:val="20"/>
          <w:szCs w:val="20"/>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antigen-specific immune tolerance for gene therapy involving gene augmentation, replacement or editing;</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treatment of a life-threatening food allergy, celiac disease and type 1 diabetes under a collaboration with Sanofi;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09" w:name="page110"/>
    <w:bookmarkEnd w:id="10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260"/>
        <w:spacing w:after="0" w:line="362" w:lineRule="auto"/>
        <w:rPr>
          <w:sz w:val="20"/>
          <w:szCs w:val="20"/>
          <w:color w:val="auto"/>
        </w:rPr>
      </w:pPr>
      <w:r>
        <w:rPr>
          <w:rFonts w:ascii="Arial" w:cs="Arial" w:eastAsia="Arial" w:hAnsi="Arial"/>
          <w:sz w:val="13"/>
          <w:szCs w:val="13"/>
          <w:color w:val="auto"/>
        </w:rPr>
        <w:t>are designed to be processed by specialized immune cells, such as dendritic cells and other antigen-presenting cells that initiate and regulate immune responses, where they deliver the antigen and immunomodulator in a coordinated and targeted manner. Depending on the type of immunomodulator encapsulated in the SVP, our technology is designed to induce either a:</w:t>
      </w:r>
    </w:p>
    <w:p>
      <w:pPr>
        <w:spacing w:after="0" w:line="117" w:lineRule="exact"/>
        <w:rPr>
          <w:sz w:val="20"/>
          <w:szCs w:val="20"/>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tolerogenic response to mitigate the formation of ADAs against a biologic drug or treat allergies and autoimmune diseases;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Figure 2 below depicts the process by which SVP communicates with the immune system to induce either a tolerogenic or antigen-specific stimulatory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130175</wp:posOffset>
            </wp:positionV>
            <wp:extent cx="4530090" cy="22796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530090" cy="227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 How SVP Communicate with the Immune System</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ANTIGEN-SPECIFIC TOLERANCE PROGRAM</w:t>
      </w:r>
    </w:p>
    <w:p>
      <w:pPr>
        <w:spacing w:after="0" w:line="195" w:lineRule="exact"/>
        <w:rPr>
          <w:sz w:val="20"/>
          <w:szCs w:val="20"/>
          <w:color w:val="auto"/>
        </w:rPr>
      </w:pPr>
    </w:p>
    <w:p>
      <w:pPr>
        <w:ind w:left="7" w:right="240"/>
        <w:spacing w:after="0" w:line="270"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To induce immune tolerance in the body, we co-administer our SVP-Rapamycin with a free antigen, such as a biologic drug, which is depicted in Figure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0" w:name="page111"/>
    <w:bookmarkEnd w:id="11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15887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0910"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3. Co-Administration of SVP-Rapamycin with a Biologic Drug</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SVP-Rapamycin is co-administered at the beginning of therapy with a biologic drug to mitigate the formation of ADAs without altering the drug or its dose regimen. As a result, we believe our SVP-Rapamycin may provide us with significant growth opportunities in the areas of immune tolerance because SVP-Rapamycin can be co-administered at the beginning of therapy with many different biologic drugs. Importantly, each pairing of SVP-Rapamycin with a biologic drug also offers us the opportunity to pursue another proprietary product candidate, which can be separately patented, approved and marketed. SVP-Rapamycin is manufactured under cGMP using well-defined commercial operations, which, we believe, further enhances the scalability of our tolerance programs.</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 xml:space="preserve">During preclinical studies, we observed that delivering an antigen together with SVP-Rapamycin provided the appropriate signals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to induce regulatory T cells, which, in turn, inhibited effector immune responses, such as the formation of ADAs. In our preclinical studies, we observed that SVP-Rapamycin labeled with a fluorescent dye selectively accumulated in lymphoid organs where it was processed by antigen-presenting cells. Figure 4 below depicts a model of how SVP-Rapamycin would enter a lymph node and be taken up by a dendritic cell. We believe that when delivered in the context of our SVP-Rapamycin, both the biologic drug and SVP-Rapamycin are taken up and processed by dendritic cells in a manner that induces regulatory T cells, which can block the activation of helper T cells,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11" w:name="page112"/>
    <w:bookmarkEnd w:id="11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30816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091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4. SVP-Rapamycin and Antigen/Biologic Drug Presentation and Related Immune Tolerance Induction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Limitations of existing therapies</w:t>
      </w:r>
    </w:p>
    <w:p>
      <w:pPr>
        <w:spacing w:after="0" w:line="195"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All biologics, even those comprised of human protein sequences, have the potential to induce ADAs. Whether a biologic drug elicits an ADA response depends on both product-specific factors, such as propensity to form aggregates, route of administration and mechanism of action, as well as patient-specific factors, such as genetics, underlying disease and medications. Many enzyme and protein replacement therapies used in the treatment of rare and serious diseases have a particularly high rate of immunogenicity because patients are genetically deficient in the target protein and, as a result, the therapeutic protein can be recognized as foreign.</w:t>
      </w:r>
    </w:p>
    <w:p>
      <w:pPr>
        <w:spacing w:after="0" w:line="162"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The induction of ADAs can lead to neutralization of efficacy, modification of pharmacokinetics and pharmacodynamics as well as allergic responses. Immunogenicity is a significant hurdle for the development of safe and effective biologic treatments and has become a key concern for regulators, as evidenced by over 100 approved biologics that describe immunogenicity in their labels or clinical literature. We believe that immunogenicity is a leading cause of treatment failure for patients and product development failure for biopharmaceutical companies. As depicted in Figure 5 below:</w:t>
      </w:r>
    </w:p>
    <w:p>
      <w:pPr>
        <w:spacing w:after="0" w:line="173" w:lineRule="exact"/>
        <w:rPr>
          <w:sz w:val="20"/>
          <w:szCs w:val="20"/>
          <w:color w:val="auto"/>
        </w:rPr>
      </w:pPr>
    </w:p>
    <w:p>
      <w:pPr>
        <w:ind w:left="467" w:right="220" w:hanging="467"/>
        <w:spacing w:after="0" w:line="282" w:lineRule="auto"/>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for 36 currently marketed biologics, over 20% of the patients receiving the biologic are affected by immunogenicity, including Factor VIII products for hemophilia such as Advate and therapeutics with fully human protein sequences such as Humira, a human TNF-alpha antibody;</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promising novel biologics, such as recombinant erythropoetin and IgA protease, were abandoned during clinical or preclinical development due to immunogenicity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26630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2" w:name="page113"/>
    <w:bookmarkEnd w:id="112"/>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3" w:lineRule="exact"/>
        <w:rPr>
          <w:sz w:val="20"/>
          <w:szCs w:val="20"/>
          <w:color w:val="auto"/>
        </w:rPr>
      </w:pPr>
    </w:p>
    <w:p>
      <w:pPr>
        <w:ind w:left="467" w:right="140" w:hanging="467"/>
        <w:spacing w:after="0" w:line="282" w:lineRule="auto"/>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improved versions of biologics that are in the same pharmaceutical class as immunogenic marketed biologics, including pegsiticase, long-acting coagulation Factor VII and certain antibody drug conjugates, are affected by immunogenicity;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novel platform technologies, such as gene therapy and gene editing, are fundamentally restricted by immunogenicity.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12700</wp:posOffset>
            </wp:positionV>
            <wp:extent cx="5030470" cy="33978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030470" cy="339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5. ADA Mitigation Platform Opportunities</w:t>
      </w:r>
    </w:p>
    <w:p>
      <w:pPr>
        <w:spacing w:after="0" w:line="177"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Undesired immunogenicity represents a significant hurdle that can affect the clinical development of new biologic platforms. For example, in gene therapy, viral vectors are required to transport the genetic material into cells. The viral origin of these vectors explains their immunogenicity, which has led drug developers to limit applications to situations where the required frequency and site of administration are conducive to manageable immune responses.</w:t>
      </w:r>
    </w:p>
    <w:p>
      <w:pPr>
        <w:spacing w:after="0" w:line="159" w:lineRule="exact"/>
        <w:rPr>
          <w:sz w:val="20"/>
          <w:szCs w:val="20"/>
          <w:color w:val="auto"/>
        </w:rPr>
      </w:pPr>
    </w:p>
    <w:p>
      <w:pPr>
        <w:ind w:left="7" w:right="340"/>
        <w:spacing w:after="0" w:line="270" w:lineRule="auto"/>
        <w:rPr>
          <w:sz w:val="20"/>
          <w:szCs w:val="20"/>
          <w:color w:val="auto"/>
        </w:rPr>
      </w:pPr>
      <w:r>
        <w:rPr>
          <w:rFonts w:ascii="Arial" w:cs="Arial" w:eastAsia="Arial" w:hAnsi="Arial"/>
          <w:sz w:val="15"/>
          <w:szCs w:val="15"/>
          <w:color w:val="auto"/>
        </w:rPr>
        <w:t>Treatment and product development failure resulting from undesired immunogenicity has been recognized by regulators and patient advocacy organizations. Recently, the FDA and the National Organization for Rare Disorders, or NORD, co-sponsored a workshop on undesired immune responses to enzyme replacement therapies and called on the biopharmaceutical industry to take a more proactive approach to addressing immunogenicity to biologics.</w:t>
      </w:r>
    </w:p>
    <w:p>
      <w:pPr>
        <w:spacing w:after="0" w:line="15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13" w:name="page114"/>
    <w:bookmarkEnd w:id="113"/>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removal of immunogenic epitopes. However, these approaches are limited in their effectiveness. Physicians may try to address the issue of undesired immune responses by increasing the dose of the biologic, which can be prohibitively expensive, or in life-threatening situations by using general immunosuppressive combination therapies. We believe that our tolerogenic SVP technology could offer an entirely new and effective treatment alternative for undesired immune responses, including with respect to the formation of ADAs, but potentially also for autoimmune diseases and allergies.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tolerance preclinical studies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conducted several preclinical studies that we believe demonstrate the efficacy of our SVP technology in inducing immune tolerance.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Transfer of immune tolerance from mice treated with SVP-Rapamycin</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 xml:space="preserve">In a preclinical study, we observed that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administration of SVP resulted in induction of regulatory T cells, which, in turn inhibited effector immune responses. The objective of this study was to evaluate the ability to transfer tolerance from a tolerized animal to a naïve animal, a hallmark of tolerance induction. As depicted in Figure 6 below, we injected donor mice with two injections of either:</w:t>
      </w:r>
    </w:p>
    <w:p>
      <w:pPr>
        <w:spacing w:after="0" w:line="171" w:lineRule="exact"/>
        <w:rPr>
          <w:sz w:val="20"/>
          <w:szCs w:val="20"/>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an empty nanoparticle, or Empty Nanoparticle, as indicated in blue;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a nanoparticle encapsulating rapamycin, or NP-Rapamycin, and administered without antigen, as indicated in red;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6"/>
        </w:numPr>
        <w:rPr>
          <w:rFonts w:ascii="Arial" w:cs="Arial" w:eastAsia="Arial" w:hAnsi="Arial"/>
          <w:sz w:val="13"/>
          <w:szCs w:val="13"/>
          <w:color w:val="auto"/>
        </w:rPr>
      </w:pPr>
      <w:r>
        <w:rPr>
          <w:rFonts w:ascii="Arial" w:cs="Arial" w:eastAsia="Arial" w:hAnsi="Arial"/>
          <w:sz w:val="13"/>
          <w:szCs w:val="13"/>
          <w:color w:val="auto"/>
        </w:rPr>
        <w:t>SVP-Rapamycin encapsulating a peptide sequence from proteolipoprotein, or PLP, a myelin antigen associated with multiple sclerosis, or SVP-Rapamycin.PLP, as indicated in green.</w:t>
      </w:r>
    </w:p>
    <w:p>
      <w:pPr>
        <w:spacing w:after="0" w:line="221" w:lineRule="exact"/>
        <w:rPr>
          <w:sz w:val="20"/>
          <w:szCs w:val="20"/>
          <w:color w:val="auto"/>
        </w:rPr>
      </w:pPr>
    </w:p>
    <w:p>
      <w:pPr>
        <w:ind w:left="7"/>
        <w:spacing w:after="0" w:line="306" w:lineRule="auto"/>
        <w:rPr>
          <w:sz w:val="20"/>
          <w:szCs w:val="20"/>
          <w:color w:val="auto"/>
        </w:rPr>
      </w:pPr>
      <w:r>
        <w:rPr>
          <w:rFonts w:ascii="Arial" w:cs="Arial" w:eastAsia="Arial" w:hAnsi="Arial"/>
          <w:sz w:val="13"/>
          <w:szCs w:val="13"/>
          <w:color w:val="auto"/>
        </w:rPr>
        <w:t xml:space="preserve">Two weeks after the second injection, cells from the spleens of the mice were harvested and expanded </w:t>
      </w:r>
      <w:r>
        <w:rPr>
          <w:rFonts w:ascii="Arial" w:cs="Arial" w:eastAsia="Arial" w:hAnsi="Arial"/>
          <w:sz w:val="13"/>
          <w:szCs w:val="13"/>
          <w:i w:val="1"/>
          <w:iCs w:val="1"/>
          <w:color w:val="auto"/>
        </w:rPr>
        <w:t>in vitro</w:t>
      </w:r>
      <w:r>
        <w:rPr>
          <w:rFonts w:ascii="Arial" w:cs="Arial" w:eastAsia="Arial" w:hAnsi="Arial"/>
          <w:sz w:val="13"/>
          <w:szCs w:val="13"/>
          <w:color w:val="auto"/>
        </w:rPr>
        <w:t>. These immune cells were then transferred into naïve recipient mice. The next day, all recipient mice were immunized with the PLP peptide in complete Freund's adjuvant, or CFA, a potent immune stimulating adjuvant, to induce experimental autoimmune encephalomyelitis, or EAE, a model of multiple sclerosis. As indicated by the increase in the mean clinical score for multiple sclerosis in Figure 6 below, the untreated control mice that were immunized but received no transferred cells developed EAE approximately ten days after immunization with PLP and CFA, as reflected in black in Figure 6 below. The mice receiving immune cells transferred from donor mice treated with either Empty Nanoparticle or NP-Rapamycin, as indicated in blue and red in Figure 6 below, respectively, also developed EAE approximately ten days after immunization. In contrast, mice that received immune cells transferred from donor mice treated with SVP-Rapamycin.PLP did not develop EAE during the course of the trial, as indicated in green in Figure 6 below. We believe that these results indicate that the SVP-Rapamycin treatment induces a population of antigen-specific regulatory cells that mediate immune tolerance, as evidenced by the ability of transferred cells to confer protection from disease to naïve animals, reflecting a hallmark of immune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630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4" w:name="page115"/>
    <w:bookmarkEnd w:id="114"/>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3191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0910" cy="319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6. Preclinical Study: Transfer of Immune Tolerance from Mice Treated with SVP-Rapamycin to Naive Mice</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Immune tolerance induction with SVP-Rapamycin</w:t>
      </w:r>
    </w:p>
    <w:p>
      <w:pPr>
        <w:spacing w:after="0" w:line="195"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We conducted a preclinical study to test whether the encapsulation of rapamycin in SVP was necessary for immune tolerance induction by comparing weekly doses of SVP-Rapamycin with daily doses of free unencapsulated rapamycin. Our preclinical data indicated that SVP-Rapamycin, but not free unencapsulated rapamycin, induced antigen-specific tolerance that was resistant to subsequent challenges with the antigen alone. As depicted in Figure 7 below, study mice were separated into three groups during the course of a 21-day treatment period:</w:t>
      </w:r>
    </w:p>
    <w:p>
      <w:pPr>
        <w:spacing w:after="0" w:line="136" w:lineRule="exact"/>
        <w:rPr>
          <w:sz w:val="20"/>
          <w:szCs w:val="20"/>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first group, referred to as the Delayed Immunization Group indicated in black, was not treated with anything during the treatment period;</w:t>
      </w:r>
    </w:p>
    <w:p>
      <w:pPr>
        <w:spacing w:after="0" w:line="221" w:lineRule="exact"/>
        <w:rPr>
          <w:rFonts w:ascii="Arial" w:cs="Arial" w:eastAsia="Arial" w:hAnsi="Arial"/>
          <w:sz w:val="15"/>
          <w:szCs w:val="15"/>
          <w:color w:val="auto"/>
        </w:rPr>
      </w:pPr>
    </w:p>
    <w:p>
      <w:pPr>
        <w:ind w:left="467" w:right="60" w:hanging="467"/>
        <w:spacing w:after="0" w:line="282"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second group, referred to as the Daily Free Rapamycin Group indicated in red, was treated with doses of free unencapsulated rapamycin five days per week and weekly doses of the highly immunogenic antigen keyhole limpet hemocyanin, or KLH;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third group, referred to as the SVP-Rapamycin Group indicated in green, received three weekly doses of SVP-Rapamycin combined with KLH.</w:t>
      </w:r>
    </w:p>
    <w:p>
      <w:pPr>
        <w:spacing w:after="0" w:line="198" w:lineRule="exact"/>
        <w:rPr>
          <w:sz w:val="20"/>
          <w:szCs w:val="20"/>
          <w:color w:val="auto"/>
        </w:rPr>
      </w:pPr>
    </w:p>
    <w:p>
      <w:pPr>
        <w:ind w:left="7" w:right="40"/>
        <w:spacing w:after="0" w:line="290" w:lineRule="auto"/>
        <w:rPr>
          <w:sz w:val="20"/>
          <w:szCs w:val="20"/>
          <w:color w:val="auto"/>
        </w:rPr>
      </w:pPr>
      <w:r>
        <w:rPr>
          <w:rFonts w:ascii="Arial" w:cs="Arial" w:eastAsia="Arial" w:hAnsi="Arial"/>
          <w:sz w:val="14"/>
          <w:szCs w:val="14"/>
          <w:color w:val="auto"/>
        </w:rPr>
        <w:t>Following the treatment period, all of the mice were then challenged with three weekly injections of KLH alone to assess the durability of immune tolerance. As depicted in Figure 7 below, the mice in both the SVP-Rapamycin Group and Daily Free Rapamycin Group showed inhibition of the KLH-specific ADA responses after the treatment phase of the trial. However, only the SVP-Rapamycin Group maintained immune tolerance after the challenge phase. We believe that these results indicate that SVP-Rapamycin induced a population of regulatory T cells that maintained tolerance to challenge with antigen alone, whereas the administration of daily free rapamycin did not. Notably, the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15" w:name="page116"/>
    <w:bookmarkEnd w:id="115"/>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Free Rapamycin Group was administered free unencapsulated rapamycin at five times the dose of SVP-Rapamycin administered to the SVP-Rapamycin Group during the course of the treatment period, yet we observed that this treatment induced only transient immunosuppression during the treatment phase but not durable immune tolerance during the challenge phase. We believe that the difference between the durable immune tolerance observed in the SVP-Rapamycin Group and the transient immunosuppression observed in the Daily Free Rapamycin Group was attributable to the ability of our SVP technology to specifically deliver the tolerogenic instructions, in the form of the encapsulated rapamycin, directly to the antigen-presenting dendritic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110490</wp:posOffset>
            </wp:positionV>
            <wp:extent cx="5030470" cy="24123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030470" cy="241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7. Preclinical Study: Immune Tolerance Induction with SVP-Rapamycin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Inhibition of KLH-Specific ADA response by SVP-Rapamycin in nonhuman primates</w:t>
      </w:r>
    </w:p>
    <w:p>
      <w:pPr>
        <w:spacing w:after="0" w:line="195" w:lineRule="exact"/>
        <w:rPr>
          <w:sz w:val="20"/>
          <w:szCs w:val="20"/>
          <w:color w:val="auto"/>
        </w:rPr>
      </w:pPr>
    </w:p>
    <w:p>
      <w:pPr>
        <w:ind w:left="7" w:right="400"/>
        <w:spacing w:after="0" w:line="282" w:lineRule="auto"/>
        <w:rPr>
          <w:sz w:val="20"/>
          <w:szCs w:val="20"/>
          <w:color w:val="auto"/>
        </w:rPr>
      </w:pPr>
      <w:r>
        <w:rPr>
          <w:rFonts w:ascii="Arial" w:cs="Arial" w:eastAsia="Arial" w:hAnsi="Arial"/>
          <w:sz w:val="15"/>
          <w:szCs w:val="15"/>
          <w:color w:val="auto"/>
        </w:rPr>
        <w:t>In a preclinical study, we also observed that our SVP technology inhibited antibody responses to KLH in nonhuman primates. As depicted in Figure 7 below, during a 56-day treatment period, nonhuman primates were administered five biweekly intravenous doses of KLH combined with either:</w:t>
      </w:r>
    </w:p>
    <w:p>
      <w:pPr>
        <w:spacing w:after="0" w:line="162" w:lineRule="exact"/>
        <w:rPr>
          <w:sz w:val="20"/>
          <w:szCs w:val="20"/>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 empty nanoparticle,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SVP-Rapamycin, referred to as the SVP-Rapamycin Group and indicated in green.</w:t>
      </w:r>
    </w:p>
    <w:p>
      <w:pPr>
        <w:spacing w:after="0" w:line="198" w:lineRule="exact"/>
        <w:rPr>
          <w:sz w:val="20"/>
          <w:szCs w:val="20"/>
          <w:color w:val="auto"/>
        </w:rPr>
      </w:pPr>
    </w:p>
    <w:p>
      <w:pPr>
        <w:jc w:val="both"/>
        <w:ind w:left="7" w:right="60"/>
        <w:spacing w:after="0" w:line="270" w:lineRule="auto"/>
        <w:rPr>
          <w:sz w:val="20"/>
          <w:szCs w:val="20"/>
          <w:color w:val="auto"/>
        </w:rPr>
      </w:pPr>
      <w:r>
        <w:rPr>
          <w:rFonts w:ascii="Arial" w:cs="Arial" w:eastAsia="Arial" w:hAnsi="Arial"/>
          <w:sz w:val="15"/>
          <w:szCs w:val="15"/>
          <w:color w:val="auto"/>
        </w:rPr>
        <w:t>After the treatment period, there was a challenge phase in which the nonhuman primates were administered three doses of KLH alone on days 70, 84 and 98. As indicated in Figure 8 below, the animals in the SVP-Rapamycin Group, which were injected with KLH combined with SVP-Rapamycin, mounted no or a much lower immune response as indicated by the lack of KLH-specific ADAs. In comparison, we observed high levels of KLH-specific ADAs in the Empty Nanoparticle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6" w:name="page117"/>
    <w:bookmarkEnd w:id="116"/>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7724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0910" cy="277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8. Preclinical Study: Inhibition of KLH-Specific ADA Response by SVP-Rapamycin in Nonhuman Primates</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PROGRAMS TO INDUCE ANTIGEN-SPECIFIC TOLERANCE</w:t>
      </w:r>
    </w:p>
    <w:p>
      <w:pPr>
        <w:spacing w:after="0" w:line="195"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We believe our SVP technology to induce antigen-specific tolerance has a broad range of applications. We are currently pursuing targeted product development strategies for four discrete applications in which we believe SVP products could be highly differentiated.</w:t>
      </w:r>
    </w:p>
    <w:p>
      <w:pPr>
        <w:spacing w:after="0" w:line="162" w:lineRule="exact"/>
        <w:rPr>
          <w:sz w:val="20"/>
          <w:szCs w:val="20"/>
          <w:color w:val="auto"/>
        </w:rPr>
      </w:pPr>
    </w:p>
    <w:p>
      <w:pPr>
        <w:ind w:left="467" w:hanging="467"/>
        <w:spacing w:after="0" w:line="284" w:lineRule="auto"/>
        <w:tabs>
          <w:tab w:leader="none" w:pos="467"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Therapeutic enzymes</w:t>
      </w:r>
      <w:r>
        <w:rPr>
          <w:rFonts w:ascii="Arial" w:cs="Arial" w:eastAsia="Arial" w:hAnsi="Arial"/>
          <w:sz w:val="14"/>
          <w:szCs w:val="14"/>
          <w:color w:val="auto"/>
        </w:rPr>
        <w:t>. Therapeutic enzymes are a frequently used class of biologic drugs to treat rare diseases. Through our analysis of biologic drugs, including our preclinical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studies, we have observed that enzymes are especially prone to undesired immune responses. Our lead product candidate, SEL-212, includes pegsiticase, a pegylated uricase enzyme, which is an example of an immunogenic enzyme for which we are applying SVP-Rapamycin with the intention of improving the enzyme's efficacy and safety. Other examples of immunogenic enzymes include acid alpha-glucosidase for the treatment of Pompe disease, alpha galactosidase A for the treatment of Fabry's disease and microbial enzymes such as asparaginase for the treatment of cancers. We intend to seek opportunities to secure supply of and, if appropriate, licenses to, these or other enzymes that we would pair with SVP-Rapamycin to enhance their efficacy, safety and use in their treatment of diseases.</w:t>
      </w:r>
    </w:p>
    <w:p>
      <w:pPr>
        <w:spacing w:after="0" w:line="177" w:lineRule="exact"/>
        <w:rPr>
          <w:rFonts w:ascii="Arial" w:cs="Arial" w:eastAsia="Arial" w:hAnsi="Arial"/>
          <w:sz w:val="14"/>
          <w:szCs w:val="14"/>
          <w:color w:val="auto"/>
        </w:rPr>
      </w:pPr>
    </w:p>
    <w:p>
      <w:pPr>
        <w:ind w:left="467" w:right="80" w:hanging="467"/>
        <w:spacing w:after="0" w:line="284" w:lineRule="auto"/>
        <w:tabs>
          <w:tab w:leader="none" w:pos="467"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Gene therapies</w:t>
      </w:r>
      <w:r>
        <w:rPr>
          <w:rFonts w:ascii="Arial" w:cs="Arial" w:eastAsia="Arial" w:hAnsi="Arial"/>
          <w:sz w:val="14"/>
          <w:szCs w:val="14"/>
          <w:color w:val="auto"/>
        </w:rPr>
        <w:t>. We believe gene therapies have the potential to address key unmet medical needs for many rare genetic diseases, but that undesired immune responses to the viral</w:t>
      </w:r>
      <w:r>
        <w:rPr>
          <w:rFonts w:ascii="Arial" w:cs="Arial" w:eastAsia="Arial" w:hAnsi="Arial"/>
          <w:sz w:val="14"/>
          <w:szCs w:val="14"/>
          <w:i w:val="1"/>
          <w:iCs w:val="1"/>
          <w:color w:val="auto"/>
        </w:rPr>
        <w:t xml:space="preserve"> </w:t>
      </w:r>
      <w:r>
        <w:rPr>
          <w:rFonts w:ascii="Arial" w:cs="Arial" w:eastAsia="Arial" w:hAnsi="Arial"/>
          <w:sz w:val="14"/>
          <w:szCs w:val="14"/>
          <w:color w:val="auto"/>
        </w:rPr>
        <w:t>vectors used for gene replacement, augmentation and editing may be restricting their broader use. Through our analysis of genetic diseases, we have identified applications and patient segments that we believe would benefit from our SVP technology. We intend to develop proprietary SVP-Rapamycin-enabled non-immunogenic gene therapies with viral vectors such as the Anc80 vector that we have licensed from MEE. We believe our product candidates have the potential to solve the problem of pre-existing immunogenicity to the gene therapy vector by using a novel engineered gene therapy vector, Anc80, and to prevent undesired immune responses to the vector and transgene that can occur with the first dose of gene therapy by using our SVP technology. Our initial areas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17" w:name="page118"/>
    <w:bookmarkEnd w:id="117"/>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467" w:right="60"/>
        <w:spacing w:after="0" w:line="266" w:lineRule="auto"/>
        <w:rPr>
          <w:sz w:val="20"/>
          <w:szCs w:val="20"/>
          <w:color w:val="auto"/>
        </w:rPr>
      </w:pPr>
      <w:r>
        <w:rPr>
          <w:rFonts w:ascii="Arial" w:cs="Arial" w:eastAsia="Arial" w:hAnsi="Arial"/>
          <w:sz w:val="15"/>
          <w:szCs w:val="15"/>
          <w:color w:val="auto"/>
        </w:rPr>
        <w:t>include lysosomal storage, genetic muscular and genetic metabolic diseases. Our proprietary gene therapy programs are focused on the use of vectors that have documented efficiency in delivery of the transgene in nonhuman primates such as Anc80. We believe we are the first company to systematically pursue the development of gene therapy products in combination with an immunotherapy with the goal of enabling repeat administration of the gene therapy. We have engaged third parties with experience in gene therapy and rare diseases to support the development of our proprietary products.</w:t>
      </w:r>
    </w:p>
    <w:p>
      <w:pPr>
        <w:spacing w:after="0" w:line="173" w:lineRule="exact"/>
        <w:rPr>
          <w:sz w:val="20"/>
          <w:szCs w:val="20"/>
          <w:color w:val="auto"/>
        </w:rPr>
      </w:pPr>
    </w:p>
    <w:p>
      <w:pPr>
        <w:ind w:left="467" w:right="20" w:hanging="467"/>
        <w:spacing w:after="0" w:line="313" w:lineRule="auto"/>
        <w:tabs>
          <w:tab w:leader="none" w:pos="467" w:val="left"/>
        </w:tabs>
        <w:numPr>
          <w:ilvl w:val="0"/>
          <w:numId w:val="80"/>
        </w:numPr>
        <w:rPr>
          <w:rFonts w:ascii="Arial" w:cs="Arial" w:eastAsia="Arial" w:hAnsi="Arial"/>
          <w:sz w:val="13"/>
          <w:szCs w:val="13"/>
          <w:color w:val="auto"/>
        </w:rPr>
      </w:pPr>
      <w:r>
        <w:rPr>
          <w:rFonts w:ascii="Arial" w:cs="Arial" w:eastAsia="Arial" w:hAnsi="Arial"/>
          <w:sz w:val="13"/>
          <w:szCs w:val="13"/>
          <w:i w:val="1"/>
          <w:iCs w:val="1"/>
          <w:color w:val="auto"/>
        </w:rPr>
        <w:t>Other products and product candidates affected by undesired immune responses</w:t>
      </w:r>
      <w:r>
        <w:rPr>
          <w:rFonts w:ascii="Arial" w:cs="Arial" w:eastAsia="Arial" w:hAnsi="Arial"/>
          <w:sz w:val="13"/>
          <w:szCs w:val="13"/>
          <w:color w:val="auto"/>
        </w:rPr>
        <w:t>. We have generated preclinical data demonstrating the breadth of the SVP program for immune</w:t>
      </w:r>
      <w:r>
        <w:rPr>
          <w:rFonts w:ascii="Arial" w:cs="Arial" w:eastAsia="Arial" w:hAnsi="Arial"/>
          <w:sz w:val="13"/>
          <w:szCs w:val="13"/>
          <w:i w:val="1"/>
          <w:iCs w:val="1"/>
          <w:color w:val="auto"/>
        </w:rPr>
        <w:t xml:space="preserve"> </w:t>
      </w:r>
      <w:r>
        <w:rPr>
          <w:rFonts w:ascii="Arial" w:cs="Arial" w:eastAsia="Arial" w:hAnsi="Arial"/>
          <w:sz w:val="13"/>
          <w:szCs w:val="13"/>
          <w:color w:val="auto"/>
        </w:rPr>
        <w:t>tolerance. For many biologic drugs, undesired immune responses limit efficacy and cause safety concerns. This includes TNF-alpha-specific monoclonal antibodies for the treatment of rheumatoid arthritis and coagulation factor replacement therapies for the treatment of hemophilia. We intend to out-license SVP-Rapamycin technology for use with other products that are outside our focus to larger biopharmaceutical companies. We believe our SVP technology may also be of interest to biopharmaceutical companies with biologic product candidates in clinical development that have demonstrated initial efficacy but are experiencing issues with safety or sustained efficacy due to inhibitory ADAs.</w:t>
      </w:r>
    </w:p>
    <w:p>
      <w:pPr>
        <w:spacing w:after="0" w:line="160" w:lineRule="exact"/>
        <w:rPr>
          <w:rFonts w:ascii="Arial" w:cs="Arial" w:eastAsia="Arial" w:hAnsi="Arial"/>
          <w:sz w:val="13"/>
          <w:szCs w:val="13"/>
          <w:color w:val="auto"/>
        </w:rPr>
      </w:pPr>
    </w:p>
    <w:p>
      <w:pPr>
        <w:ind w:left="467" w:right="140" w:hanging="467"/>
        <w:spacing w:after="0" w:line="313" w:lineRule="auto"/>
        <w:tabs>
          <w:tab w:leader="none" w:pos="467" w:val="left"/>
        </w:tabs>
        <w:numPr>
          <w:ilvl w:val="0"/>
          <w:numId w:val="80"/>
        </w:numPr>
        <w:rPr>
          <w:rFonts w:ascii="Arial" w:cs="Arial" w:eastAsia="Arial" w:hAnsi="Arial"/>
          <w:sz w:val="13"/>
          <w:szCs w:val="13"/>
          <w:color w:val="auto"/>
        </w:rPr>
      </w:pPr>
      <w:r>
        <w:rPr>
          <w:rFonts w:ascii="Arial" w:cs="Arial" w:eastAsia="Arial" w:hAnsi="Arial"/>
          <w:sz w:val="13"/>
          <w:szCs w:val="13"/>
          <w:i w:val="1"/>
          <w:iCs w:val="1"/>
          <w:color w:val="auto"/>
        </w:rPr>
        <w:t>Allergies and autoimmune diseases</w:t>
      </w:r>
      <w:r>
        <w:rPr>
          <w:rFonts w:ascii="Arial" w:cs="Arial" w:eastAsia="Arial" w:hAnsi="Arial"/>
          <w:sz w:val="13"/>
          <w:szCs w:val="13"/>
          <w:color w:val="auto"/>
        </w:rPr>
        <w:t>. In addition to the formation of ADAs, undesired immunogenicity can take the form of allergies when the immune system reacts to allergens</w:t>
      </w:r>
      <w:r>
        <w:rPr>
          <w:rFonts w:ascii="Arial" w:cs="Arial" w:eastAsia="Arial" w:hAnsi="Arial"/>
          <w:sz w:val="13"/>
          <w:szCs w:val="13"/>
          <w:i w:val="1"/>
          <w:iCs w:val="1"/>
          <w:color w:val="auto"/>
        </w:rPr>
        <w:t xml:space="preserve"> </w:t>
      </w:r>
      <w:r>
        <w:rPr>
          <w:rFonts w:ascii="Arial" w:cs="Arial" w:eastAsia="Arial" w:hAnsi="Arial"/>
          <w:sz w:val="13"/>
          <w:szCs w:val="13"/>
          <w:color w:val="auto"/>
        </w:rPr>
        <w:t>such as food and pollen, or autoimmune diseases when the immune system attacks the body's own proteins. We have three collaborations with Sanofi to advance our SVP programs in the area of allergies and autoimmune disease. As part of one of the collaborations, the Juvenile Diabetes Research Foundation and Sanofi have also awarded us with a grant to support the development of our SVP technology in the area of autoimmune disease by providing expertise and financial resources. Our SVP program in the area of allergies and autoimmune disease focuses on expanding our related product pipeline based on these collaborations and other out-licensing arrangements.</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SEL-212 is our proprietary product candidate for the treatment of refractory and chronic tophaceous gout. SEL-212 consists of SVP-Rapamycin co-administered with pegsiticase, a pegylated uricase. We believe that our SEL-212 has the potential to offer a uniquely effective treatment for patients with refractory or chronic tophaceous gout, while also demonstrating the clinical effectiveness of our SVP technology. Pegylated uricase, in the form of the approved drug Krystexxa, has demonstrated the ability to significantly reduce uric acid levels and dissolve the harmful uric acid crystals that are the manifestations of gout upon initial treatment in naïve patients. However, Krystexxa has not achieved broad commercial adoption, which we believe is primarily due to an undesired immune response that significant restricts clinical use. Based on our preclinical studies, we believe that by leveraging our SVP technology to induce durable immune tolerance of our pegylated uricase, pegsiticase, SEL-212 may potentially overcome this undesired immune response and optimize pegsiticase's effectiveness in controlling uric acid levels and, as a result, enable the effective dissolution and removal of uric acid crystals.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The market for gout therapy</w:t>
      </w:r>
    </w:p>
    <w:p>
      <w:pPr>
        <w:spacing w:after="0" w:line="195"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Gout is a painful and potentially disabling form of arthritis resulting from excess accumulation of uric acid and deposition of uric acid crystals in joints and soft tissues, including those of the kidney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8" w:name="page119"/>
    <w:bookmarkEnd w:id="11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heart, causing harmful inflammation. Gout is caused by an overproduction of uric acid, a natural byproduct of purine metabolism that is produced after consumption of food with high levels of purines such as seafood, meat, yeast and certain vegetables, or an inability of the kidneys to excrete adequate amounts of uric acid from the body. High concentrations of serum uric acid lead to formation of insoluble uric acid crystals in joints and tissues, causing pain, inflammation and joint damage, and increase the risk for other conditions, including cardiovascular, cardiometabolic, joint and kidney disease.</w:t>
      </w:r>
    </w:p>
    <w:p>
      <w:pPr>
        <w:spacing w:after="0" w:line="162"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There are approximately 8.3 million and 10 million gout sufferers in the United States and the European Union, respectively. The first line of treatments for gout are allopurinol and febuxostat. Both drugs are xanthine oxidase inhibitors, oral drugs that reduce the synthesis of uric acid. Lesinurad and probenecid are oral gout drugs that increase the rate of excretion of uric acid through the kidneys, and are used almost exclusively in combination with these first line treatments. While both of these treatments are designed to prevent the formation of uric acid deposits, neither of these treatments effectively reduces existing uric acid deposits in joints and tissues. Additionally, neither of these first line treatments individually or in combination with lesinurad and probenecid are indicated for refractory or chronic tophaceous gout.</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estimate that approximately 50,000 patients in the United States suffer from chronic refractory gout, an orphan indication defined by uric acid levels that cannot be controlled by available oral therapies. Krystexxa, an injectable pegylated uricase enzyme, is indicated for the treatment of chronic refractory gout. In clinical trials, Krystexxa demonstrated the ability to rapidly reduce uric acid levels upon initial dosing. However, despite these clinical results, Krystexxa has not achieved broad commercial adoption. Because uricase is an enzyme foreign to humans, we believe this is primarily due to an undesired immune response. The package insert information for Krystexxa indicates that 92% of patients develop ADAs, 26% experience infusion site reactions and 6.5% experience anaphylaxis, a life-threatening allergic reaction typically involving itchy rash, throat swelling and low blood pressure. The package insert information also indicates that during the drug's clinical trials, high Krystexxa-specific ADA titer in patients was associated with a failure to maintain normalization of uric acid levels. Similarly, in 2011, The Journal of the American Medical Association published the results of clinical trials finding that 58% of Krystexxa patients who received biweekly doses of Krystexxa were non-responders with loss of efficacy starting as early as two weeks after treatment.</w:t>
      </w:r>
    </w:p>
    <w:p>
      <w:pPr>
        <w:spacing w:after="0" w:line="154" w:lineRule="exact"/>
        <w:rPr>
          <w:sz w:val="20"/>
          <w:szCs w:val="20"/>
          <w:color w:val="auto"/>
        </w:rPr>
      </w:pPr>
    </w:p>
    <w:p>
      <w:pPr>
        <w:jc w:val="both"/>
        <w:ind w:right="80"/>
        <w:spacing w:after="0" w:line="290" w:lineRule="auto"/>
        <w:rPr>
          <w:sz w:val="20"/>
          <w:szCs w:val="20"/>
          <w:color w:val="auto"/>
        </w:rPr>
      </w:pPr>
      <w:r>
        <w:rPr>
          <w:rFonts w:ascii="Arial" w:cs="Arial" w:eastAsia="Arial" w:hAnsi="Arial"/>
          <w:sz w:val="14"/>
          <w:szCs w:val="14"/>
          <w:color w:val="auto"/>
        </w:rPr>
        <w:t>Gout is a spectrum of disease with the traditional diagnosis being the extraction of monosodium urate crystals with joint fluid or uric acid crystals from a visible tophus. Additionally, high concentrations of serum uric acid increase the risk of co-morbidities, including cardiovascular, cardiometabolic, joint and kidney disease. Patients who are unable to reduce their serum uric acids levels below 6 mg/dl with oral drugs are diagnosed with refractory gout. Patients who have uric acid deposits, or tophi, in soft tissues, joints, the urinary tract, the digestive tract or the heart and a persistently elevated uric acid level when left untreated are diagnosed with chronic tophaceous gout. Tophi are a source of inflammation and pain.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Figure 9 below illustrates the association between gout and diseases of the heart, vascular system, metabolic process, kidney and joints.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9" w:name="page120"/>
    <w:bookmarkEnd w:id="11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33902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0910" cy="339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9. Co-Morbidities Associated with Gout</w:t>
      </w:r>
    </w:p>
    <w:p>
      <w:pPr>
        <w:spacing w:after="0" w:line="177"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Approximately 500,000 patients in the United States suffer from chronic tophaceous gout. There is no approved drug for this patient group that resolves tophi, although clinical studies have indicated that Krystexxa is effective in clearing uric acid deposits in patients that do not develop inhibitory levels of ADAs. We believe that oral gout drugs cannot effectively remove tophi from joints and tissue due to their limited ability to affect existing uric acid deposits.</w:t>
      </w:r>
    </w:p>
    <w:p>
      <w:pPr>
        <w:spacing w:after="0" w:line="159" w:lineRule="exact"/>
        <w:rPr>
          <w:sz w:val="20"/>
          <w:szCs w:val="20"/>
          <w:color w:val="auto"/>
        </w:rPr>
      </w:pPr>
    </w:p>
    <w:p>
      <w:pPr>
        <w:jc w:val="both"/>
        <w:ind w:right="100"/>
        <w:spacing w:after="0" w:line="319" w:lineRule="auto"/>
        <w:rPr>
          <w:sz w:val="20"/>
          <w:szCs w:val="20"/>
          <w:color w:val="auto"/>
        </w:rPr>
      </w:pPr>
      <w:r>
        <w:rPr>
          <w:rFonts w:ascii="Arial" w:cs="Arial" w:eastAsia="Arial" w:hAnsi="Arial"/>
          <w:sz w:val="14"/>
          <w:szCs w:val="14"/>
          <w:color w:val="auto"/>
        </w:rPr>
        <w:t>Based on our preclinical studies, our Phase 1b clinical data and market research, we believe that SEL-212 may potentially address two key unmet needs in the treatment of gout, the durable control of serum uric acid levels in patients with chronic refractory gout and removal of painful and damaging uric acid deposits for patients with chronic tophaceous gout.</w:t>
      </w:r>
    </w:p>
    <w:p>
      <w:pPr>
        <w:spacing w:after="0" w:line="128"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Our product development strategy is designed to address these unmet medical needs while improving the dosing regimen compared to Krystexxa. We plan to initially seek regulatory approval for the treatment of refractory gout by demonstrating reduction of serum uric acid levels below the FDA-approved endpoint and clinical guideline of 6 mg/dl. We plan to conduct a clinical program to support a label extension for the treatment of patients with chronic tophaceous gout. During our market research, physicians expressed their preference for monthly dosing as well as for a subcutaneous route of administration. In response to this preference, we intend to develop SEL-212 as a monthly treatment and offer a subcutaneous formulation following the initial launch of the intravenous dosage form, if approved. We believe that Krystexxa has been developed as a bi-weekly intravenous-only formulation to avoid additional immunogenicity anticipated from a higher dose that would be required by a monthly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0" w:name="page121"/>
    <w:bookmarkEnd w:id="12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We believe that SEL-212 is ideally suited for patients diagnosed with chronic tophaceous gout. If approved, our strategy is to position SEL-212 as an induction therapy for gout that would remove harmful uric acid deposits over five monthly doses on average and allow patients to switch to oral gout maintenance therapy with xanthine oxidase inhibitors unless and until such patients experience a subsequent manifestation of uric acid deposits at which time a new course of SEL-212 would be required. We do not believe that oral therapy would completely prevent the build-up over time of uric acid crystals in patients with a history of chronic tophaceous gout. As a result, we anticipate that SEL-212 induction treatment, if approved, would be required intermittently in such patients. We believe that, in contrast to Krystexxa, SEL-212 induction treatment may be effective in removing harmful uric acid deposits in most patients with chronic tophaceous gout over multiple cycles of treatment. Figure 10 below depicts this positioning strategy as a sample diagram illustrating what we believe to be a shift in the treatment paradigm for chronic tophaceous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112395</wp:posOffset>
            </wp:positionV>
            <wp:extent cx="4728845" cy="29857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28845" cy="298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10. Sample Treatment Course for Chronic Tophaceous Gout.</w:t>
      </w:r>
    </w:p>
    <w:p>
      <w:pPr>
        <w:spacing w:after="0" w:line="17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We expect our clinical and marketing strategy for SEL-212 to initially focus on the estimated 160,000 patients in the United States diagnosed with refractory or chronic tophaceous gout being treated by rheumatologists, as well as approximately the same estimated number of patients in Europe. We believe that for these patients who are already being treated by rheumatologists and diagnosed with chronic tophaceous gout, the need for a new treatment is the highest. If SEL-212 is approved, we expect our strategy for marketing SEL-212 to rheumatologists will be to promote a switch from oral therapies to SEL-212 for patients with serum uric acid levels chronically above 6 mg/dl and diagnosed with chronic tophaceous gout. We intend to leverage imaging technologies recently recommended by the guideline writing associations for rheumatology, including the American College of Rheumatology and the European League Against Rheumatism. In particular, dual energy computed tomography can visualize uric acid deposits in joints and tissues as depicted in Figure 11 below in green and has the potential to become an important tool to manage chronic tophaceous gout and to visualize the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1" w:name="page122"/>
    <w:bookmarkEnd w:id="12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of SEL-212. We believe dual energy computed tomography imaging use could increase the market for SEL-212 by increasing the rate of diagnosis of chronic tophaceous gout.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11. Tophi / Uric Acid Deposits (shown in green) Visualized Using Dual Energy Computed Tomography Imaging</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SEL-212 components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Our SEL-212 consists of SVP-Rapamycin co-administered with pegsiticase. Our SVP-Rapamycin consists of nanoparticles composed of poly(D,L-lactide), or PLA, and poly(D,L-lactide)-block-poly(ethylene-glycol), or PLA-PEG, encapsulating rapamycin. Our pegsiticase consists of a uricase modified with poly(ethylene-glycol), or PEG. The components of SEL-212 are depicted in Figure 12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105410</wp:posOffset>
            </wp:positionV>
            <wp:extent cx="3971290" cy="12649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971290" cy="126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12. Components of SEL-212</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Our pegsiticase is a pegylated version of the therapeutic enzyme uricase, which we have licensed from Shenyang Sunshine Pharmaceutical Co., Ltd., or 3SBio, exclusively for all markets, except Japan and Greater China, and exclusively for Japan only in combination with our SVP Platform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 Unlike other gout drugs, uricase is highly effective in lowering existing high uric acid levels within the first few hours of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2" w:name="page123"/>
    <w:bookmarkEnd w:id="122"/>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SVP-Rapamycin is our biodegradable nanoparticle that encapsulates the tolerance-inducing immunomodulator rapamycin, also referred to as sirolimus. Rapamycin is the active ingredient of Rapamune, an immunosuppressant which has extensive prior use in humans and is currently FDA-approved for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SVP-Rapamycin co-administered at the initiation of treatment with a biologic drug induced antigen-specific immune tolerance to the biologic drug, substantially reducing the formation of associated ADAs.</w:t>
      </w:r>
    </w:p>
    <w:p>
      <w:pPr>
        <w:spacing w:after="0" w:line="167"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As depicted in Figure 13 below, SEL-212 is designed as a treatment course consisting of three doses of SVP-Rapamycin co-administered with pegsiticase followed by two doses of pegsiticase alone, with each dose administered every two to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100330</wp:posOffset>
            </wp:positionV>
            <wp:extent cx="4508500" cy="9048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508500" cy="90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13. SEL-212 Treatment Course</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have executed a comprehensive preclinical program of SEL-212 in uricase deficient mice and wild type mice, rats and nonhuman primates to evaluate efficacy, dose regimens and safety.</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uricase-deficient mice</w:t>
      </w:r>
    </w:p>
    <w:p>
      <w:pPr>
        <w:spacing w:after="0" w:line="198"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We conducted a pharmacology study in mice that were genetically deficient in endogenous uricase. The study evaluated the efficacy of a dose regimen consisting of three immunizations with SEL-212 followed by doses of pegsiticase alone in preventing the formation of ADAs to pegsiticase. The treatment period consisted of the first 14 days of the study. In the study, mice were separated into three treatment groups. As depicted in Figure 14 below, during the treatment period:</w:t>
      </w:r>
    </w:p>
    <w:p>
      <w:pPr>
        <w:spacing w:after="0" w:line="171" w:lineRule="exact"/>
        <w:rPr>
          <w:sz w:val="20"/>
          <w:szCs w:val="20"/>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first group, referred to as the Untreated Group and indicated in black, received no treatment;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second group, referred to as the Pegsiticase Group and indicated in red, was treated with pegsiticase alone;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third group, referred to as the SVP-Rapamycin + Pegsiticase Group and indicated in green, was treated with SVP-Rapamycin co-administered with pegsiticase.</w:t>
      </w:r>
    </w:p>
    <w:p>
      <w:pPr>
        <w:spacing w:after="0" w:line="198" w:lineRule="exact"/>
        <w:rPr>
          <w:sz w:val="20"/>
          <w:szCs w:val="20"/>
          <w:color w:val="auto"/>
        </w:rPr>
      </w:pPr>
    </w:p>
    <w:p>
      <w:pPr>
        <w:ind w:left="7"/>
        <w:spacing w:after="0" w:line="297" w:lineRule="auto"/>
        <w:rPr>
          <w:sz w:val="20"/>
          <w:szCs w:val="20"/>
          <w:color w:val="auto"/>
        </w:rPr>
      </w:pPr>
      <w:r>
        <w:rPr>
          <w:rFonts w:ascii="Arial" w:cs="Arial" w:eastAsia="Arial" w:hAnsi="Arial"/>
          <w:sz w:val="14"/>
          <w:szCs w:val="14"/>
          <w:color w:val="auto"/>
        </w:rPr>
        <w:t>The Pegsiticase Group and SVP-Rapamycin + Pegsiticase Group were treated on days zero, seven and 14 of the treatment period. Each group was then treated with pegsiticase alone on days 35 and 42 of the study, or the challenge period. Uricase-specific ADA levels were recorded to determine the formation of ADAs to pegsiticase. Uric acid levels were measured to determine effectiveness of SVP-Rapamycin co-administered with pegsiticase in lowering uric acid levels below 6 mg/dl, which is the treatment target for gout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23" w:name="page124"/>
    <w:bookmarkEnd w:id="123"/>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6181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0910" cy="261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14. Preclinical Study: Proof-of-Concept in Uricase-Deficient Mice</w:t>
      </w:r>
    </w:p>
    <w:p>
      <w:pPr>
        <w:spacing w:after="0" w:line="177"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i w:val="1"/>
          <w:iCs w:val="1"/>
          <w:color w:val="auto"/>
        </w:rPr>
        <w:t xml:space="preserve">Antibody formation. </w:t>
      </w:r>
      <w:r>
        <w:rPr>
          <w:rFonts w:ascii="Arial" w:cs="Arial" w:eastAsia="Arial" w:hAnsi="Arial"/>
          <w:sz w:val="15"/>
          <w:szCs w:val="15"/>
          <w:color w:val="auto"/>
        </w:rPr>
        <w:t>The Pegsiticase Group developed uricase-specific ADAs when exposed to pegsiticase during the treatment period. The Untreated Group also developed uricase-specific ADAs as soon as they were challenged with pegsiticase. Despite exposure to pegsiticase during both the treatment and challenge periods, the SVP-Rapamycin + Pegsiticase Group did not develop uricase-specific ADAs during either period.</w:t>
      </w:r>
    </w:p>
    <w:p>
      <w:pPr>
        <w:spacing w:after="0" w:line="159"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After initial exposure to pegsiticase, the Untreated Group maintained high uric acid levels of approximately 10 mg/dl. The Pegsiticase Group recorded uric acid levels</w:t>
      </w:r>
      <w:r>
        <w:rPr>
          <w:rFonts w:ascii="Arial" w:cs="Arial" w:eastAsia="Arial" w:hAnsi="Arial"/>
          <w:sz w:val="15"/>
          <w:szCs w:val="15"/>
          <w:i w:val="1"/>
          <w:iCs w:val="1"/>
          <w:color w:val="auto"/>
        </w:rPr>
        <w:t xml:space="preserve"> </w:t>
      </w:r>
      <w:r>
        <w:rPr>
          <w:rFonts w:ascii="Arial" w:cs="Arial" w:eastAsia="Arial" w:hAnsi="Arial"/>
          <w:sz w:val="15"/>
          <w:szCs w:val="15"/>
          <w:color w:val="auto"/>
        </w:rPr>
        <w:t>below 6 mg/dl after the first dose in the treatment period. However, during subsequent doses in the treatment period and challenge period, uric acid levels returned to levels well in excess of 6 mg/dl. In contrast, the SVP-Rapamycin + Pegsiticase Group maintained uric acid levels that were close to zero throughout the study.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nonhuman primates</w:t>
      </w:r>
    </w:p>
    <w:p>
      <w:pPr>
        <w:spacing w:after="0" w:line="198"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We also conducted a preclinical study to evaluate the ability of SVP-Rapamycin to mitigate the formation of uricase-specific ADAs in nonhuman primates. As depicted in Figure 15 below, during the study we either:</w:t>
      </w:r>
    </w:p>
    <w:p>
      <w:pPr>
        <w:spacing w:after="0" w:line="162" w:lineRule="exact"/>
        <w:rPr>
          <w:sz w:val="20"/>
          <w:szCs w:val="20"/>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administered pegsiticase alone, referred to as the Empty Nanoparticle Group and indicated in blue; or</w:t>
      </w:r>
    </w:p>
    <w:p>
      <w:pPr>
        <w:spacing w:after="0" w:line="221" w:lineRule="exact"/>
        <w:rPr>
          <w:rFonts w:ascii="Arial" w:cs="Arial" w:eastAsia="Arial" w:hAnsi="Arial"/>
          <w:sz w:val="15"/>
          <w:szCs w:val="15"/>
          <w:color w:val="auto"/>
        </w:rPr>
      </w:pPr>
    </w:p>
    <w:p>
      <w:pPr>
        <w:ind w:left="467" w:right="260" w:hanging="467"/>
        <w:spacing w:after="0" w:line="270" w:lineRule="auto"/>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co-administered pegsiticase with one of two dose levels of SVP-Rapamycin, referred to as the SVP-Rapamycin 0.1X and SVP-Rapamycin 1X Groups and indicated in purple and green, respectively. The SVP-Rapamycin 0.1X Group received a dose level of SVP-Rapamycin of 0.3 mg/kg and the SVP-Rapamycin 1X Group received a dose level of SVP-Rapamycin of 3 mg/kg.</w:t>
      </w:r>
    </w:p>
    <w:p>
      <w:pPr>
        <w:spacing w:after="0" w:line="159"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The Empty Nanoparticle Group received three monthly doses of pegsiticase and each of the SVP-Rapamycin 0.1X Group and SVP-Rapamycin 1X Group received three monthly doses of pegsiticase co-administered with SVP-Rapamycin. All groups then received two monthly doses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4" w:name="page125"/>
    <w:bookmarkEnd w:id="12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pegsiticase alone. The SVP-Rapamycin 0.1X Group received one-tenth of the dose administered in the SVP-Rapamycin 1X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130175</wp:posOffset>
            </wp:positionV>
            <wp:extent cx="3971290" cy="2963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971290" cy="296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15. Preclinical Study: Proof-of-Concept in Nonhuman Primates</w:t>
      </w:r>
    </w:p>
    <w:p>
      <w:pPr>
        <w:spacing w:after="0" w:line="177" w:lineRule="exact"/>
        <w:rPr>
          <w:sz w:val="20"/>
          <w:szCs w:val="20"/>
          <w:color w:val="auto"/>
        </w:rPr>
      </w:pPr>
    </w:p>
    <w:p>
      <w:pPr>
        <w:jc w:val="both"/>
        <w:ind w:right="100"/>
        <w:spacing w:after="0" w:line="297" w:lineRule="auto"/>
        <w:rPr>
          <w:sz w:val="20"/>
          <w:szCs w:val="20"/>
          <w:color w:val="auto"/>
        </w:rPr>
      </w:pPr>
      <w:r>
        <w:rPr>
          <w:rFonts w:ascii="Arial" w:cs="Arial" w:eastAsia="Arial" w:hAnsi="Arial"/>
          <w:sz w:val="14"/>
          <w:szCs w:val="14"/>
          <w:i w:val="1"/>
          <w:iCs w:val="1"/>
          <w:color w:val="auto"/>
        </w:rPr>
        <w:t xml:space="preserve">Antibody formation. </w:t>
      </w:r>
      <w:r>
        <w:rPr>
          <w:rFonts w:ascii="Arial" w:cs="Arial" w:eastAsia="Arial" w:hAnsi="Arial"/>
          <w:sz w:val="14"/>
          <w:szCs w:val="14"/>
          <w:color w:val="auto"/>
        </w:rPr>
        <w:t>We observed that the Empty Nanoparticle Group produced high levels of uricase-specific ADAs by the end of the study. The SVP-Rapamycin 0.1X Group and SVP-Rapamycin 1X Group were able to reduce the levels of uricase-specific ADAs significantly compared to the Empty Nanoparticle Group and, in the case of the SVP-Rapamycin 1X Group, inhibited the formation of antibodies. Our observations in this study confirmed in non-human primates the mitigation of uricase-specific ADAs we observed in mice.</w:t>
      </w:r>
    </w:p>
    <w:p>
      <w:pPr>
        <w:spacing w:after="0" w:line="144" w:lineRule="exact"/>
        <w:rPr>
          <w:sz w:val="20"/>
          <w:szCs w:val="20"/>
          <w:color w:val="auto"/>
        </w:rPr>
      </w:pPr>
    </w:p>
    <w:p>
      <w:pPr>
        <w:jc w:val="both"/>
        <w:ind w:right="120"/>
        <w:spacing w:after="0" w:line="282"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As expected, we could not determine the effect that pegsiticase alone or pegsiticase co-administered with SVP-Rapamycin had on uric acid levels in nonhuman primates</w:t>
      </w:r>
      <w:r>
        <w:rPr>
          <w:rFonts w:ascii="Arial" w:cs="Arial" w:eastAsia="Arial" w:hAnsi="Arial"/>
          <w:sz w:val="15"/>
          <w:szCs w:val="15"/>
          <w:i w:val="1"/>
          <w:iCs w:val="1"/>
          <w:color w:val="auto"/>
        </w:rPr>
        <w:t xml:space="preserve"> </w:t>
      </w:r>
      <w:r>
        <w:rPr>
          <w:rFonts w:ascii="Arial" w:cs="Arial" w:eastAsia="Arial" w:hAnsi="Arial"/>
          <w:sz w:val="15"/>
          <w:szCs w:val="15"/>
          <w:color w:val="auto"/>
        </w:rPr>
        <w:t>due to the activity of naturally occurring uricase in these animals.</w:t>
      </w:r>
    </w:p>
    <w:p>
      <w:pPr>
        <w:spacing w:after="0" w:line="151"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Based on these preclinical studies, as well as toxicology studies conducted to conform to regulatory guidelines, referred to as current good laboratory practice, or GLP, we believe that SEL-212 demonstrated sufficient efficacy and safety in the preclinical animal models to justify movement into clinical development, and the FDA indicated that our Phase 1b clinical trial for SEL-212 was safe to proceed.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development</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For chronic refractory gout, we are executing a clinical development program in which we expect to conduct five clinical studies in a total of approximately 400 subjects with gout or elevated levels of uric acid. We initiated our clinical program in the second quarter of 2015 with a Phase 1a trial of pegsiticase in subjects with elevated serum uric acid levels. We completed the patient treatment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25" w:name="page126"/>
    <w:bookmarkEnd w:id="12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of our Phase 1a trial was completed in November 2015, initiated a Phase 1b trial in December 2015 and expect final data from both Phase 1 clinical trials in the second half of 2016. We plan to follow this Phase 1b clinical trial with an open label multi-dose Phase 2 clinical trial of SEL-212 in patients with symptomatic gout and elevated uric acid levels. After an end-of-Phase 2 meeting with the FDA, we expect that we will be required to conduct two Phase 3 clinical trials in patients with refractory gout. We plan to leverage our experience in chronic refractory gout for separate but similar clinical trials for the indication of chronic tophaceous gout.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 and Phase 2 clinical trials</w:t>
      </w:r>
    </w:p>
    <w:p>
      <w:pPr>
        <w:spacing w:after="0" w:line="198"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SEL-212 is currently being evaluated in a comprehensive Phase 1/2 clinical program that includes a Phase 1a and Phase 1b clinical trial in subjects with high uric acid levels as well as a Phase 2 clinical trial in patients with symptomatic gout and high uric acid levels. Each Phase 1 clinical trial was designed with the primary objective to evaluate the safety and tolerability of SEL-212 and its individual components. Additional objectives of the Phase 1 clinical trials include identifying a pegsiticase dose that is capable of lowering serum uric acid levels, evaluating the immunogenicity of pegsiticase after a single dose and demonstrating that SVP-Rapamycin co-administered with pegsiticase reduces uric acid levels and mitigates the formation of uricase-specific ADAs. The Phase 2 clinical trial will evaluate the effect of multiple doses over an extended period of time on serum uric acid and the formation of uricase-specific ADAs in approximately 36 patients with symptomatic gout and elevated serum uric acid levels. We expect to receive final data from both Phase 1 clinical trials in the second half of 2016. We expect to initiate the Phase 2 clinical trial in the second half of 2016 and receive data in the first half of 2017.</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1a clinical trial</w:t>
      </w:r>
    </w:p>
    <w:p>
      <w:pPr>
        <w:spacing w:after="0" w:line="198"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Phase 1a clinical trial for SEL-212 was an ascending dose trial of pegsiticase alone in 22 subjects with elevated serum uric acid levels greater than 6 mg/dl who were separated into five cohorts. At the outset of the trial, each cohort received a single intravenous infusion of pegsiticase at ascending dose levels of 0.1 mg/kg for Cohort #1, 0.2 mg/kg for Cohort #2, 0.4 mg/kg for Cohort #3, 0.8 mg/kg for Cohort #4 and 1.2 mg/kg for Cohort #5. We monitored the subjects during a 30-day period post-infusion. We commenced enrollment of the clinical trial in the second quarter of 2015 and completed the treatment portion of the trial in November 2015. We observed that pegsiticase demonstrated no serious adverse events and was well tolerated at the five dose levels tested. Additionally, we observed that pegsiticase rapidly reduced and sustained average serum uric acid levels below 6 mg/dl for each cohort for 14 to 30 days, depending on the dose level. Consistent with our preclinical studies in animals, pegsiticase induced uricase-specific ADAs in all subjects with varying levels in this Phase 1a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Figure 16 below depicts average serum uric acid levels of the Phase 1a clinical trial's five cohorts tested at different measurement intervals during the course of the 30-day period following the single intravenous infusion of pegsiticase at the outset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100330</wp:posOffset>
            </wp:positionV>
            <wp:extent cx="4353560" cy="25374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5356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16. Phase 1a Clinical Trial: Serum Uric Acid Levels Across Five Cohorts</w:t>
      </w:r>
    </w:p>
    <w:p>
      <w:pPr>
        <w:spacing w:after="0" w:line="177" w:lineRule="exact"/>
        <w:rPr>
          <w:sz w:val="20"/>
          <w:szCs w:val="20"/>
          <w:color w:val="auto"/>
        </w:rPr>
      </w:pPr>
    </w:p>
    <w:p>
      <w:pPr>
        <w:ind w:right="80"/>
        <w:spacing w:after="0" w:line="313" w:lineRule="auto"/>
        <w:rPr>
          <w:sz w:val="20"/>
          <w:szCs w:val="20"/>
          <w:color w:val="auto"/>
        </w:rPr>
      </w:pPr>
      <w:r>
        <w:rPr>
          <w:rFonts w:ascii="Arial" w:cs="Arial" w:eastAsia="Arial" w:hAnsi="Arial"/>
          <w:sz w:val="13"/>
          <w:szCs w:val="13"/>
          <w:color w:val="auto"/>
        </w:rPr>
        <w:t>Figure 17 below indicates the serum uric acid and uricase-specific ADA levels for each subject in Cohort #3 of the Phase 1a clinical trial. The serum uric acid levels were measured at baseline and days seven, 14, 21 and 30 and uricase-specific ADA levels at baseline and days seven, 14 and 30 following a single intravenous injection of pegsiticase. We did not measure uricase-specific ADA levels at day 21 in the Phase 1a clinical trial. One subject in this cohort, subject number two, developed a relatively low level uricase-specific ADA titer of 40 and maintained uric acid levels below 0.5 mg/dl through the thirtieth day after dosing. By contrast, the remaining four subjects in the cohort developed levels of uricase-specific ADAs greater than 1,000 titer and uric acid levels above 5 mg/dl by the thirtieth day after dosing. Based on the results from our Phase 1a clinical trial, we observed that pegsiticase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27" w:name="page128"/>
    <w:bookmarkEnd w:id="127"/>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tolerated dose is capable of achieving and maintaining a reduction of serum uric acid below the target of 6 mg/dl for a 30-day period in the absence of inhibitory uricase-specific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137795</wp:posOffset>
            </wp:positionV>
            <wp:extent cx="5030470" cy="16179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030470"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17. Phase 1a Clinical Trial: Serum Uric Acid and Uricase-Specific ADA Levels of the Third Cohort</w:t>
      </w:r>
    </w:p>
    <w:p>
      <w:pPr>
        <w:spacing w:after="0" w:line="177"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Based on our analysis of the Phase 1a clinical trial data, we selected the pegsiticase dose of 0.4 mg/kg from Cohort #3 of the Phase 1a clinical trial for further study in the Phase 1b clinical trial.</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Phase 1b clinical trial</w:t>
      </w:r>
    </w:p>
    <w:p>
      <w:pPr>
        <w:spacing w:after="0" w:line="198" w:lineRule="exact"/>
        <w:rPr>
          <w:sz w:val="20"/>
          <w:szCs w:val="20"/>
          <w:color w:val="auto"/>
        </w:rPr>
      </w:pPr>
    </w:p>
    <w:p>
      <w:pPr>
        <w:ind w:left="7" w:right="20"/>
        <w:spacing w:after="0" w:line="281" w:lineRule="auto"/>
        <w:rPr>
          <w:sz w:val="20"/>
          <w:szCs w:val="20"/>
          <w:color w:val="auto"/>
        </w:rPr>
      </w:pPr>
      <w:r>
        <w:rPr>
          <w:rFonts w:ascii="Arial" w:cs="Arial" w:eastAsia="Arial" w:hAnsi="Arial"/>
          <w:sz w:val="14"/>
          <w:szCs w:val="14"/>
          <w:color w:val="auto"/>
        </w:rPr>
        <w:t>In December 2015, we initiated our Phase 1b clinical trial. We anticipate that this clinical trial will have approximately 53 subjects with serum uric acid levels greater than 6 mg/dl separated into nine cohorts. We plan to co-administer a single intravenous infusion of SVP-Rapamycin at ascending dose levels with a fixed dose of pegsiticase of 0.4 mg/kg for four of the cohorts, which will be Cohort #2, Cohort #4, Cohort #6 and Cohort #8 of the Phase 1b clinical trial, or collectively the SEL-212 Cohorts. In addition to a fixed 0.4 mg/kg dose of pegsiticase, subjects in the SEL-212 Cohorts will receive SVP-Rapamycin in the following dose levels: Cohort #2 (0.03 mg/kg), Cohort #4 (0.1 mg/kg), Cohort #6 (0.3 mg/kg) and Cohort #8 (0.5 mg/kg). We also plan to administer to Cohort #9 a fixed amount of pegsiticase alone at a dose level of 0.4 mg/kg, which we refer to as the Pegsiticase Cohort. Additionally, we intend to administer a single intravenous infusion of SVP-Rapamycin alone at the following ascending dose levels to the remaining cohorts, which will be Cohort #1 (0.03 mg/kg), Cohort #3 (0.1 mg/kg), Cohort #5 (0.3 mg/kg) and Cohort #7 (0.5 mg/kg) of the Phase 1b clinical trial, or collectively the SVP-Rapamycin Cohorts. All subjects will be followed for 30 days after their initial dose. The primary objective of the Phase 1b clinical trial is to evaluate the safety and tolerability of SVP-Rapamycin alone and in combination with a fixed dose of pegsiticase. A secondary clinical objective is to evaluate the ability of SVP-Rapamycin co-administered with pegsiticase to reduce serum uric acid levels and mitigate the formation of uricase-specific ADAs when compared to administration of pegsiticase alone. We expect that complete data from the Phase 1b clinical trial will be available in the second half of 2016.</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5"/>
          <w:szCs w:val="15"/>
          <w:color w:val="auto"/>
        </w:rPr>
        <w:t>Although the Phase 1b clinical trial is currently ongoing, as of June 3, 2016, we had completed the dosing of:</w:t>
      </w:r>
    </w:p>
    <w:p>
      <w:pPr>
        <w:spacing w:after="0" w:line="210" w:lineRule="exact"/>
        <w:rPr>
          <w:sz w:val="20"/>
          <w:szCs w:val="20"/>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all four SVP-Rapamycin Cohorts;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three SEL-212 Cohorts, Cohort #2, Cohort #4 and Cohort #6, receiving the lowest three (out of the four projected) SVP-Rapamycin ascending dose levels;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Pegsiticase Cohort, Cohort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have received 30-day observation period data for Cohort #1 (SVP-Rapamycin Cohort), Cohort #2 (SEL-212 Cohort), Cohort #3 (SVP-Rapamycin Cohort), Cohort #4 (SEL-212 Cohort), Cohort #5 (SVP-Rapamycin Cohort), Cohort #6 (SEL-212 Cohort) and Cohort #9 (Pegsiticase Cohort) of the Phase 1b clinical trial.</w:t>
      </w:r>
    </w:p>
    <w:p>
      <w:pPr>
        <w:spacing w:after="0" w:line="151"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Figure 18 below indicates the serum uric acid levels of Cohort #3 from the Phase 1a clinical trial, in which subjects received a fixed amount of pegsiticase alone (at the same 0.4 mg/kg pegsiticase dose level as Cohort #9, the Pegsiticase Cohort, of the Phase 1b clinical trial). Figure 18 below also indicates the serum uric acid levels of Cohort #9 (Pegsiticase Cohort), Cohort #1 (SVP-Rapamycin Cohort), Cohort #2 (SEL-212 Cohort), Cohort #3 (SVP-Rapamycin Cohort), Cohort #4 (SEL-212 Cohort), Cohort #5 (SVP-Rapamycin Cohort) and Cohort #6 (SEL-212 Cohort) from the Phase 1b clinical trial. In Figure 18 below, observational data is presented for all cohorts in which subjects have reached the end of the 30-day observation period. In these subjects, serum uric acid levels were measured at baseline and days seven, 14, 21 and 30. As expected, SVP-Rapamycin alone had no relevant effect on reducing serum uric acid levels across the SVP-Rapamycin Cohorts, as such levels remained relatively constant during the 30-day period. In Cohort #2 from the Phase 1b clinical trial, which received the lowest dose of SVP-Rapamycin co-administered with pegsiticase, we observed that four out of five subjects tested maintained serum uric acid levels below 6 mg/dl through day 21 of the trial. We also observed that four out of five subjects in Cohort #4 from the Phase 1b clinical trial, which received the second lowest dose of SVP-Rapamycin co-administered with pegsiticase, maintained levels of serum uric acid of less than 0.1 mg/dl through day 30. For Cohort #6 (SEL-212 Cohort), we observed that each of the five subjects maintained levels of serum uric acid of less than 0.1 mg/dl through day 30. By comparison, for Cohort #9 (Pegsiticase Cohort), four of the five subjects returned to baseline serum uric acid levels by day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96520</wp:posOffset>
            </wp:positionV>
            <wp:extent cx="4544695" cy="28536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544695"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18. Phase 1b Clinical Trial: Uric Acid Levels Across Seven Phase 1b Cohorts (and Cohort #3 from the Phase 1a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Figure 19 below shows the serum uric acid levels and uricase-specific ADA levels for each subject in Cohort #3 of the Phase 1a clinical trial and Cohort #9 (Pegsiticase Cohort) of the Phase 1b clinical trial for comparison to the serum uric acid levels and uricase-specific ADA levels for each subject in Cohort # 4 (SEL-212 Cohort) and Cohort #6 (SEL-212 Cohort) in the Phase 1b clinical trial. Cohort #3 from the Phase 1a clinical trial is depicted in Figure 19 along with Cohort #9 from the Phase 1b clinical trial for purposes of comparison against Cohort #4 and Cohort #6 from the Phase 1b clinical trial because the subjects in these cohorts received the same fixed dose of pegsiticase. In addition, Cohort #4 from the Phase 1b clinical trial is depicted below in Figure 19 because the subjects in Cohort #4 from the Phase 1b clinical trial received a higher dose of SVP-Rapamycin than did the subjects in Cohort #2 in the Phase 1b clinical trial. We have also included Cohort #6 from the Phase 1b clinical trial because these subjects received the highest dose of SVP-Rapamycin tested to date—higher than both Cohorts #2 and #4.</w:t>
      </w:r>
    </w:p>
    <w:p>
      <w:pPr>
        <w:spacing w:after="0" w:line="169" w:lineRule="exact"/>
        <w:rPr>
          <w:sz w:val="20"/>
          <w:szCs w:val="20"/>
          <w:color w:val="auto"/>
        </w:rPr>
      </w:pPr>
    </w:p>
    <w:p>
      <w:pPr>
        <w:ind w:right="100"/>
        <w:spacing w:after="0" w:line="310" w:lineRule="auto"/>
        <w:rPr>
          <w:sz w:val="20"/>
          <w:szCs w:val="20"/>
          <w:color w:val="auto"/>
        </w:rPr>
      </w:pPr>
      <w:r>
        <w:rPr>
          <w:rFonts w:ascii="Arial" w:cs="Arial" w:eastAsia="Arial" w:hAnsi="Arial"/>
          <w:sz w:val="13"/>
          <w:szCs w:val="13"/>
          <w:color w:val="auto"/>
        </w:rPr>
        <w:t>As depicted in Figure 19 below, in Cohort #3 from the Phase 1a clinical trial and Cohort #9 from the Phase 1b clinical trial, we observed uricase-specific ADA formation at day 14 resulting in a return to baseline levels of serum uric acid. In comparison, for Cohort #4 from the Phase 1b clinical trial, we observed minimal uricase-specific ADA formation in four of the five subjects tested with corresponding maintenance of control of serum uric acid levels through day 30. In Cohort #6 of the Phase 1b clinical trial, we observed minimal to no uricase-specific ADA formation in each of the five subjects, with corresponding maintenance of control of serum uric acid levels through day 30. In the Phase 1a clinical trial, we did not measure uricase-specific ADA levels at day 21. However, in the course of conducting the Phase 1a clinical trial, we learned that it would be useful to measure uricase-specific ADA levels at day 21 to more fully understand any variations in such levels between day 14 and day 30. As a result, for the Phase 1b clinical trial, we monitor uricase-specific ADA levels at day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42729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0910" cy="427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19. Comparison of Phase 1a Cohort #3, Phase 1b Cohort #9, Phase 1b Cohort #4 and Phase 1b Cohort #6: Uric Acid and Uricase-Specific ADA Levels</w:t>
      </w:r>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Figure 20 below presents a non-head-to-head comparison of the efficacy of SEL-212 in Cohort #6 of the Phase 1b clinical trial with data from two replicate, randomized, double-blind, placebo-controlled clinical trials of Krystexxa as reported in the Journal of the American Medical Association in 2011. These two Krystexxa clinical trials included 85 patients who received biweekly doses of Krystexxa, 84 patients who received monthly doses of Krystexxa and 43 patients who received a placebo. Of the Krystexxa-treated patients that were considered responders, as defined by the maintenance of uric acid levels below 6 mg/dl for 80% of the time at months three and six, the mean uric acid levels in patients on the biweekly dose regimen were more meaningfully and consistently improved than patients on the monthly dose regimen. Krystexxa has been approved for the treatment of refractory gout on a biweekly dose regimen whereas the monthly dose regimen of Krystexxa has not been approved for marketing. The graph on the left in Figure 20 below depicts the data for the four-week period after the first dose of Krystexxa from the cohorts of subjects in the Krystexxa clinical trials who received monthly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60"/>
        <w:spacing w:after="0" w:line="301" w:lineRule="auto"/>
        <w:rPr>
          <w:sz w:val="20"/>
          <w:szCs w:val="20"/>
          <w:color w:val="auto"/>
        </w:rPr>
      </w:pPr>
      <w:r>
        <w:rPr>
          <w:rFonts w:ascii="Arial" w:cs="Arial" w:eastAsia="Arial" w:hAnsi="Arial"/>
          <w:sz w:val="13"/>
          <w:szCs w:val="13"/>
          <w:color w:val="auto"/>
        </w:rPr>
        <w:t>The placebo control subjects, indicated in open circles in Figure 20 below, had uric acid levels above 6 mg/dl for the entire four weeks. The Krystexxa-treated subjects that went on to become responders are indicated in black circles. The Krystexxa-treated subjects that went on to become non-responders, as defined by the inability to maintain uric acid levels below</w:t>
      </w:r>
    </w:p>
    <w:p>
      <w:pPr>
        <w:ind w:right="20"/>
        <w:spacing w:after="0" w:line="260" w:lineRule="auto"/>
        <w:rPr>
          <w:sz w:val="20"/>
          <w:szCs w:val="20"/>
          <w:color w:val="auto"/>
        </w:rPr>
      </w:pPr>
      <w:r>
        <w:rPr>
          <w:rFonts w:ascii="Arial" w:cs="Arial" w:eastAsia="Arial" w:hAnsi="Arial"/>
          <w:sz w:val="15"/>
          <w:szCs w:val="15"/>
          <w:color w:val="auto"/>
        </w:rPr>
        <w:t>6 mg/dl for 80% of the time at months three and six, are indicated in black triangles. Only 35% of Krystexxa-treated subjects in the monthly dosing cohorts were classified as responders. Of the patients that received monthly doses, it is notable that, even at four weeks, the mean uric acid levels were above 6 mg/dl in the non-responders, representing 65% of subjects, and were above 4 mg/dl in the responders. While not depicted in Figure 20 below, 89% of all Krystexxa-treated subjects developed ADAs. In comparison, the graph on the right in Figure 20 below depicts data from Cohort #5 of the Phase 1b clinical trial, which received a single dose of SVP-Rapamycin alone, and Cohort #6 of the Phase 1b clinical trial, which received a single dose of SEL-212. All five subjects in Cohort #6 of the Phase 1b clinical trial, treated with SEL-212 and indicated in green in Figure 20 below, maintained levels of serum uric acid of less than 0.1 mg/dl through day 30. Subjects in Cohort #5 of the Phase 1b clinical trial, treated with SVP-Rapamycin alone and indicated in blue, experienced no significant reduction in uric acid levels, as such levels remained relatively constant over the 30-day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112395</wp:posOffset>
            </wp:positionV>
            <wp:extent cx="4464050" cy="23463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464050" cy="234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20. Comparison of the Efficacy of Krystexxa and SEL-212 After a Single Dose</w:t>
      </w:r>
    </w:p>
    <w:p>
      <w:pPr>
        <w:spacing w:after="0" w:line="17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While we believe the above comparison is useful in evaluating the results of Cohort #6 of the Phase 1b clinical trial, our Phase 1b clinical trial and the Krystexxa clinical trials were separate trials conducted by different investigators at different sites. In addition, there were substantial differences, including, for example, that the Krystexxa clinical trials were double-blind trials involving a substantial number of patients with refractory gout while our Phase 1b clinical trial evaluated SEL-212 in an unblinded manner in a small number of subjects with elevated uric acid levels. Moreover, we could only compare the efficacy of SEL-212 with the four-week period following the first injection of Krystexxa as SEL-212 has not yet been evaluated in a multi-dose clinical trial. In this regard, we have not conducted a head-to-head comparison of SEL-212 and Krystexxa in a clinical trial. Results of a head-to-head comparison may differ significantly from those set forth in Figure 20 above. In addition, because our Phase 1b clinical trial and the Krystexxa clinical trials were separate trials and because Cohort #6 of our Phase 1b clinical trial involved only five subjects, differences between the results of our Phase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2" w:name="page133"/>
    <w:bookmarkEnd w:id="13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clinical trial and the two Krystexxa clinical trials may not be statistically or clinically meaningful. For these reasons, investors should not place undue weight on the comparative information set forth above, including in Figure 20.</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We collected additional serum uric acid and uricase-specific ADA data after day 30 for three of the subjects in Cohort #4 (SEL-212 Cohort) that had no or very low serum uric acid and uricase-specific ADA levels at day 30. We collected data on day 37 for all three of these subjects and again on day 42 or day 44 for two of the three subjects. Each of these three subjects had no or very low uricase-specific ADA levels on day 37, day 42 or day 44, as applicable. Serum uric acid levels remained below baseline on day 37 in all three subjects. With respect to the two subjects for which day 42 or day 44 data was available, serum uric acid levels approached or exceeded baseline by the last time point measured. We anticipated these results as we did not expect a single dose of the enzyme to be capable of clearing all of the uric acid deposits in the body. Based on our observations from the Phase 1b clinical trial data that SEL-212 was capable of controlling uric acid levels for at least 30 days in all of the subjects in Cohort #6, we believe SEL-212 has the potential to maintain low uric acid levels with monthly dosing, which we plan to test in the Phase 2 clinical trial.</w:t>
      </w:r>
    </w:p>
    <w:p>
      <w:pPr>
        <w:spacing w:after="0" w:line="169"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color w:val="auto"/>
        </w:rPr>
        <w:t>As of June 3, 2016, on a combined basis, we had dosed a total of 70 subjects with either SEL-212 (SVP-Rapamycin and pegsiticase), SVP-Rapamycin alone or pegsiticase alone in connection with the Phase 1a and Phase 1b clinical trials. We have generally observed that SEL-212 and its components, SVP-Rapamycin and pegsiticase, have been well tolerated. As of June 16, 2016, there have been a total of three serious adverse events, or SAEs, in both Phase 1 clinical trials. One SAE occurred in a subject from Cohort #9 (Pegsiticase Cohort) of the Phase 1b clinical trial, a 62 year-old male, who received a dose level of pegsiticase alone of 0.4 mg/kg. This subject developed atrial fibrillation 13 days after administration of pegsiticase. The subject has been treated. The medical records from the principal investigator indicate that this subject has recovered. The principal investigator has deemed this SAE to not have been related to the study drug, pegsiticase. The second SAE occurred in a 59 year-old male from Cohort #4 (SEL-212 Cohort) of the Phase 1b clinical trial who developed a pruritic rash on his lower extremities and joint pain approximately 12 days after being dosed with SEL-212, consisting of a dose level of SVP-Rapamycin of 0.1 mg/kg and a dose level of pegsiticase of 0.4 mg/kg. This subject was treated with steroids, analgesics, anti-nausea medications and topical antihistamine cream. As a result of such treatment, the medical records from the principal investigator indicate that the rash and joint pain experienced by the subject have been resolved. This subject was the only subject in Cohort #4 (SEL-212 Cohort) that developed significant uricase-specific ADAs and whose serum uric acid levels returned to baseline by day 30. This adverse event was classified as an SAE because the subject was admitted to the emergency room instead of going directly to the investigational site for treatment. The principal investigator classified this second SAE as having been possibly related to the study drug, SEL-212. A third observation was classified by the principal investigator on June 15, 2016 as an SAE after a 59 year-old male from Cohort #7 (SVP-Rapamycin Cohort) of the Phase 1b clinical trial developed stomatitis approximately seven days after being dosed with 0.5 mg/kg of SVP-Rapamycin, the highest dose of SVP-Rapamycin in the SVP-Rapamycin Cohorts of the Phase 1b clinical trial, and experienced 4.3 kg of weight loss. Stomatitis is a form of mouth sores and inflammation of the mouth and lips that often limits food intake and, according to the label for rapamycin, is a common adverse reaction to rapamycin itself. This subject was treated with oral over-the-counter and topical antihistamines followed by a steroid gel. As of June 16, 2016, the principal investigator indicated that the subject's stomatitis was improving. The principal investigator classified this third SAE as having been possibly related to the study drug, SVP-Rapamycin.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630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2 clinical trial</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We are planning an open-label Phase 2 clinical trial in approximately 36 subjects with symptomatic gout and elevated serum uric acid levels. We plan to divide patients into three dose groups. Two of these groups will receive SEL-212. The other group will receive pegsiticase alone. The primary endpoints will be the safety and tolerability of multiple doses of SEL-212 and pegsiticase alone in addition to a reduction of uric acid levels from baseline. We expect that secondary endpoints for this trial will include a reduction in levels of uricase-specific ADAs and pegsiticase-specific ADAs. Additional, exploratory endpoints will include number of flares, change in tophi volume as measured by dual energy computed tomography imaging and quality of life measures.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foregoing clinical trials, we also plan to initiate development of SEL-212 for chronic tophaceous gout.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SVP-Rapamycin programs for immune tolerance in gene therapy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 xml:space="preserve">We believe gene therapy has the potential to fundamentally change the treatment of genetic diseases in the form of replacing, augmenting or editing a gene. Gene therapy modifies the genetic content of the patient's own cells by placing corrective genetic material, or a transgene, within the nuclei of a patient's cells. The transferred genetic material enables the affected cells to become producers of a protein that is either missing or deficient in the patient. Engineered viruses that are unable to replicate themselves serve as carriers, or vectors, for the delivery of transgenes to various tissues and organs in the body. Adeno-associated viruses, or AAV, are the preferred vectors for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gene therapy because they cannot reproduce on their own, do not cause pathogenic infections and can be produced using manufacturing practices that conform to cGMP.</w:t>
      </w:r>
    </w:p>
    <w:p>
      <w:pPr>
        <w:spacing w:after="0" w:line="149"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Although gene therapy has made significant progress over the last several years, it faces certain limitations due to undesired immunogenicity to either the AAV vector or the encoded transgene. This undesired immunogenicity frequently exists prior to the gene therapy or is induced with the first dose. Once an antibody response to the AAV vector exists, it is likely to interfere with the efficacy of subsequent administration of the AAV vector. For naturally occurring types of AAV such as AAV1 to AAV10, patients can have prior exposure to the naturally occurring virus, which leads to the presence of pre-existing antibodies, or pre-existing immunity. The presence of pre-existing immunity is an exclusion criterion for most clinical gene therapy studies conducted with naturally occurring AAV vectors. Up to 50% of potential gene therapy patients can have pre-existing immunity, depending on the treated patient population and the AAV strain. Gene vector-specific ADAs frequently occur after the first dose and have been found to prevent the AAV vector from reaching its target cell. In addition, cellular immune responses have been found to destroy transfected cells. It is unknown exactly how long these neutralizing ADAs prevent redosing of gene therapy. However, it has been observed in studies with animals and humans that high titer AAV-specific ADAs develop and persist for more than 10 years, preventing vector readministration. Because of the induction of lasting antibodies against AAV, we believe gene therapy companies have focused on the single localized dose in diseases of the eye and central nervous system for which immunogenicity is perceived to be less of an issue. We believe that many gene therapy applications may require multiple doses, especially therapies designed to treat diseases by intravenous administration. Some of these rare genetic deficiencies are best treated when patients are infants or small children in order to prevent developmental defects. However, pediatric patients may have a higher need for repeat dosing due to higher cell turnover as the subject grows. Accordingly, we believe that a solution that enables repeat dosing for gene therapies would significantly expand the number of diseases that could be treated with these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6305"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4" w:name="page135"/>
    <w:bookmarkEnd w:id="134"/>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Our solution for gene therapy</w:t>
      </w:r>
    </w:p>
    <w:p>
      <w:pPr>
        <w:spacing w:after="0" w:line="195"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We believe SVP-Rapamycin co-administered with gene therapies has the potential to mitigate undesired immune responses and enable desired efficacy in subsequent administration of gene therapy by intravenous administration for diseases and patients where a single dose of gene therapy is unlikely to be sufficient.</w:t>
      </w:r>
    </w:p>
    <w:p>
      <w:pPr>
        <w:spacing w:after="0" w:line="151" w:lineRule="exact"/>
        <w:rPr>
          <w:sz w:val="20"/>
          <w:szCs w:val="20"/>
          <w:color w:val="auto"/>
        </w:rPr>
      </w:pPr>
    </w:p>
    <w:p>
      <w:pPr>
        <w:ind w:left="7" w:right="280"/>
        <w:spacing w:after="0" w:line="287" w:lineRule="auto"/>
        <w:rPr>
          <w:sz w:val="20"/>
          <w:szCs w:val="20"/>
          <w:color w:val="auto"/>
        </w:rPr>
      </w:pPr>
      <w:r>
        <w:rPr>
          <w:rFonts w:ascii="Arial" w:cs="Arial" w:eastAsia="Arial" w:hAnsi="Arial"/>
          <w:sz w:val="14"/>
          <w:szCs w:val="14"/>
          <w:color w:val="auto"/>
        </w:rPr>
        <w:t>In collaboration with Genethon, a not-for-profit company focusing on gene therapies, we conducted a preclinical study in mice in which we observed the ability of SVP-Rapamycin to mitigate the formation of ADAs to AAV-based gene therapy, thereby enabling repeat dosing of the AAV vector in these mice. At the outset of the study, all mice received an intravenous injection of AAV8, a commonly used AAV strain to target expression in the liver, encoding the luciferase gene, referred to as AAV8-Luciferase. On day 21 of the study, mice received a second injection of AAV8, this time encoding human coagulation Factor IX, referred to as AAV8-Factor IX. Mutations in the Factor IX gene can cause hemophilia B, a defect in blood clotting. As depicted in Figure 21 below, in addition to an injection of AAV8 encoding either the luciferase gene or Factor IX, the mice also received either:</w:t>
      </w:r>
    </w:p>
    <w:p>
      <w:pPr>
        <w:spacing w:after="0" w:line="161" w:lineRule="exact"/>
        <w:rPr>
          <w:sz w:val="20"/>
          <w:szCs w:val="20"/>
          <w:color w:val="auto"/>
        </w:rPr>
      </w:pPr>
    </w:p>
    <w:p>
      <w:pPr>
        <w:ind w:left="467" w:hanging="467"/>
        <w:spacing w:after="0"/>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empty nanoparticles, with such mice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SVP-Rapamycin, with such mice referred to as the SVP-Rapamycin Group and indicated in green.</w:t>
      </w:r>
    </w:p>
    <w:p>
      <w:pPr>
        <w:spacing w:after="0" w:line="198"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We assessed AAV8-specific ADA levels to determine the formation of ADAs to the AAV8 vector. We also determined the levels of human Factor IX protein in mouse serum to determine the relative success in conveyance and expression of the Factor IX gene. We observed from our preclinical data that the SVP-Rapamycin treatment mitigated the formation of AAV8-specific ADAs in the SVP-Rapamycin Group, thereby enabling higher levels of Factor IX expression in the SVP-Rapamycin Group following the second injection on day 21 as compared to the Empty Nanoparticle Group. We believe these results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35" w:name="page136"/>
    <w:bookmarkEnd w:id="1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8682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0910" cy="286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21. Preclinical Study: SVP-Rapamycin Co-Administered with AAV-Based Gene Therapy in Mice</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In addition to eliciting antibody responses against the viral capsid (a protein shell that encloses the virus's genetic material), gene therapy can also induce cellular immunity mediated by cytolytic T cells, or CD8 T cells. CD8 T cells can reduce the effectiveness of gene therapy by specifically killing those cells that have taken up the AAV capsid and/or express the encoded transgene protein product. In a preclinical study, we assessed the CD8 T cell levels in the liver following the treatment of mice with an AAV8 vector alone and in combination with SVP-Rapamycin on days 0 and 21 of the study. Naïve mice that were not treated with either an AAV8 vector or SVP-Rapamycin were used as a control. On day 53, we then quantified the level of CD8 T cells in the liver by using a process known as reverse transcriptase-polymerase chain reaction, or RT-PCR, to amplify messenger ribonucleic acid, or mRNA, encoding the CD8 gene. As depicted in Figure 22 below, in this study, we observed that livers isolated from mice treated with the AAV8 vector alone showed a substantial increase in CD8 T cells compared to the naïve mice, which received neither an AAV8 vector nor SVP-Rapamycin. Based on our observations, we believe that the co-administration of SVP-Rapamycin with the AAV vector inhibited this increase in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3387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0910" cy="233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22. Preclinical Study: CD8 T Cell Levels in the Livers of Mice Treated with SVP-Rapamycin Co-Administered with AAV-Based Gene Therapy (as measured by CD8 mRNA using RT-PCR)</w:t>
      </w:r>
    </w:p>
    <w:p>
      <w:pPr>
        <w:spacing w:after="0" w:line="17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also evaluated the ability of SVP-Rapamycin to mitigate the formation of ADAs to AAV capsids in nonhuman primates in a preclinical study. As depicted in Figure 23b below, nonhuman primates were screened on different dates for the presence of AAV-specific ADAs. On a later date, we drew blood from the nonhuman primates to evaluate the levels of AAV-specific ADAs again. This date is depicted in Figure 23b below as day -12 as it occurred 12 days prior to day zero of the study when the nonhuman primates received an intravenous injection of AAV8. As depicted in Figure 23a below, on day zero of the study, in addition to receiving an injection of AAV8, one nonhuman primate received empty nanoparticles, referred to as the Empty Nanoparticles Subject and indicated in purple, and two nonhuman primates received SVP-Rapamycin, referred to as SVP-Rapamycin Subject No. 1 and SVP-Rapamycin Subject No. 2 and indicated in orange and red, respectively. As depicted in Figure 23b below, on days three, 15 and 45 of the study, we again drew blood from the nonhuman primates and tested it for the presence of AAV8-specific ADAs. As depicted in Figure 23a below, on day 30 of the study, we administered to all nonhuman primates an injection of AAV-Human Factor IX together with an injection of empty nanoparticles for the Empty Nanoparticles Subject or an injection of SVP-Rapamycin for SVP-Rapamycin Subject No. 1 and SVP-Rapamycin Subject No. 2. As depicted in Figure 23c below, on day 45 of the study we tested the nonhuman primates' serum for levels of Human-Factor IX.</w:t>
      </w:r>
    </w:p>
    <w:p>
      <w:pPr>
        <w:spacing w:after="0" w:line="157" w:lineRule="exact"/>
        <w:rPr>
          <w:sz w:val="20"/>
          <w:szCs w:val="20"/>
          <w:color w:val="auto"/>
        </w:rPr>
      </w:pPr>
    </w:p>
    <w:p>
      <w:pPr>
        <w:ind w:right="100"/>
        <w:spacing w:after="0" w:line="313" w:lineRule="auto"/>
        <w:rPr>
          <w:sz w:val="20"/>
          <w:szCs w:val="20"/>
          <w:color w:val="auto"/>
        </w:rPr>
      </w:pPr>
      <w:r>
        <w:rPr>
          <w:rFonts w:ascii="Arial" w:cs="Arial" w:eastAsia="Arial" w:hAnsi="Arial"/>
          <w:sz w:val="13"/>
          <w:szCs w:val="13"/>
          <w:color w:val="auto"/>
        </w:rPr>
        <w:t>We assessed AAV8-specific ADA levels to determine the formation of ADAs in nonhuman primates to the AAV8 vector. We also determined the levels of human Factor IX protein in nonhuman primate serum to determine the relative success in conveyance and expression of the Factor IX gene. We observed from our preclinical data that the SVP-Rapamycin treatment mitigated the formation of AAV8-specific ADAs in SVP-Rapamycin Subject No. 1 and SVP-Rapamycin Subject No. 2, thereby enabling higher levels of Factor IX expression in the SVP-Rapamycin Subjects following the second injection on day 30 as compared to the Empty Nanoparticles Subject. We believe these results further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7" w:name="page138"/>
    <w:bookmarkEnd w:id="13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8168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0910" cy="281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23. Preclinical Study: SVP-Rapamycin Co-Administered with AAV-Based Gene Therapy in Nonhuman Primates</w:t>
      </w:r>
    </w:p>
    <w:p>
      <w:pPr>
        <w:spacing w:after="0" w:line="177"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We believe SVP technology can be applied to induce antigen-specific immune tolerance for gene therapy involving gene augmentation, replacement or editing. Gene therapies often use a viral vector, such as an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a first administration of a gene therapy vector and prevent effective subsequent doses of gene therapy. Subsequent doses are particularly necessary for pediatric indications due to cellular turnover in young patients because they undergo renewal, which is the case in many pediatric indications. The ability to readminister gene therapies is also important for diseases where the goal is to transfer a high number of cells. Moreover, the third way in which immunogenicity can manifest itself against the viral vector is that the cellular immune system can respond to the transduced cells, which can reduce efficacy and pose safety concerns.</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We have in-licensed the Anc80 vector from MEE. In preclinical studies, Anc80 has been observed to be a potent gene therapy vector that has demonstrated the capability of yielding superior gene expression levels in the liver compared to vectors based on naturally occurring AAV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 the use of viral vectors.</w:t>
      </w:r>
    </w:p>
    <w:p>
      <w:pPr>
        <w:spacing w:after="0" w:line="148"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In collaboration with the clinical and gene therapy laboratory at the NIH and MEE, we plan to develop a product candidate utilizing the Anc80 vector for the treatment of an ARM disorder resulting from an inborn error of metabolism. This ARM disorder can cause severe developmental defects and premature death as a result of an accumulation of toxic metabolites. Under our license agreement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8" w:name="page139"/>
    <w:bookmarkEnd w:id="13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MEE, we also have the option to develop gene therapies using Anc80 for several additional diseases including lysosomal storage, muscular and genetic metabolic diseases.</w:t>
      </w:r>
    </w:p>
    <w:p>
      <w:pPr>
        <w:spacing w:after="0" w:line="210"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We intend to develop the combination of Anc80 and SVP-Rapamycin to increase the potential applicability of gene therapies. This would include (i) patients with pre-existing ADAs to naturally occurring AAV, a current exclusion criteria for many clinical studies, and (ii) diseases that require repeat dosing due to a young patient population or the need to reach higher levels of protein expression than can be achieved with a single dose.</w:t>
      </w:r>
    </w:p>
    <w:p>
      <w:pPr>
        <w:spacing w:after="0" w:line="159"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We plan to develop another product candidate for the treatment of an XLM disorder, which is a metabolic disorder similar to ARM disorder. We are pursuing this second indication through collaborations with third parties with preclinical and clinical experience in this area.</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SVP-Rapamycin programs for marketed biologics</w:t>
      </w:r>
    </w:p>
    <w:p>
      <w:pPr>
        <w:spacing w:after="0" w:line="195"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In preclinical studies, we have observed the ability of SVP-Rapamycin to inhibit the formation of ADAs when co-administered with several marketed biologics, including Humira and Advate. Humira is an anti-inflammatory medication that is used in the treatment of rheumatoid arthritis and other autoimmune diseases. Advate is a recombinant human clotting factor VIII used in the treatment of hemophilia A.</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4"/>
          <w:szCs w:val="14"/>
          <w:color w:val="auto"/>
        </w:rPr>
        <w:t>In one such preclinical study, we co-administered SVP-Rapamycin with Humira in genetically modified mice that produce human TNF-alpha, a protein involved in systemic inflammation.</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Due to the constitutive expression of TNF-alpha, these mice spontaneously developed arthritis. In connection with this study:</w:t>
      </w:r>
    </w:p>
    <w:p>
      <w:pPr>
        <w:spacing w:after="0" w:line="205" w:lineRule="exact"/>
        <w:rPr>
          <w:sz w:val="20"/>
          <w:szCs w:val="20"/>
          <w:color w:val="auto"/>
        </w:rPr>
      </w:pPr>
    </w:p>
    <w:p>
      <w:pPr>
        <w:ind w:left="467" w:hanging="467"/>
        <w:spacing w:after="0"/>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one group of mice, referred to as the Untreated Group, indicated in black in Figure 24c below, were left untreated;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second group of mice, referred to as the Humira Group, indicated in blue in Figures 24a through 24d below, were treated weekly with Humira alone from weeks 5 through 20; and</w:t>
      </w:r>
    </w:p>
    <w:p>
      <w:pPr>
        <w:spacing w:after="0" w:line="232" w:lineRule="exact"/>
        <w:rPr>
          <w:rFonts w:ascii="Arial" w:cs="Arial" w:eastAsia="Arial" w:hAnsi="Arial"/>
          <w:sz w:val="13"/>
          <w:szCs w:val="13"/>
          <w:color w:val="auto"/>
        </w:rPr>
      </w:pPr>
    </w:p>
    <w:p>
      <w:pPr>
        <w:ind w:left="467" w:right="440" w:hanging="467"/>
        <w:spacing w:after="0" w:line="282" w:lineRule="auto"/>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third group of mice, referred to as the SVP-Rapamycin Group, indicated in green in Figures 24a through 24d below, were treated weekly with SVP-Rapamycin together with Humira from weeks five through 11 and then weekly with Humira alone from weeks 12 to 20.</w:t>
      </w:r>
    </w:p>
    <w:p>
      <w:pPr>
        <w:spacing w:after="0" w:line="151"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We evaluated Humira-specific ADA levels to determine the formation of ADAs to Humira. Levels of Humira in serum, or in the blood, were measured to determine whether the formation of ADAs increased the clearance of Humira in serum. In addition, we measured the arthritis score, based on the level of severity of the disease, each week from weeks 10 through 20, for each of the three groups.</w:t>
      </w:r>
    </w:p>
    <w:p>
      <w:pPr>
        <w:spacing w:after="0" w:line="159"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As depicted in Figure 24a below, we observed a reduction in the formation of ADAs to Humira in the SVP-Rapamycin Group as compared to the Humira Group at week 20. Consistent with the observation of the formation of ADAs, as depicted in Figure 24b below, we observed a higher level of Humira in serum in the SVP-Rapamycin Group as compared to the Humira Group at week 19. As expected, mice in the Untreated Group did not show any Humira-specific ADAs or the presence of Humira in serum. As depicted in Figure 24c below, we observed a decrease in arthritis in the SVP-Rapamycin Group as compared to both the Humira Group and Untreated Group. Notably, the inhibition of ADAs and protection from arthritis were observed through the termination of the study at 20 weeks, even though the last treatment with SVP-Rapamycin was at 11 weeks.</w:t>
      </w:r>
    </w:p>
    <w:p>
      <w:pPr>
        <w:spacing w:after="0" w:line="149" w:lineRule="exact"/>
        <w:rPr>
          <w:sz w:val="20"/>
          <w:szCs w:val="20"/>
          <w:color w:val="auto"/>
        </w:rPr>
      </w:pPr>
    </w:p>
    <w:p>
      <w:pPr>
        <w:ind w:left="7" w:right="940"/>
        <w:spacing w:after="0" w:line="282" w:lineRule="auto"/>
        <w:rPr>
          <w:sz w:val="20"/>
          <w:szCs w:val="20"/>
          <w:color w:val="auto"/>
        </w:rPr>
      </w:pPr>
      <w:r>
        <w:rPr>
          <w:rFonts w:ascii="Arial" w:cs="Arial" w:eastAsia="Arial" w:hAnsi="Arial"/>
          <w:sz w:val="15"/>
          <w:szCs w:val="15"/>
          <w:color w:val="auto"/>
        </w:rPr>
        <w:t>Figure 24d below depicts an x-ray at week 20 of a severely eroded ankle joint in an arthritic mouse in the Humira Group compared to the normal ankle joint of a mouse in the Humira + SVP-Rapamycin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39" w:name="page140"/>
    <w:bookmarkEnd w:id="13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Based on these observations, we believe the co-administration of SVP-Rapamycin with Humira results in the formation of less anti-Humira ADAs, which, in turn, increases the therapeutic levels of Humira in serum and improves the efficacy of Humira.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100330</wp:posOffset>
            </wp:positionV>
            <wp:extent cx="4500880" cy="39935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500880" cy="399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24a through 24d. Preclinical Study: SVP-Rapamycin Co-Administered with Humira</w:t>
      </w:r>
    </w:p>
    <w:p>
      <w:pPr>
        <w:spacing w:after="0" w:line="177"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We also conducted a preclinical study evaluating SVP-Rapamycin co-administered with Advate in mice with hemophilia A, a genetic disorder caused by missing or defective blood coagulation Factor VIII. As depicted in Figures 25a through 25c below, during the first 28 days of the study, or the treatment period:</w:t>
      </w:r>
    </w:p>
    <w:p>
      <w:pPr>
        <w:spacing w:after="0" w:line="162" w:lineRule="exact"/>
        <w:rPr>
          <w:sz w:val="20"/>
          <w:szCs w:val="20"/>
          <w:color w:val="auto"/>
        </w:rPr>
      </w:pPr>
    </w:p>
    <w:p>
      <w:pPr>
        <w:ind w:left="467" w:hanging="467"/>
        <w:spacing w:after="0"/>
        <w:tabs>
          <w:tab w:leader="none" w:pos="467"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first group of mice, referred to as the Empty Nanoparticle Group and indicated in blue, received five weekly injections of empty nanoparticle together with Advate; and</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second group of mice, referred to as the SVP-Rapamycin Group and indicated in green, received five weekly doses of SVP-Rapamycin together with Advate.</w:t>
      </w:r>
    </w:p>
    <w:p>
      <w:pPr>
        <w:spacing w:after="0" w:line="198"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All groups were then challenged with five injections of Advate on days 57, 81, 125, 143 and 187 of the study, referred to as the challenge period. We also administered an unrelated antigen, bacteriophage PhiX174 on days 81, 95 and 143, into all mice to evaluate whether SVP-Rapamycin caused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0" w:name="page141"/>
    <w:bookmarkEnd w:id="14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immunosuppression. We evaluated Advate-specific ADA levels to determine the formation of ADAs to Advate. We also evaluated PhiX174-specific ADA levels to determine the specificity of the SVP-Rapamycin and Advate treatment.</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As depicted in Figure 25a below, we observed a reduction in the formation of ADAs to Advate in the SVP-Rapamycin Group as compared to the Empty Nanoparticle Group, which lasted over five months following the last treatment of SVP-Rapamycin. We also observed that when both groups were immunized with a different antigen, PhiX174, the SVP-Rapamycin Group and the Empty Nanoparticle Group showed relatively similar levels of PhiX174-specific ADA levels, suggesting that the SVP-Rapamycin treatment does not induce global immunosuppression, as depicted in Figure 25b below.</w:t>
      </w:r>
    </w:p>
    <w:p>
      <w:pPr>
        <w:spacing w:after="0" w:line="162"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In a separate study, the ability of mice to control bleeding following repeated administration of Factor VIII was evaluated and expressed as the percentage of normalized hemoglobin levels, as depicted in Figure 25c below. A higher percentage of normalized hemoglobin levels indicate an increased ability of the mice to control bleeding. As depicted in Figure 25c below, we observed that mice in the SVP-Rapamycin Group were able to control bleeding at a higher rate than mice in the Empty Nanoparticle Group.</w:t>
      </w:r>
    </w:p>
    <w:p>
      <w:pPr>
        <w:spacing w:after="0" w:line="14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Based on our observations, we believe the co-administration of SVP-Rapamycin with Advate inhibits the formation of anti-Advate ADAs, which, in turn, increases the efficacy of Advate to treat hemophilia A, but does not trigger global immunosuppression.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41" w:name="page142"/>
    <w:bookmarkEnd w:id="14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59569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0910" cy="595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25a through 25c. Preclinical Study: SVP-Rapamycin Co-Administered with Advate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2" w:name="page143"/>
    <w:bookmarkEnd w:id="142"/>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allergy and autoimmune disease programs</w:t>
      </w:r>
    </w:p>
    <w:p>
      <w:pPr>
        <w:spacing w:after="0" w:line="195"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We are applying our SVP technology to the treatment of allergies and autoimmune diseases. Currently, many autoimmune diseases are treated with immunosuppressive therapies that indiscriminately affect the function of the entire immune system. Our SVP technology, however, is designed to reprogram the immune system to induce tolerance to a specific antigen that is causing the autoimmune disease, without impacting the rest of the immune system. We have established three collaborative programs with Sanofi to research novel SVP products for the treatment of a life-threatening food allergy, celiac disease and type 1 diabetes.</w:t>
      </w:r>
    </w:p>
    <w:p>
      <w:pPr>
        <w:spacing w:after="0" w:line="173" w:lineRule="exact"/>
        <w:rPr>
          <w:sz w:val="20"/>
          <w:szCs w:val="20"/>
          <w:color w:val="auto"/>
        </w:rPr>
      </w:pPr>
    </w:p>
    <w:p>
      <w:pPr>
        <w:ind w:left="467" w:right="280" w:hanging="467"/>
        <w:spacing w:after="0" w:line="270"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Life-Threatening Food Allergy. </w:t>
      </w:r>
      <w:r>
        <w:rPr>
          <w:rFonts w:ascii="Arial" w:cs="Arial" w:eastAsia="Arial" w:hAnsi="Arial"/>
          <w:sz w:val="15"/>
          <w:szCs w:val="15"/>
          <w:color w:val="auto"/>
        </w:rPr>
        <w:t>In November 2012, we entered into an exclusive license agreement with Sanofi for the use of our SVP technology for a life-threatening food</w:t>
      </w:r>
      <w:r>
        <w:rPr>
          <w:rFonts w:ascii="Arial" w:cs="Arial" w:eastAsia="Arial" w:hAnsi="Arial"/>
          <w:sz w:val="15"/>
          <w:szCs w:val="15"/>
          <w:i w:val="1"/>
          <w:iCs w:val="1"/>
          <w:color w:val="auto"/>
        </w:rPr>
        <w:t xml:space="preserve"> </w:t>
      </w:r>
      <w:r>
        <w:rPr>
          <w:rFonts w:ascii="Arial" w:cs="Arial" w:eastAsia="Arial" w:hAnsi="Arial"/>
          <w:sz w:val="15"/>
          <w:szCs w:val="15"/>
          <w:color w:val="auto"/>
        </w:rPr>
        <w:t>allergy. We are evaluating a SVP that encapsulates an immunomodulator together with an allergen provided by Sanofi. Our license agreement with Sanofi contemplates multiple preclinical, clinical, regulatory and sales milestones as well as a multi-tiered royalty structure.</w:t>
      </w:r>
    </w:p>
    <w:p>
      <w:pPr>
        <w:spacing w:after="0" w:line="182" w:lineRule="exact"/>
        <w:rPr>
          <w:rFonts w:ascii="Arial" w:cs="Arial" w:eastAsia="Arial" w:hAnsi="Arial"/>
          <w:sz w:val="15"/>
          <w:szCs w:val="15"/>
          <w:color w:val="auto"/>
        </w:rPr>
      </w:pPr>
    </w:p>
    <w:p>
      <w:pPr>
        <w:ind w:left="467" w:right="200" w:hanging="467"/>
        <w:spacing w:after="0" w:line="270"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Celiac Disease. </w:t>
      </w:r>
      <w:r>
        <w:rPr>
          <w:rFonts w:ascii="Arial" w:cs="Arial" w:eastAsia="Arial" w:hAnsi="Arial"/>
          <w:sz w:val="15"/>
          <w:szCs w:val="15"/>
          <w:color w:val="auto"/>
        </w:rPr>
        <w:t>In November 2014, Sanofi exercised its option to develop a SVP-based therapy to treat celiac disease under similar financial and other terms as the food allergy</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We are evaluating a SVP that encapsulates an immunomodulator together with gluten antigens provided by Sanofi. Our license agreement with Sanofi contemplates multiple preclinical, clinical, regulatory and sales milestones as well as a multi-tiered royalty structure.</w:t>
      </w:r>
    </w:p>
    <w:p>
      <w:pPr>
        <w:spacing w:after="0" w:line="170" w:lineRule="exact"/>
        <w:rPr>
          <w:rFonts w:ascii="Arial" w:cs="Arial" w:eastAsia="Arial" w:hAnsi="Arial"/>
          <w:sz w:val="15"/>
          <w:szCs w:val="15"/>
          <w:color w:val="auto"/>
        </w:rPr>
      </w:pPr>
    </w:p>
    <w:p>
      <w:pPr>
        <w:ind w:left="467" w:right="140" w:hanging="467"/>
        <w:spacing w:after="0" w:line="282"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Type 1 Diabetes. </w:t>
      </w:r>
      <w:r>
        <w:rPr>
          <w:rFonts w:ascii="Arial" w:cs="Arial" w:eastAsia="Arial" w:hAnsi="Arial"/>
          <w:sz w:val="15"/>
          <w:szCs w:val="15"/>
          <w:color w:val="auto"/>
        </w:rPr>
        <w:t>In September 2014, we received a grant from Sanofi, together with the Juvenile Diabetes Research Foundation, for research on SVP formulations encapsulating</w:t>
      </w:r>
      <w:r>
        <w:rPr>
          <w:rFonts w:ascii="Arial" w:cs="Arial" w:eastAsia="Arial" w:hAnsi="Arial"/>
          <w:sz w:val="15"/>
          <w:szCs w:val="15"/>
          <w:i w:val="1"/>
          <w:iCs w:val="1"/>
          <w:color w:val="auto"/>
        </w:rPr>
        <w:t xml:space="preserve"> </w:t>
      </w:r>
      <w:r>
        <w:rPr>
          <w:rFonts w:ascii="Arial" w:cs="Arial" w:eastAsia="Arial" w:hAnsi="Arial"/>
          <w:sz w:val="15"/>
          <w:szCs w:val="15"/>
          <w:color w:val="auto"/>
        </w:rPr>
        <w:t>Rapamycin and insulin or insulin peptides.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IMMUNE STIMULATION PROGRAMS</w:t>
      </w:r>
    </w:p>
    <w:p>
      <w:pPr>
        <w:spacing w:after="0" w:line="195"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We believe our SVP technology, by encapsulating antigens and adjuvants, has the potential to be used for therapies that stimulate the immune system to treat cancer, infectious diseases and other diseases. We have early-stage programs for therapeutic treatment of HPV-associated cancers and antibody-based vaccine programs for nicotine addiction and malaria. These programs are primarily funded by grants and are the focus of our Russian operations.</w:t>
      </w:r>
    </w:p>
    <w:p>
      <w:pPr>
        <w:spacing w:after="0" w:line="159"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Our SVP immune stimulation programs are designed to encapsulate an antigen and a toll-like receptor, or TLR, agonist as the immunomodulator. Humans possess ten TLRs, each of which recognizes distinct molecular patterns associated with pathogens. Activation of TLRs alert the immune system that a potential pathogen is present and that the immune system should mount a response. In this regard, we refer to TLR agonists as substances that activate specific TLRs. TLR agonists can be used as supplements, or adjuvants, to vaccines to increase the immune response to the vaccine by activating the TLRs in antigen-presenting cells.</w:t>
      </w:r>
    </w:p>
    <w:p>
      <w:pPr>
        <w:spacing w:after="0" w:line="162" w:lineRule="exact"/>
        <w:rPr>
          <w:sz w:val="20"/>
          <w:szCs w:val="20"/>
          <w:color w:val="auto"/>
        </w:rPr>
      </w:pPr>
    </w:p>
    <w:p>
      <w:pPr>
        <w:ind w:left="7" w:right="140"/>
        <w:spacing w:after="0" w:line="290" w:lineRule="auto"/>
        <w:rPr>
          <w:sz w:val="20"/>
          <w:szCs w:val="20"/>
          <w:color w:val="auto"/>
        </w:rPr>
      </w:pPr>
      <w:r>
        <w:rPr>
          <w:rFonts w:ascii="Arial" w:cs="Arial" w:eastAsia="Arial" w:hAnsi="Arial"/>
          <w:sz w:val="14"/>
          <w:szCs w:val="14"/>
          <w:color w:val="auto"/>
        </w:rPr>
        <w:t>Injecting TLR agonists alone can cause off-target, systemic immune stimulation, leading to the production of secreted factors called cytokines, which can effectively limit the dosage of vaccines by causing inflammation and flu-like symptoms. To address this issue, our stimulatory SVP technology is designed to limit the TLR agonists from creating a systemic immune response by encapsulating the TLR agonists within our biodegradable nanoparticle. When the TLR agonist is encapsulated with SVP, referred to as SVP-TLR agonist, it can be selectively delivered, together with the vaccine target antigen, to the antigen-presenting cells to induce antigen-specific immune stimulation.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43" w:name="page144"/>
    <w:bookmarkEnd w:id="143"/>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stimulation-related preclinical study</w:t>
      </w:r>
    </w:p>
    <w:p>
      <w:pPr>
        <w:spacing w:after="0" w:line="195" w:lineRule="exact"/>
        <w:rPr>
          <w:sz w:val="20"/>
          <w:szCs w:val="20"/>
          <w:color w:val="auto"/>
        </w:rPr>
      </w:pPr>
    </w:p>
    <w:p>
      <w:pPr>
        <w:jc w:val="both"/>
        <w:ind w:left="7" w:right="120"/>
        <w:spacing w:after="0" w:line="362" w:lineRule="auto"/>
        <w:rPr>
          <w:sz w:val="20"/>
          <w:szCs w:val="20"/>
          <w:color w:val="auto"/>
        </w:rPr>
      </w:pPr>
      <w:r>
        <w:rPr>
          <w:rFonts w:ascii="Arial" w:cs="Arial" w:eastAsia="Arial" w:hAnsi="Arial"/>
          <w:sz w:val="13"/>
          <w:szCs w:val="13"/>
          <w:color w:val="auto"/>
        </w:rPr>
        <w:t>We conducted a preclinical study in mice to evaluate the ability of a SVP-TLR agonist containing an antigen to minimize the production of systemic cytokines, which are responsible for an undesired systemic immune-stimulatory response, while increasing the production of local cytokines, which are responsible for a strong and antigen-specific immune-stimulatory response.</w:t>
      </w:r>
    </w:p>
    <w:p>
      <w:pPr>
        <w:spacing w:after="0" w:line="105"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In this study, we used a specific agonist of TLR7 and TLR8, referred to as TLR 7/8 agonist, that we either delivered in free form mixed with a nanoparticle containing an antigen or encapsulated with an antigen in a nanoparticle.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Figures 26a through 26d below:</w:t>
      </w:r>
    </w:p>
    <w:p>
      <w:pPr>
        <w:spacing w:after="0" w:line="210" w:lineRule="exact"/>
        <w:rPr>
          <w:sz w:val="20"/>
          <w:szCs w:val="20"/>
          <w:color w:val="auto"/>
        </w:rPr>
      </w:pPr>
    </w:p>
    <w:p>
      <w:pPr>
        <w:ind w:left="467" w:right="240" w:hanging="467"/>
        <w:spacing w:after="0" w:line="282" w:lineRule="auto"/>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first group of mice, referred to as the Encapsulated TLR 7/8 Agonist Group and indicated in green, received a single dose of SVP encapsulating both an antigen and a TLR 7/8 agonist; and</w:t>
      </w:r>
    </w:p>
    <w:p>
      <w:pPr>
        <w:spacing w:after="0" w:line="173" w:lineRule="exact"/>
        <w:rPr>
          <w:rFonts w:ascii="Arial" w:cs="Arial" w:eastAsia="Arial" w:hAnsi="Arial"/>
          <w:sz w:val="15"/>
          <w:szCs w:val="15"/>
          <w:color w:val="auto"/>
        </w:rPr>
      </w:pPr>
    </w:p>
    <w:p>
      <w:pPr>
        <w:ind w:left="467" w:right="100" w:hanging="467"/>
        <w:spacing w:after="0" w:line="282" w:lineRule="auto"/>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second group of mice, referred to as the Free TLR 7/8 Agonist Group and indicated in red, received a single dose of SVP encapsulating antigen alone together with free TLR 7/8 agonist.</w:t>
      </w:r>
    </w:p>
    <w:p>
      <w:pPr>
        <w:spacing w:after="0" w:line="151"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We evaluated serum levels of TNF-alpha and interleukin-6, or IL-6, two pro-inflammatory cytokines indicative of an undesired, systemic immune response and associated with flu-like symptoms, to determine the levels of systemic cytokine production, as depicted in Figures 26a and 26b below. We also evaluated the levels of interleukin-12, or IL-12, and interferon-gamma, or IFN, in the draining lymph node to determine the levels of local cytokine production involved in desired T helper cell type 1 immune responses, as depicted in Figures 26c and 26d below.</w:t>
      </w:r>
    </w:p>
    <w:p>
      <w:pPr>
        <w:spacing w:after="0" w:line="162"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As depicted in Figures 26a and 26b below, we observed increased levels of systemic cytokine production in the Free TLR 7/8 Agonist Group in comparison to the Encapsulated TLR 7/8 Agonist Group. As depicted in Figures 26c and 26d below, we observed increased levels of local cytokine production in the draining lymph node in the Encapsulated TLR 7/8 Agonist Group as compared to the Free TLR 7/8 Agonist Group.</w:t>
      </w:r>
    </w:p>
    <w:p>
      <w:pPr>
        <w:spacing w:after="0" w:line="159" w:lineRule="exact"/>
        <w:rPr>
          <w:sz w:val="20"/>
          <w:szCs w:val="20"/>
          <w:color w:val="auto"/>
        </w:rPr>
      </w:pPr>
    </w:p>
    <w:p>
      <w:pPr>
        <w:ind w:left="7" w:right="220"/>
        <w:spacing w:after="0" w:line="282" w:lineRule="auto"/>
        <w:rPr>
          <w:sz w:val="20"/>
          <w:szCs w:val="20"/>
          <w:color w:val="auto"/>
        </w:rPr>
      </w:pPr>
      <w:r>
        <w:rPr>
          <w:rFonts w:ascii="Arial" w:cs="Arial" w:eastAsia="Arial" w:hAnsi="Arial"/>
          <w:sz w:val="15"/>
          <w:szCs w:val="15"/>
          <w:color w:val="auto"/>
        </w:rPr>
        <w:t>Based on these results, we believe that by encapsulating a TLR agonist in SVP, we are able to increase the production of local cytokines without triggering an undesired systemic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4" w:name="page145"/>
    <w:bookmarkEnd w:id="14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40519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0910" cy="405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26a through 26d. Preclinical Study: Minimization of Production of Systemic Cytokines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Cancer immunotherapy</w:t>
      </w:r>
    </w:p>
    <w:p>
      <w:pPr>
        <w:spacing w:after="0" w:line="195"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Cancer immunotherapy leverages the immune system to treat cancer. The main function of the immune system is to discriminate between "self" and "non-self" antigens. Cancer cells thrive, in part, because they are derived from the body's own cells, and thus are recognized by the immune system as self. We believe that cancer vaccines could be an important therapeutic modality to treat cancer by training the immune system to recognize cancer-associated antigens that are mutated or not expressed in normal adult tissues.</w:t>
      </w:r>
    </w:p>
    <w:p>
      <w:pPr>
        <w:spacing w:after="0" w:line="144"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Tumors also evade the immune system by increasing the expression of certain molecules that suppress the immune response against the tumor. This mechanism may be overcome by administering products called immune checkpoint inhibitors, which are designed to block or overcome the immunosuppressive pathways and stimulate the immune system. We believe the efficacy of this approach depends on the existence of pre-existing tumor-specific cytolytic T cells, or CTL, that can be mobilized by checkpoint inhibitors. In some patients, the immune system either does not recognize the tumor or is too weak to mount a response and as a result cannot generate the CTL necessary to kill the tumor. For these patients, a vaccine therapy that stimulates the immune system and could be given in conjunction with a checkpoint inhibitor, may result in better outcomes. We believe that the combination of checkpoint inhibitors and effective cancer vaccines represents the next advance in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45" w:name="page146"/>
    <w:bookmarkEnd w:id="145"/>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HPV-associated cancer</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HPV overview</w:t>
      </w:r>
    </w:p>
    <w:p>
      <w:pPr>
        <w:spacing w:after="0" w:line="195" w:lineRule="exact"/>
        <w:rPr>
          <w:sz w:val="20"/>
          <w:szCs w:val="20"/>
          <w:color w:val="auto"/>
        </w:rPr>
      </w:pPr>
    </w:p>
    <w:p>
      <w:pPr>
        <w:ind w:left="7" w:right="500"/>
        <w:spacing w:after="0" w:line="282" w:lineRule="auto"/>
        <w:rPr>
          <w:sz w:val="20"/>
          <w:szCs w:val="20"/>
          <w:color w:val="auto"/>
        </w:rPr>
      </w:pPr>
      <w:r>
        <w:rPr>
          <w:rFonts w:ascii="Arial" w:cs="Arial" w:eastAsia="Arial" w:hAnsi="Arial"/>
          <w:sz w:val="15"/>
          <w:szCs w:val="15"/>
          <w:color w:val="auto"/>
        </w:rPr>
        <w:t>HPV is a sexually transmitted infection, which can lead to the development of cancer. Cervical HPV infection often clears spontaneously. However, when it persists, it can lead to the development of cervical intraepithelial neoplasia, or CIN, and cervical cancer.</w:t>
      </w:r>
    </w:p>
    <w:p>
      <w:pPr>
        <w:spacing w:after="0" w:line="151"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According to the World Health Organization, HPV infection results in an estimated 530,000 new cases of cervical cancer worldwide, with 270,000 deaths annually. The Centers for Disease Control and Prevention estimates that in the United States there are more than 26,000 cases of HPV-associated cancer per year. HPV is found in approximately 99% of cases of cervical cancer and 72% of cases of oropharyngeal head and neck cancer. The rising incidence of such cancers is thought to be related to the increasing proportion of cancers caused by HPV. In 2011, a study published in the Journal of Clinical Oncology observed that HPV prevalence in oropharyngeal cancers increased from 16.3% during 1984 to 1989 to 71.7% during 2000 to 2004. There are two HPV strains that are responsible for more than 70% of cervical cancer worldwide.</w:t>
      </w:r>
    </w:p>
    <w:p>
      <w:pPr>
        <w:spacing w:after="0" w:line="167"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Gardasil and Cervarix are FDA-approved prophylactic vaccines for HPV-related cancers with aggregate worldwide sales reaching $1.9 billion in 2014. While these vaccines can prevent tumor occurrence, Gardasil and Cervarix have not been approved for treatment of patients with existing HPV-related cancers.</w:t>
      </w:r>
    </w:p>
    <w:p>
      <w:pPr>
        <w:spacing w:after="0" w:line="151" w:lineRule="exact"/>
        <w:rPr>
          <w:sz w:val="20"/>
          <w:szCs w:val="20"/>
          <w:color w:val="auto"/>
        </w:rPr>
      </w:pPr>
    </w:p>
    <w:p>
      <w:pPr>
        <w:ind w:left="7" w:right="320"/>
        <w:spacing w:after="0" w:line="297" w:lineRule="auto"/>
        <w:rPr>
          <w:sz w:val="20"/>
          <w:szCs w:val="20"/>
          <w:color w:val="auto"/>
        </w:rPr>
      </w:pPr>
      <w:r>
        <w:rPr>
          <w:rFonts w:ascii="Arial" w:cs="Arial" w:eastAsia="Arial" w:hAnsi="Arial"/>
          <w:sz w:val="14"/>
          <w:szCs w:val="14"/>
          <w:color w:val="auto"/>
        </w:rPr>
        <w:t>According to the Centers for Disease Control and Prevention, in 2012, only 54% of women between the age of 13 to 17 had received at least one dose of the HPV vaccine and only 33% received a complete series of three, which may serve as a prophylactic if administered prior to exposure. This level of vaccination is well below the 80% rate set as a goal by the U.S. Department of Health and Human Services. As a result, we believe that HPV-associated cancer will be an ongoing medical condition for the foreseeable future.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 of our program for HPV-associated cancer</w:t>
      </w:r>
    </w:p>
    <w:p>
      <w:pPr>
        <w:spacing w:after="0" w:line="195"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Our first CTL-activating SVP program in development is designed to treat HPV-associated cancers by stimulating the immune response to the E6 and E7 proteins, which are expressed by HPV-associated tumor cells. The HPV E6 and E7 antigens are oncogenic proteins that promote malignant transformation and tumor growth. Our SVP program for HPV-associated cancer consists of a SVP encapsulating the E6 and E7 proteins, or SVP-E6/E7, co-administered with an SVP adjuvant which contains a TLR agonist. We refer to this co-administration as SVP-HPV.</w:t>
      </w:r>
    </w:p>
    <w:p>
      <w:pPr>
        <w:spacing w:after="0" w:line="162"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were awarded a grant from the Skolkovo Foundation to support our program to develop an SVP immunotherapy to treat HPV-associated cancers. We believe the grant will assist us with advancing the program from preclinical to early clinical evaluation.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right="20"/>
        <w:spacing w:after="0" w:line="273" w:lineRule="auto"/>
        <w:rPr>
          <w:sz w:val="20"/>
          <w:szCs w:val="20"/>
          <w:color w:val="auto"/>
        </w:rPr>
      </w:pPr>
      <w:r>
        <w:rPr>
          <w:rFonts w:ascii="Arial" w:cs="Arial" w:eastAsia="Arial" w:hAnsi="Arial"/>
          <w:sz w:val="15"/>
          <w:szCs w:val="15"/>
          <w:color w:val="auto"/>
        </w:rPr>
        <w:t>We conducted a preclinical study in which we evaluated the ability of SVP-HPV to reverse tumor growth for HPV-associated cancers. In this study, we delivered SVP-HPV to mice using the TC-1 tumor model, which expresses the HPV E6 and E7 antigens. Mice were treated either 13 days or 14 days after the introduction (inoculation) of TC-1 tumor cells, at which time the average tumor size was approximately 200 mm</w:t>
      </w:r>
      <w:r>
        <w:rPr>
          <w:rFonts w:ascii="Arial" w:cs="Arial" w:eastAsia="Arial" w:hAnsi="Arial"/>
          <w:sz w:val="25"/>
          <w:szCs w:val="25"/>
          <w:color w:val="auto"/>
          <w:vertAlign w:val="superscript"/>
        </w:rPr>
        <w:t>3</w:t>
      </w:r>
      <w:r>
        <w:rPr>
          <w:rFonts w:ascii="Arial" w:cs="Arial" w:eastAsia="Arial" w:hAnsi="Arial"/>
          <w:sz w:val="15"/>
          <w:szCs w:val="15"/>
          <w:color w:val="auto"/>
        </w:rPr>
        <w:t>.</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this study, we administered to:</w:t>
      </w:r>
    </w:p>
    <w:p>
      <w:pPr>
        <w:spacing w:after="0" w:line="210" w:lineRule="exact"/>
        <w:rPr>
          <w:sz w:val="20"/>
          <w:szCs w:val="20"/>
          <w:color w:val="auto"/>
        </w:rPr>
      </w:pPr>
    </w:p>
    <w:p>
      <w:pPr>
        <w:ind w:left="467" w:hanging="467"/>
        <w:spacing w:after="0"/>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first group of mice, referred to as the Empty Nanoparticle Group and indicated in blue in Figures 27a and 27c below, four doses of empty nanoparticles;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6" w:name="page147"/>
    <w:bookmarkEnd w:id="146"/>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second group of mice, referred to as the SVP-HPV Group and indicated in green in Figures 27b and 27c below, four doses of SVP-HPV.</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3"/>
          <w:szCs w:val="13"/>
          <w:color w:val="auto"/>
        </w:rPr>
        <w:t>As depicted in Figures 27a and 27b below, we recorded the volumes of the tumors in both the Empty Nanoparticle Group and the SVP-HPV Group to determine the efficacy of the treatment.</w:t>
      </w:r>
    </w:p>
    <w:p>
      <w:pPr>
        <w:spacing w:after="0" w:line="221"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As depicted in Figures 27a and 27b below, we observed that the administration of SVP-HPV reduced the growth of tumors in the SPV-HPV Group in comparison to the Empty Nanoparticle Group, even when administered to mice with palpable tumors. Notably, the tumors in the mice in the SVP-HPV Group continued to grow to an average size of approximately 1,200 mm3 at day 20, before regressing back to baseline.</w:t>
      </w:r>
    </w:p>
    <w:p>
      <w:pPr>
        <w:spacing w:after="0" w:line="159" w:lineRule="exact"/>
        <w:rPr>
          <w:sz w:val="20"/>
          <w:szCs w:val="20"/>
          <w:color w:val="auto"/>
        </w:rPr>
      </w:pPr>
    </w:p>
    <w:p>
      <w:pPr>
        <w:ind w:left="7" w:right="140"/>
        <w:spacing w:after="0" w:line="330" w:lineRule="auto"/>
        <w:rPr>
          <w:sz w:val="20"/>
          <w:szCs w:val="20"/>
          <w:color w:val="auto"/>
        </w:rPr>
      </w:pPr>
      <w:r>
        <w:rPr>
          <w:rFonts w:ascii="Arial" w:cs="Arial" w:eastAsia="Arial" w:hAnsi="Arial"/>
          <w:sz w:val="13"/>
          <w:szCs w:val="13"/>
          <w:color w:val="auto"/>
        </w:rPr>
        <w:t>In a separate experiment, we re-challenged surviving mice on day 154 with a second inoculation of TC-1 tumor cells to test the durability of the immune response and the ability to prevent tumor recurrence. As depicted in Figure 27c below, we observed that immunization with SVP-HPV increases the survival rate of SVP-HPV immunized mice compared to saline treated mice, referred to as the Saline Control Group. The surviving mice withstood a second inoculation of tumors at day 154, indicating the development of long term immunological memory.</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these observations, we believe administration of SVP-HPV can both reduce tumor size and increase survival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130175</wp:posOffset>
            </wp:positionV>
            <wp:extent cx="4993640" cy="39052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993640" cy="390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27a through 27c. Preclinical Study: Administration of SVP-HPV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7" w:name="page148"/>
    <w:bookmarkEnd w:id="147"/>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We conducted a preclinical study to evaluate the synergistic effects that our SVP technology may have with certain checkpoint inhibitors such as anti-PD-L1 antibodies. In this study, mice were separated into four groups and implanted with B16F10 melanoma tumor cells, which express an endogenous tumor antigen called TRP-2.</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 28 below, the:</w:t>
      </w:r>
    </w:p>
    <w:p>
      <w:pPr>
        <w:spacing w:after="0" w:line="210" w:lineRule="exact"/>
        <w:rPr>
          <w:sz w:val="20"/>
          <w:szCs w:val="20"/>
          <w:color w:val="auto"/>
        </w:rPr>
      </w:pPr>
    </w:p>
    <w:p>
      <w:pPr>
        <w:ind w:left="467" w:hanging="467"/>
        <w:spacing w:after="0"/>
        <w:tabs>
          <w:tab w:leader="none" w:pos="467" w:val="left"/>
        </w:tabs>
        <w:numPr>
          <w:ilvl w:val="0"/>
          <w:numId w:val="91"/>
        </w:numPr>
        <w:rPr>
          <w:rFonts w:ascii="Arial" w:cs="Arial" w:eastAsia="Arial" w:hAnsi="Arial"/>
          <w:sz w:val="14"/>
          <w:szCs w:val="14"/>
          <w:color w:val="auto"/>
        </w:rPr>
      </w:pPr>
      <w:r>
        <w:rPr>
          <w:rFonts w:ascii="Arial" w:cs="Arial" w:eastAsia="Arial" w:hAnsi="Arial"/>
          <w:sz w:val="14"/>
          <w:szCs w:val="14"/>
          <w:color w:val="auto"/>
        </w:rPr>
        <w:t>first group of mice, referred to as the Empty Nanoparticle + Control Antibody Group and indicated in black, received empty nanoparticles with an isotype control antibody;</w:t>
      </w:r>
    </w:p>
    <w:p>
      <w:pPr>
        <w:spacing w:after="0" w:line="232" w:lineRule="exact"/>
        <w:rPr>
          <w:rFonts w:ascii="Arial" w:cs="Arial" w:eastAsia="Arial" w:hAnsi="Arial"/>
          <w:sz w:val="14"/>
          <w:szCs w:val="14"/>
          <w:color w:val="auto"/>
        </w:rPr>
      </w:pPr>
    </w:p>
    <w:p>
      <w:pPr>
        <w:ind w:left="467" w:right="160" w:hanging="467"/>
        <w:spacing w:after="0" w:line="282" w:lineRule="auto"/>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second group of mice, referred to as the Empty Nanoparticle + Anti-PD-L1 Antibody Group and indicated in blue, received empty nanoparticles with a PD-L1-specific monoclonal antibody;</w:t>
      </w:r>
    </w:p>
    <w:p>
      <w:pPr>
        <w:spacing w:after="0" w:line="162" w:lineRule="exact"/>
        <w:rPr>
          <w:rFonts w:ascii="Arial" w:cs="Arial" w:eastAsia="Arial" w:hAnsi="Arial"/>
          <w:sz w:val="15"/>
          <w:szCs w:val="15"/>
          <w:color w:val="auto"/>
        </w:rPr>
      </w:pPr>
    </w:p>
    <w:p>
      <w:pPr>
        <w:ind w:left="467" w:right="100" w:hanging="467"/>
        <w:spacing w:after="0" w:line="282" w:lineRule="auto"/>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third group of mice, referred to as the SVP-TRP-2 + Control Antibody Group and indicated in green, received SVP encapsulating the TRP-2 peptide antigen and a TLR agonist with an isotype control antibody; and</w:t>
      </w:r>
    </w:p>
    <w:p>
      <w:pPr>
        <w:spacing w:after="0" w:line="162" w:lineRule="exact"/>
        <w:rPr>
          <w:rFonts w:ascii="Arial" w:cs="Arial" w:eastAsia="Arial" w:hAnsi="Arial"/>
          <w:sz w:val="15"/>
          <w:szCs w:val="15"/>
          <w:color w:val="auto"/>
        </w:rPr>
      </w:pPr>
    </w:p>
    <w:p>
      <w:pPr>
        <w:ind w:left="467" w:right="200" w:hanging="467"/>
        <w:spacing w:after="0" w:line="282" w:lineRule="auto"/>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fourth group of mice, referred to as the SVP-TRP-2 + Anti-PD-L1 Antibody Group and indicated in red, received SVP encapsulating the TRP-2 peptide antigen and a TLR agonist with a PD-L1-specific monoclonal antibody.</w:t>
      </w:r>
    </w:p>
    <w:p>
      <w:pPr>
        <w:spacing w:after="0" w:line="151" w:lineRule="exact"/>
        <w:rPr>
          <w:sz w:val="20"/>
          <w:szCs w:val="20"/>
          <w:color w:val="auto"/>
        </w:rPr>
      </w:pPr>
    </w:p>
    <w:p>
      <w:pPr>
        <w:ind w:left="7" w:right="40"/>
        <w:spacing w:after="0" w:line="290" w:lineRule="auto"/>
        <w:rPr>
          <w:sz w:val="20"/>
          <w:szCs w:val="20"/>
          <w:color w:val="auto"/>
        </w:rPr>
      </w:pPr>
      <w:r>
        <w:rPr>
          <w:rFonts w:ascii="Arial" w:cs="Arial" w:eastAsia="Arial" w:hAnsi="Arial"/>
          <w:sz w:val="14"/>
          <w:szCs w:val="14"/>
          <w:color w:val="auto"/>
        </w:rPr>
        <w:t>We evaluated the presence of tumors over time in the mice to determine the efficacy of treatment. We observed that more mice in the SVP-TRP-2 + Control Antibody Group remained tumor-free and over a longer period of time than that of the Empty Nanoparticle + Control Antibody and the Empty Nanoparticle + Anti-PD-L1 Antibody Groups. The SVP-TRP-2 + Anti-PD-L1 Group showed even better efficacy, with approximately 66% of mice remaining tumor free at day 76, compared to approximately 25% of mice in the SVP-TRP-2 + Control Antibody Group and 0% of mice in each of the Empty Nanoparticle + Control Antibody and the Empty Nanoparticle + Anti-PD-L1 Antibody Groups.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our observations, we believe our SVP technology may have synergistic effects with certain checkpoint inhibitors to treat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130175</wp:posOffset>
            </wp:positionV>
            <wp:extent cx="4412615" cy="27578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412615" cy="275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28. Preclinical Study: Administration of SVP Encapsulating the TRP-2 Peptide Antigen and TLR Agonist in B16F1-Melanoma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8" w:name="page149"/>
    <w:bookmarkEnd w:id="14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OTHER PROGRAMS</w:t>
      </w:r>
    </w:p>
    <w:p>
      <w:pPr>
        <w:spacing w:after="0" w:line="1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Our other immune stimulation programs are a prophylactic malaria vaccine, funded by a grant from The Bill and Melinda Gates Foundation, and a therapeutic vaccine for smoking cessation and relapse prevention, funded by a grant from the NIDA part of the National Institutes of Health.</w:t>
      </w:r>
    </w:p>
    <w:p>
      <w:pPr>
        <w:spacing w:after="0" w:line="151"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malaria program is designed to be a dual action, immune-stimulating SVP nanoparticle vaccine that we believe may offer the potential to protect against malaria by preventing infection and transmission. This program is in the discovery phase.</w:t>
      </w:r>
    </w:p>
    <w:p>
      <w:pPr>
        <w:spacing w:after="0" w:line="151" w:lineRule="exact"/>
        <w:rPr>
          <w:sz w:val="20"/>
          <w:szCs w:val="20"/>
          <w:color w:val="auto"/>
        </w:rPr>
      </w:pPr>
    </w:p>
    <w:p>
      <w:pPr>
        <w:ind w:right="260"/>
        <w:spacing w:after="0" w:line="284" w:lineRule="auto"/>
        <w:rPr>
          <w:sz w:val="20"/>
          <w:szCs w:val="20"/>
          <w:color w:val="auto"/>
        </w:rPr>
      </w:pPr>
      <w:r>
        <w:rPr>
          <w:rFonts w:ascii="Arial" w:cs="Arial" w:eastAsia="Arial" w:hAnsi="Arial"/>
          <w:sz w:val="14"/>
          <w:szCs w:val="14"/>
          <w:color w:val="auto"/>
        </w:rPr>
        <w:t>The smoking cessation and relapse prevention program aims to stimulate the immune system to produce nicotine-specific antibodies in smokers. We believe such antibodies have the potential to bind to the inhaled nicotine and prevent the inhaled nicotine from reaching the brain thereby reducing levels of nicotine in the brain to support smoking cessation and relapse prevention. The SVP-nicotine program, SEL-070, is in preclinical development. We had a prior SVP-nicotine product candidate that was partly sponsored by a grant from NIDA, which entered clinical development. Results from a Phase 1 clinical trial conducted in smokers and non-smokers with this prior product candidate showed that it was well tolerated and that nicotine-specific antibodies were induced, but at sub-therapeutic levels. On the basis of the data from this Phase 1 trial, we obtained a new grant from NIDA to further optimize our SVP-nicotine product candidate. We are currently conducting GLP toxicology studies for our optimized smoking cessation candidate.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manufacture SVP using a readily-scalable, self-assembly nanoemulsion process with well-defined, robust commercial pharmaceutical unit operations. This proprietary, highly specialized and precisely controlled manufacturing process enables us to reproducibly manufacture SVP across many production scales, from milligram-scale at the laboratory bench, to tens of grams to support investigational new drug application-enabling toxicology studies and early phase clinical studies, to hundreds of grams to multi-kilogram scale for commercial production. This well-defined process has been produced at multiple scales. We have also developed and executed the required detailed analytic characterization of our products. We have completed and released multiple cGMP batches of nanoparticles at the 50 gram scale for our SVP-Rapamycin program and at the 10 and 20 gram scale for our nicotine program.</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For the SEL-212 program, we have scaled-up the SVP-Rapamycin production to a 50 gram scale and have initiated development at the 200 gram scale,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pegsiticase enzyme is produced by fermentation in E. Coli and is sourced from 3SBio in China. 3SBio is a Chinese pharmaceutical company that produces multiple approved products in China and also has product sales in other countries around the world. 3SBio supplies the pegsiticase used in the current clinical trials of SEL-212 in the United States. Through a licensing arrangement, we own exclusive worldwide rights to pegsiticase outside of China, with co-ownership of rights in Japan and with 3SBio owning all rights in China. Under this arrangement, 3SBio has agreed to supply us with pegsiticase. We are in the process of evaluating a back-up supplier for pegsiticase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9" w:name="page150"/>
    <w:bookmarkEnd w:id="14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LICENSES AND COLLABORATIONS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Institute of Technology</w:t>
      </w:r>
    </w:p>
    <w:p>
      <w:pPr>
        <w:spacing w:after="0" w:line="195" w:lineRule="exact"/>
        <w:rPr>
          <w:sz w:val="20"/>
          <w:szCs w:val="20"/>
          <w:color w:val="auto"/>
        </w:rPr>
      </w:pPr>
    </w:p>
    <w:p>
      <w:pPr>
        <w:ind w:right="80"/>
        <w:spacing w:after="0" w:line="313" w:lineRule="auto"/>
        <w:rPr>
          <w:sz w:val="20"/>
          <w:szCs w:val="20"/>
          <w:color w:val="auto"/>
        </w:rPr>
      </w:pPr>
      <w:r>
        <w:rPr>
          <w:rFonts w:ascii="Arial" w:cs="Arial" w:eastAsia="Arial" w:hAnsi="Arial"/>
          <w:sz w:val="13"/>
          <w:szCs w:val="13"/>
          <w:color w:val="auto"/>
        </w:rPr>
        <w:t>In November 2008, we entered into a license agreement with MIT, which we refer to as the MIT License. We amended the MIT License in January 2010, November 2012 and August 2013.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and the Children's Medical Center Corporation and its subsidiary, the Children's Hospital Corporation (formerly, the Immune Disease Institute). Our exclusivity is subject to certain retained rights of these institutions and other third parties.</w:t>
      </w:r>
    </w:p>
    <w:p>
      <w:pPr>
        <w:spacing w:after="0" w:line="13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MIT License, we are required to use diligent efforts to develop and commercialize one or more licensed products or licensed processes, and to thereafter make such products and processes reasonably available to the public, which include annual minimum spending on research, development and commercialization by us or our sublicensees. 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annual maintenance fees, which may be credited against the low-single-digit running royalty on annual net sales that we are also obligated to pay. Additionally, we are required to pay MIT (i) developmental milestones up to an aggregate of $1,450,000, (ii) a mid-single digit percentage of income received in consideration of practice of patent rights or development of the products or processes in collaboration with or on behalf of a non-sublicensee corporate partner, (iii) a specified percentage of income received from sublicensees in the low thirties prior to November 25, 2009 and, after that, between 10% and 20%, and (iv) certain fees and costs. Pursuant to the MIT License, we are required to use diligent efforts to develop and commercialize one or more licensed products or licensed processes, and to thereafter make such products and processes reasonably available to the public, which include annual minimum spending of a specified amount in the low-to-mid-six figures in 2008 and 2009 and, thereafter, in the low seven figures, on research, development and commercialization by or our sublicensees.</w:t>
      </w:r>
    </w:p>
    <w:p>
      <w:pPr>
        <w:spacing w:after="0" w:line="15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Sanofi</w:t>
      </w:r>
    </w:p>
    <w:p>
      <w:pPr>
        <w:spacing w:after="0" w:line="19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November 2012, we entered into a license and research collaboration agreement with Sanofi, which we refer to as the Sanofi Agreement. Under the terms of the Sanofi Agreement, we granted Sanofi an exclusive, worldwide license to certain intellectual property rights and technologies owned by or licensed exclusively to us, including a sublicense under the MIT License, for the research, development and commercialization of one or more treatments for food allergies. The Sanofi Agreement contains an option to extend the license grant for two additional allergy indications, including celiac disease but excluding house dust mite allergies. In November 2014, Sanofi exercised the option to include celiac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0" w:name="page151"/>
    <w:bookmarkEnd w:id="15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disease as an additional indication and the Sanofi Agreement was amended to add terms specific to the celiac disease indication and to terminate Sanofi's right to exercise its option for any additional indications in May 2015. Except as authorized by Sanofi or permitted under the Sanofi Agreement, during the term of the Sanofi Agreement, our exclusivity obligations prevent us from researching, developing, or commercializing products in these indications or granting third party licenses under the intellectual property rights and technologies licensed to Sanofi for use in these indications.</w:t>
      </w:r>
    </w:p>
    <w:p>
      <w:pPr>
        <w:spacing w:after="0" w:line="162"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Under the terms of the research collaboration portion of the Sanofi Agreement, we are required to use commercially reasonable efforts to perform the activities set out for us in the research and development plans created and overseen by a joint research committee. We are responsible for manufacturing all vaccines required for research, development and commercialization of licensed products.</w:t>
      </w:r>
    </w:p>
    <w:p>
      <w:pPr>
        <w:spacing w:after="0" w:line="159"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The research term for the first indication expired on the third anniversary of the Sanofi Agreement (November 27, 2015). We completed our research obligations within the initial three year period and are not obligated to perform any further research on the specific indication under the Sanofi Agreement. A vaccine candidate for development and commercialization was not selected by Sanofi by the end of the research plan. However, we are in discussions with Sanofi to extend the research term for the first indication by one year (until November 27, 2016).</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research term for the second indication (celiac disease) will expire upon the earlier of (a) the nomination of a development candidate for the second indication and (b) May 7, 2019. In the event that we are unable to complete our research obligations by May 7, 2019, our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our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us for expenses incurred within certain approved limits.</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Pursuant to the Sanofi Agreement, Sanofi paid us an initial payment of $2,000,000 for the initial indication and an additional $2,000,000 for the second indication (celiac disease). Sanofi is obligated to make additional payments to us during preclinical research totaling up to $3,000,000 for each indication, which has been achieved for the food allergy indication. For each indication, we are also eligible for (i) a $5,000,000 development candidate milestone payable to us at the start of preclinical development, (ii) further development milestones up to an aggregate of $127,000,000, which includes up to an aggregate of $57.0 million following the initiation of Phase I, Phase II and Phase III clinical trials for the indication and filing of the first biologic license application, more than two-thirds of which is attributable to the initiation of the Phase 3 clinical trial and the filing of the first biologic license application, and an aggregate of $70.0 million upon achieving various regulatory approvals in the United States, European Union, Japan and Brazil, Russia, India or China, of which the majority is attributable to regulatory approvals in the United States, (iii) sales milestones of up to an aggregate of $170,000,000, and (iv) tiered royalties on annual net sales of licensed products at percentages ranging from mid-single to low double-digits.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These royalty rates are subject to certain reductions. If no vaccine candidates are nominated for development for any indication by 2019, the Sanofi Agreement will expire in its entirety in 2021 and all rights granted thereunder will terminate. If licensed products have been developed pursuant to this agreement, the term will continue until the expiration of all royalty payment obligations, after which time Sanofi will have a royalty-free, perpetual license. In certain circumstances, following termination of the Sanofi Agreement, we may elect to continue developing product candidates or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1" w:name="page152"/>
    <w:bookmarkEnd w:id="15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on our own, and if we choose to do so, we will be required to pay Sanofi low-single digit royalties on net sales and a percentage of licensing revenue ranging from mid-single to low-double digits.</w:t>
      </w:r>
    </w:p>
    <w:p>
      <w:pPr>
        <w:spacing w:after="0" w:line="151"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Sanofi may terminate the Sanofi Agreement in the event of our uncured material breach, or may terminate for any reason on 6 months' written notice. In case of our uncured material breach, Sanofi may elect, instead of terminating, to continue the Sanofi Agreement and offset any damages incurred due to the default against Sanofi's payments due to us thereunder. We may terminate the Sanofi Agreement in the event of Sanofi's uncured material breach or Sanofi's challenge or assistance of others in challenging our or MIT's licensed patents.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Shenyang Sunshine Pharmaceutical Co., Ltd.</w:t>
      </w:r>
    </w:p>
    <w:p>
      <w:pPr>
        <w:spacing w:after="0" w:line="195"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In May 2014, we entered into a license agreement with 3SBio, which we refer to as the 3SBio License. Pursuant to the 3SBio License, we were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SVP technology with pegsiticase or related compounds supplied by 3SBio (or otherwise supplied if our rights to manufacture are in effect) for human therapeutic, diagnostic and prophylactic use. We were also granted a co-exclusive license to manufacture and have manufactured pegsiticase and related compounds for our preclinical and clinical use or, if the 3SBio License is terminated for 3SBio's material breach, for any use under the 3SBio License. Otherwise, we are obligated to obtain all of our supply of such compounds for Phase 3 clinical trials and commercial use from 3SBio under the terms of supply agreements to be negotiated.</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3SBio License, we are required to use our commercially reasonable efforts to develop and commercialize a product containing pegsiticase or a related compound. If we do</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not commercialize any such product in a particular country in Asia, Africa or South America within 48 months after approval of any such product in the U.S. or a major European country,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then 3SBio will have the right to do so, but only until we commercialize a product combining our SVP technology with any such compound in such country. We have paid to 3SBio an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aggregate of $1,000,000 in upfront and milestone-based payments under the 3SBio License. We are required to make future payments to 3SBio contingent upon the occurrence of events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related to the achievement of clinical and regulatory approval milestones of up to an aggregate of $21,000,000 for products containing our SVP technology, and up to an aggregate of</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$41,500,000 for products without our SVP technology. We are also required to pay 3SBio tiered royalties on annual worldwide net sales (on a country-by-country and product-by-product</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basis) related to the pegsiticase component of products at percentages ranging from the low-to-mid single digits for products containing our SVP technology, and a range of no more than ten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percentage points from the mid-single digits to low double-digits for products without our SVP technology. We will pay these royalties to 3SBio, subject to specified reductions, on a</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country-by-country and product-by-product basis until the later of (i) the date that all of the patent rights for that product have expired in that country, or (ii) a specified number of years from</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first commercial sale of such product in such country.</w:t>
      </w:r>
    </w:p>
    <w:p>
      <w:pPr>
        <w:spacing w:after="0" w:line="193"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The 3SBio License expires on the date of expiration of all of our royalty payment obligations unless earlier terminated by either party for an uncured material default or for the other party's bankruptcy. Any such termination by 3SBio for our material default may be on a country-by country or product-by-product basis in certain circumstances. We may also terminate the 3SBio License on a country-by-country or product-by-product basis for any reason effective upon 60 days' prior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2" w:name="page153"/>
    <w:bookmarkEnd w:id="15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notice to 3SBio or, with respect to a given product, immediately upon written notice to 3SBio if we identify a safety or efficacy concern related to such product.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BIND</w:t>
      </w:r>
    </w:p>
    <w:p>
      <w:pPr>
        <w:spacing w:after="0" w:line="195"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 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40"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 breaching, failing to expend such amounts or undergoing such event under the BIND Agreement will no longer be granted to the breaching party.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Eye and Ear Infirmary</w:t>
      </w:r>
    </w:p>
    <w:p>
      <w:pPr>
        <w:spacing w:after="0" w:line="19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 May 2016, we entered into a license agreement with the Massachusetts Eye and Ear Infirmary and The Schepens Eye Research Institute, Inc., or, collectively, MEE, which we refer to as the MEE License. Under the MEE License, we were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w:t>
      </w:r>
    </w:p>
    <w:p>
      <w:pPr>
        <w:spacing w:after="0" w:line="148"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MEE also granted us exclusive options to exclusively license certain of their intellectual property rights relating to several additional target sequences and variations thereof each linked to a specified disease. During a defined option period, we may exercise this right for up to a designated number of target sequences. If we exercise our options, under certain circumstances, we may substitute alternative target sequences for previously selected target sequences.</w:t>
      </w:r>
    </w:p>
    <w:p>
      <w:pPr>
        <w:spacing w:after="0" w:line="15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We agreed to use commercially reasonable efforts to develop and commercialize licensed products pursuant to a development plan, and to market and sell at least one product for each target sequence for which we exercised our option as soon as reasonably practicable. Subject to certain exceptions, following commercial launch we must use commercially reasonable efforts to market, sell, and maintain public availability of licensed products in a certain number of specified 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Pursuant to the MEE Agreement, we agreed to pay MEE a license fee in the low six figures, annual license maintenance fees ranging from the mid-twenty thousands to mid-seventy thousands and an option maintenance fee in the low five figures for each exercisable option. We also agreed to reimburse MEE for a specified percentage of the past patent expenses for the patents licensed to us. We also agreed to pay development milestones on a licensed product-by-licensed product basis, totaling up to an aggregate of between $4,175,000 to $37,025,000 and sales milestones on a licensed product-by-licensed product basis, totaling up to an aggregate of between $50,000,000 to $70,000,000; tiered royalties on a licensed product-by-licensed product and country-by-country basis equal to a percentage of net sales ranging from mid-single digits to mid-teens, subject to the prevalence of the targeted disease and certain reductions; and a percentage, in a range expected to be in the mid-teens depending on timing, of any sublicense income we receive from sublicensing our rights granted thereunder, subject to certain reductions and exclusions. Upon exercise of each option, we agreed to pay MEE an option exercise fee ranging from low-six figures to mid-six figures, depending on the prevalence of the targeted disease.</w:t>
      </w:r>
    </w:p>
    <w:p>
      <w:pPr>
        <w:spacing w:after="0" w:line="167" w:lineRule="exact"/>
        <w:rPr>
          <w:sz w:val="20"/>
          <w:szCs w:val="20"/>
          <w:color w:val="auto"/>
        </w:rPr>
      </w:pPr>
    </w:p>
    <w:p>
      <w:pPr>
        <w:ind w:right="100"/>
        <w:spacing w:after="0" w:line="313" w:lineRule="auto"/>
        <w:rPr>
          <w:sz w:val="20"/>
          <w:szCs w:val="20"/>
          <w:color w:val="auto"/>
        </w:rPr>
      </w:pPr>
      <w:r>
        <w:rPr>
          <w:rFonts w:ascii="Arial" w:cs="Arial" w:eastAsia="Arial" w:hAnsi="Arial"/>
          <w:sz w:val="13"/>
          <w:szCs w:val="13"/>
          <w:color w:val="auto"/>
        </w:rPr>
        <w:t>The MEE License will continue until the expiration of the last to expire of the patent rights licensed thereunder. We may terminate the MEE License in whole or in part upon prior written notice. MEE may terminate the MEE License on a target sequence-by-target sequence basis if we fail to make any scheduled payments in respect of such target sequence or if we materially breach a diligence obligation in respect of such target sequence, in each case if we fail to cure within a specified time period. MEE may terminate the MEE License in its entirety if we materially breach certain of our obligations related to diligence, representations and warranties, and maintenance of insurance; if we challenge the validity or enforceability of any patents licensed thereunder; if any of our executive officers are convicted of a felony relating to manufacture, use, sale or importation of licensed products; or upon our insolvency or bankruptcy.</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right="160"/>
        <w:spacing w:after="0" w:line="306" w:lineRule="auto"/>
        <w:rPr>
          <w:sz w:val="20"/>
          <w:szCs w:val="20"/>
          <w:color w:val="auto"/>
        </w:rPr>
      </w:pPr>
      <w:r>
        <w:rPr>
          <w:rFonts w:ascii="Arial" w:cs="Arial" w:eastAsia="Arial" w:hAnsi="Arial"/>
          <w:sz w:val="13"/>
          <w:szCs w:val="13"/>
          <w:color w:val="auto"/>
        </w:rPr>
        <w:t>We endeavor to protect our SVP based immunotherapy program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143" w:lineRule="exact"/>
        <w:rPr>
          <w:sz w:val="20"/>
          <w:szCs w:val="20"/>
          <w:color w:val="auto"/>
        </w:rPr>
      </w:pPr>
    </w:p>
    <w:p>
      <w:pPr>
        <w:jc w:val="both"/>
        <w:ind w:right="280"/>
        <w:spacing w:after="0" w:line="270" w:lineRule="auto"/>
        <w:rPr>
          <w:sz w:val="20"/>
          <w:szCs w:val="20"/>
          <w:color w:val="auto"/>
        </w:rPr>
      </w:pPr>
      <w:r>
        <w:rPr>
          <w:rFonts w:ascii="Arial" w:cs="Arial" w:eastAsia="Arial" w:hAnsi="Arial"/>
          <w:sz w:val="15"/>
          <w:szCs w:val="15"/>
          <w:color w:val="auto"/>
        </w:rPr>
        <w:t>We have developed and in-licensed numerous patents and patent applications and possess substantial know-how and trade secrets relating to our SVP-based immunotherapy technology, program and product candidates. Our patent portfolio contains nine issued patents in the United States and seven foreign issued patents, in all cases, owned solely by us. We also have 50 pending patent applications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4" w:name="page155"/>
    <w:bookmarkEnd w:id="154"/>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United States as well as 307 foreign pending patent applications, in all cases, owned solely by us. These patents and patent applications include claims directed to:</w:t>
      </w:r>
    </w:p>
    <w:p>
      <w:pPr>
        <w:spacing w:after="0" w:line="210" w:lineRule="exact"/>
        <w:rPr>
          <w:sz w:val="20"/>
          <w:szCs w:val="20"/>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tolerance and cancer immunotherapy programs;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other immune stimulation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tolerance applications, including:</w:t>
      </w:r>
    </w:p>
    <w:p>
      <w:pPr>
        <w:spacing w:after="0" w:line="395" w:lineRule="exact"/>
        <w:rPr>
          <w:rFonts w:ascii="Arial" w:cs="Arial" w:eastAsia="Arial" w:hAnsi="Arial"/>
          <w:sz w:val="15"/>
          <w:szCs w:val="15"/>
          <w:color w:val="auto"/>
        </w:rPr>
      </w:pPr>
    </w:p>
    <w:p>
      <w:pPr>
        <w:ind w:left="1387" w:hanging="461"/>
        <w:spacing w:after="0"/>
        <w:tabs>
          <w:tab w:leader="none" w:pos="1387" w:val="left"/>
        </w:tabs>
        <w:numPr>
          <w:ilvl w:val="1"/>
          <w:numId w:val="92"/>
        </w:numPr>
        <w:rPr>
          <w:rFonts w:ascii="Arial" w:cs="Arial" w:eastAsia="Arial" w:hAnsi="Arial"/>
          <w:sz w:val="15"/>
          <w:szCs w:val="15"/>
          <w:color w:val="auto"/>
        </w:rPr>
      </w:pPr>
      <w:r>
        <w:rPr>
          <w:rFonts w:ascii="Arial" w:cs="Arial" w:eastAsia="Arial" w:hAnsi="Arial"/>
          <w:sz w:val="15"/>
          <w:szCs w:val="15"/>
          <w:color w:val="auto"/>
        </w:rPr>
        <w:t>mitigating or treating anti-drug antibodies association with protein drugs (such as SEL-212), and</w:t>
      </w:r>
    </w:p>
    <w:p>
      <w:pPr>
        <w:spacing w:after="0" w:line="221" w:lineRule="exact"/>
        <w:rPr>
          <w:rFonts w:ascii="Arial" w:cs="Arial" w:eastAsia="Arial" w:hAnsi="Arial"/>
          <w:sz w:val="15"/>
          <w:szCs w:val="15"/>
          <w:color w:val="auto"/>
        </w:rPr>
      </w:pPr>
    </w:p>
    <w:p>
      <w:pPr>
        <w:ind w:left="1387" w:hanging="461"/>
        <w:spacing w:after="0"/>
        <w:tabs>
          <w:tab w:leader="none" w:pos="1387" w:val="left"/>
        </w:tabs>
        <w:numPr>
          <w:ilvl w:val="1"/>
          <w:numId w:val="92"/>
        </w:numPr>
        <w:rPr>
          <w:rFonts w:ascii="Arial" w:cs="Arial" w:eastAsia="Arial" w:hAnsi="Arial"/>
          <w:sz w:val="15"/>
          <w:szCs w:val="15"/>
          <w:color w:val="auto"/>
        </w:rPr>
      </w:pPr>
      <w:r>
        <w:rPr>
          <w:rFonts w:ascii="Arial" w:cs="Arial" w:eastAsia="Arial" w:hAnsi="Arial"/>
          <w:sz w:val="15"/>
          <w:szCs w:val="15"/>
          <w:color w:val="auto"/>
        </w:rPr>
        <w:t>genetic therapies (such as viral delivery of genes);</w:t>
      </w:r>
    </w:p>
    <w:p>
      <w:pPr>
        <w:spacing w:after="0" w:line="395" w:lineRule="exact"/>
        <w:rPr>
          <w:rFonts w:ascii="Arial" w:cs="Arial" w:eastAsia="Arial" w:hAnsi="Arial"/>
          <w:sz w:val="15"/>
          <w:szCs w:val="15"/>
          <w:color w:val="auto"/>
        </w:rPr>
      </w:pPr>
    </w:p>
    <w:p>
      <w:pPr>
        <w:ind w:left="467" w:right="480" w:hanging="467"/>
        <w:spacing w:after="0" w:line="282" w:lineRule="auto"/>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cancer immunotherapy applications, including:</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1387" w:hanging="461"/>
        <w:spacing w:after="0"/>
        <w:tabs>
          <w:tab w:leader="none" w:pos="1387" w:val="left"/>
        </w:tabs>
        <w:numPr>
          <w:ilvl w:val="1"/>
          <w:numId w:val="92"/>
        </w:numPr>
        <w:rPr>
          <w:rFonts w:ascii="Arial" w:cs="Arial" w:eastAsia="Arial" w:hAnsi="Arial"/>
          <w:sz w:val="15"/>
          <w:szCs w:val="15"/>
          <w:color w:val="auto"/>
        </w:rPr>
      </w:pPr>
      <w:r>
        <w:rPr>
          <w:rFonts w:ascii="Arial" w:cs="Arial" w:eastAsia="Arial" w:hAnsi="Arial"/>
          <w:sz w:val="15"/>
          <w:szCs w:val="15"/>
          <w:color w:val="auto"/>
        </w:rPr>
        <w:t>creating various cancer vaccines, and</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92"/>
        </w:numPr>
        <w:rPr>
          <w:rFonts w:ascii="Arial" w:cs="Arial" w:eastAsia="Arial" w:hAnsi="Arial"/>
          <w:sz w:val="15"/>
          <w:szCs w:val="15"/>
          <w:color w:val="auto"/>
        </w:rPr>
      </w:pPr>
      <w:r>
        <w:rPr>
          <w:rFonts w:ascii="Arial" w:cs="Arial" w:eastAsia="Arial" w:hAnsi="Arial"/>
          <w:sz w:val="15"/>
          <w:szCs w:val="15"/>
          <w:color w:val="auto"/>
        </w:rPr>
        <w:t>combination treatments, including co-treatment with PD-1/PDL-1 checkpoint inhibitors.</w:t>
      </w:r>
    </w:p>
    <w:p>
      <w:pPr>
        <w:spacing w:after="0" w:line="198"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Set forth below is a table indicating the expiration dates for our owned patent families, or expected expiration dates in the case of our owned patent application families, corresponding to each of our programs.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jc w:val="right"/>
              <w:ind w:right="407"/>
              <w:spacing w:after="0"/>
              <w:rPr>
                <w:sz w:val="20"/>
                <w:szCs w:val="20"/>
                <w:color w:val="auto"/>
              </w:rPr>
            </w:pPr>
            <w:r>
              <w:rPr>
                <w:rFonts w:ascii="Arial" w:cs="Arial" w:eastAsia="Arial" w:hAnsi="Arial"/>
                <w:sz w:val="12"/>
                <w:szCs w:val="12"/>
                <w:b w:val="1"/>
                <w:bCs w:val="1"/>
                <w:color w:val="auto"/>
              </w:rPr>
              <w:t>Patent</w:t>
            </w:r>
          </w:p>
        </w:tc>
        <w:tc>
          <w:tcPr>
            <w:tcW w:w="1740" w:type="dxa"/>
            <w:vAlign w:val="bottom"/>
          </w:tcPr>
          <w:p>
            <w:pPr>
              <w:spacing w:after="0"/>
              <w:rPr>
                <w:sz w:val="12"/>
                <w:szCs w:val="12"/>
                <w:color w:val="auto"/>
              </w:rPr>
            </w:pPr>
          </w:p>
        </w:tc>
      </w:tr>
      <w:tr>
        <w:trPr>
          <w:trHeight w:val="149"/>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Program</w:t>
            </w:r>
          </w:p>
        </w:tc>
        <w:tc>
          <w:tcPr>
            <w:tcW w:w="4320" w:type="dxa"/>
            <w:vAlign w:val="bottom"/>
            <w:tcBorders>
              <w:bottom w:val="single" w:sz="8" w:color="auto"/>
            </w:tcBorders>
          </w:tcPr>
          <w:p>
            <w:pPr>
              <w:ind w:left="2340"/>
              <w:spacing w:after="0"/>
              <w:rPr>
                <w:sz w:val="20"/>
                <w:szCs w:val="20"/>
                <w:color w:val="auto"/>
              </w:rPr>
            </w:pPr>
            <w:r>
              <w:rPr>
                <w:rFonts w:ascii="Arial" w:cs="Arial" w:eastAsia="Arial" w:hAnsi="Arial"/>
                <w:sz w:val="12"/>
                <w:szCs w:val="12"/>
                <w:b w:val="1"/>
                <w:bCs w:val="1"/>
                <w:color w:val="auto"/>
              </w:rPr>
              <w:t>Description</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Family(1)</w:t>
            </w:r>
          </w:p>
        </w:tc>
        <w:tc>
          <w:tcPr>
            <w:tcW w:w="1740" w:type="dxa"/>
            <w:vAlign w:val="bottom"/>
            <w:tcBorders>
              <w:bottom w:val="single" w:sz="8" w:color="auto"/>
            </w:tcBorders>
          </w:tcPr>
          <w:p>
            <w:pPr>
              <w:jc w:val="center"/>
              <w:ind w:right="186"/>
              <w:spacing w:after="0"/>
              <w:rPr>
                <w:sz w:val="20"/>
                <w:szCs w:val="20"/>
                <w:color w:val="auto"/>
              </w:rPr>
            </w:pPr>
            <w:r>
              <w:rPr>
                <w:rFonts w:ascii="Arial" w:cs="Arial" w:eastAsia="Arial" w:hAnsi="Arial"/>
                <w:sz w:val="12"/>
                <w:szCs w:val="12"/>
                <w:b w:val="1"/>
                <w:bCs w:val="1"/>
                <w:color w:val="auto"/>
              </w:rPr>
              <w:t>Expiration(2)</w:t>
            </w:r>
          </w:p>
        </w:tc>
      </w:tr>
      <w:tr>
        <w:trPr>
          <w:trHeight w:val="182"/>
        </w:trPr>
        <w:tc>
          <w:tcPr>
            <w:tcW w:w="3780" w:type="dxa"/>
            <w:vAlign w:val="bottom"/>
            <w:gridSpan w:val="2"/>
          </w:tcPr>
          <w:p>
            <w:pPr>
              <w:spacing w:after="0"/>
              <w:rPr>
                <w:sz w:val="20"/>
                <w:szCs w:val="20"/>
                <w:color w:val="auto"/>
              </w:rPr>
            </w:pPr>
            <w:r>
              <w:rPr>
                <w:rFonts w:ascii="Arial" w:cs="Arial" w:eastAsia="Arial" w:hAnsi="Arial"/>
                <w:sz w:val="15"/>
                <w:szCs w:val="15"/>
                <w:color w:val="auto"/>
              </w:rPr>
              <w:t>Refractory and chronic tophaceous gout (SEL-212)</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pegsiticase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87"/>
        </w:trPr>
        <w:tc>
          <w:tcPr>
            <w:tcW w:w="3780" w:type="dxa"/>
            <w:vAlign w:val="bottom"/>
            <w:gridSpan w:val="2"/>
          </w:tcPr>
          <w:p>
            <w:pPr>
              <w:spacing w:after="0"/>
              <w:rPr>
                <w:sz w:val="20"/>
                <w:szCs w:val="20"/>
                <w:color w:val="auto"/>
              </w:rPr>
            </w:pPr>
            <w:r>
              <w:rPr>
                <w:rFonts w:ascii="Arial" w:cs="Arial" w:eastAsia="Arial" w:hAnsi="Arial"/>
                <w:sz w:val="15"/>
                <w:szCs w:val="15"/>
                <w:color w:val="auto"/>
              </w:rPr>
              <w:t>Gene therapy</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AAV vector</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Food allergy</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SVP-food allergen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Celiac disease</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SVP-gluten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Type 1 diabetes</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SVP-insulin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15</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Smoking cessation and relapse prevention (SEL-070)</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SVP-nicotine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HPV-associated cancer (SEL-701)</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SVP-HPV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Malaria</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SVP-malaria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95"/>
        </w:trPr>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r>
    </w:tbl>
    <w:p>
      <w:pPr>
        <w:spacing w:after="0" w:line="165" w:lineRule="exact"/>
        <w:rPr>
          <w:sz w:val="20"/>
          <w:szCs w:val="20"/>
          <w:color w:val="auto"/>
        </w:rPr>
      </w:pPr>
    </w:p>
    <w:p>
      <w:pPr>
        <w:ind w:left="467" w:hanging="467"/>
        <w:spacing w:after="0"/>
        <w:tabs>
          <w:tab w:leader="none" w:pos="467"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Reflects number of relevant patent and patent application families.</w:t>
      </w:r>
    </w:p>
    <w:p>
      <w:pPr>
        <w:spacing w:after="0" w:line="105" w:lineRule="exact"/>
        <w:rPr>
          <w:rFonts w:ascii="Arial" w:cs="Arial" w:eastAsia="Arial" w:hAnsi="Arial"/>
          <w:sz w:val="12"/>
          <w:szCs w:val="12"/>
          <w:color w:val="auto"/>
        </w:rPr>
      </w:pPr>
    </w:p>
    <w:p>
      <w:pPr>
        <w:ind w:left="467" w:hanging="467"/>
        <w:spacing w:after="0"/>
        <w:tabs>
          <w:tab w:leader="none" w:pos="467"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Reflects expiration date and estimated expiration date ranges of issued patents and patent applications, respectively.</w:t>
      </w:r>
    </w:p>
    <w:p>
      <w:pPr>
        <w:spacing w:after="0" w:line="177"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In addition, we have exclusively or non-exclusively licensed intellectual property, including the following patent portfolio: 18 U.S. issued patents; 16 foreign issued patents; 9 U.S. pending patent applications; and 56 foreign pending applications. The licensed patents and patent applications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520"/>
        <w:spacing w:after="0" w:line="282" w:lineRule="auto"/>
        <w:rPr>
          <w:sz w:val="20"/>
          <w:szCs w:val="20"/>
          <w:color w:val="auto"/>
        </w:rPr>
      </w:pPr>
      <w:r>
        <w:rPr>
          <w:rFonts w:ascii="Arial" w:cs="Arial" w:eastAsia="Arial" w:hAnsi="Arial"/>
          <w:sz w:val="15"/>
          <w:szCs w:val="15"/>
          <w:color w:val="auto"/>
        </w:rPr>
        <w:t>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w:t>
      </w:r>
    </w:p>
    <w:p>
      <w:pPr>
        <w:spacing w:after="0" w:line="151"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As we continue to develop the SVP-based immunotherapy program technology, we intend to pursue, when possible, patent protection for product candidates, methods of use and processes for manufacture. We continually evaluate and enhance our intellectual property strategy as we develop new program technologies and product candidates. To that end, we are prepared to file additional patent applications if our intellectual property strategy requires such filings, or where we seek to adapt to competition or seize business opportunities.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Eurasia, including the Russian Federation, Europe, South Korea, Mexico, India, Israel and Japan.</w:t>
      </w:r>
    </w:p>
    <w:p>
      <w:pPr>
        <w:spacing w:after="0" w:line="137"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We intend to apply for patent term extensions on patents covering our product candidates if and when they receive FDA approval. We expect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 Currently, we own or license patents with material expiration dates ranging from 2021 to 2032. If patents are issued on pending patent applications that we own or license, the resulting patents are expected to have material expiration dates ranging from 2027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55" w:lineRule="exact"/>
        <w:rPr>
          <w:sz w:val="20"/>
          <w:szCs w:val="20"/>
          <w:color w:val="auto"/>
        </w:rPr>
      </w:pPr>
    </w:p>
    <w:p>
      <w:pPr>
        <w:ind w:right="60"/>
        <w:spacing w:after="0" w:line="310" w:lineRule="auto"/>
        <w:rPr>
          <w:sz w:val="20"/>
          <w:szCs w:val="20"/>
          <w:color w:val="auto"/>
        </w:rPr>
      </w:pPr>
      <w:r>
        <w:rPr>
          <w:rFonts w:ascii="Arial" w:cs="Arial" w:eastAsia="Arial" w:hAnsi="Arial"/>
          <w:sz w:val="13"/>
          <w:szCs w:val="13"/>
          <w:color w:val="auto"/>
        </w:rPr>
        <w:t>Generally, the patent positions of companies similar to ours are uncertain and encompass complex legal and factual questions. There has been no consistent policy regarding the scope of claims allowable in patents in the field of immunotherapy in the United States The foreign patent situation is even more uncertain. Changes in the patent laws and rules, either by legislation, judicial decisions, or regulatory interpretation in the United States and other countries may lessen our ability to protect our intellectual property and enforce our proprietary rights, and more generally could affect the value of our intellectual property. Specifically, our ability to stop third parties from making, using, selling, offering to sell, or importing any of our patented inventions, either directly or indirectly, will depend in part on our success in obtaining and enforcing patent claims that cover our program technology, inventions and improvements. With respect to both company-owned and in-licensed intellectual property, we cannot be certain that patents will be granted with respect to any of our pending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applications or with respect to any patent applications filed by us in the future, nor can we be sure that any of our existing patents or any patents that may be granted to us in the future will be commercially beneficial in protecting our programs and product candidates and the methods used to manufacture those programs and product candidates. Moreover, even our issued patents do not guarantee us the right to practice our technology in relation to the commercialization of our programs or product candidates. The field of patent and other intellectual property rights in biotechnology is an evolving one with many risks and uncertainties, and third parties may have blocking patents that could be used to prevent us from commercializing our patented immunotherapy technology, programs and product candidates and practicing our proprietary technology. Our issued patents and those that may issue in the future may be challenged, invalidated, or circumvented, which could inhibit our ability to stop competitors from marketing related programs or product candidates or limit the length of the term of patent protection that we may have for our immunotherapy technology, programs and product candidates. Additionally, the rights granted under any issued patents may not provide us with protection or competitive advantages against competitors with similar technology. Furthermore, our competitors may independently develop similar technologies. Consequently, we may have competition for our immunotherapy technology, programs and product candidates. Moreover, because of the extensive time required for development, testing and regulatory review of a potential product, it is possible that, before any particular product candidate can be commercialized, any related patent may expire or remain in force for only a short period following commercialization, thereby reducing any economic advantage of the patent. For this and more comprehensive risks related to our proprietary technology, inventions, improvements, programs and product candidates, please see the section entitled "Risk factors—Risks related to our intellectual property."</w:t>
      </w:r>
    </w:p>
    <w:p>
      <w:pPr>
        <w:spacing w:after="0" w:line="15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We currently have three trademark registrations, one in the United States, one in Europe and one in Russia. We intend to file applications for trademark registrations in connection with our product candidates in various jurisdictions, including the United States.</w:t>
      </w:r>
    </w:p>
    <w:p>
      <w:pPr>
        <w:spacing w:after="0" w:line="151"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We may also rely on trade secrets to protect our confidential and proprietary information. However, trade secrets are difficult to protect. Although we seek to protect our program technology and product candidates as trade secrets, in part, by entering into confidentiality agreements with those who have access to our confidential information, including our employees, contractors, consultants, collaborators and advisors, third parties may independently discover substantially equivalent trade secrets or otherwise gain access to our trade secrets or disclose our technology. It is our policy to require our employees, contractors, consultants, collaborators and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 To the extent that our employees, contractors, consultants, collaborators, and advisors use intellectual property owned by others in their work for us, disputes may arise as to the rights in related or resulting know-how and inventions.</w:t>
      </w:r>
    </w:p>
    <w:p>
      <w:pPr>
        <w:spacing w:after="0" w:line="158"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We also seek to protect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157" w:name="page158"/>
    <w:bookmarkEnd w:id="15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The biotechnology and pharmaceutical industries are characterized by rapidly advancing technologies, intense competition and a strong emphasis on proprietary products. While we believe that our SVP technology, our expertise in triggering antigen-specific immune responses, integrated research, clinical and manufacturing capabilities, development experience, scientific knowledge and portfolio strategy provide us with competitive advantages,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167" w:lineRule="exact"/>
        <w:rPr>
          <w:sz w:val="20"/>
          <w:szCs w:val="20"/>
          <w:color w:val="auto"/>
        </w:rPr>
      </w:pPr>
    </w:p>
    <w:p>
      <w:pPr>
        <w:ind w:right="20"/>
        <w:spacing w:after="0" w:line="319" w:lineRule="auto"/>
        <w:rPr>
          <w:sz w:val="20"/>
          <w:szCs w:val="20"/>
          <w:color w:val="auto"/>
        </w:rPr>
      </w:pPr>
      <w:r>
        <w:rPr>
          <w:rFonts w:ascii="Arial" w:cs="Arial" w:eastAsia="Arial" w:hAnsi="Arial"/>
          <w:sz w:val="13"/>
          <w:szCs w:val="13"/>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3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51"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Pegsiticase component of SEL-212 and is indicated for the treatment of refractory gout. Horizon Pharma plc, whose affiliates recently acquired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tolerance include Anokion SA, Cour Pharmaceutical Development Company, Inc., Apitope International NV, Evotec AG and Dendright International, Inc. We believe that desensitization strategies are restricted to allergies, take more time to achieve a therapeutic effect than therapies that use an immuno-modulator and are more restricted in breadth of efficacy and applications than SVP products.</w:t>
      </w:r>
    </w:p>
    <w:p>
      <w:pPr>
        <w:spacing w:after="0" w:line="153"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Our immunostimulatory therapies are also subject to intense competition. In cancer therapy, the most common methods of treating patients are surgery, radiation and drug therapy, including chemotherapy and immunotherapy. Large pharmaceutical companies, including AstraZeneca PLC, or AstraZeneca, Roche Holding AG, Pfizer, Merck, Bristol-Myers Squibb Company, and Amgen Inc., as well as smaller biopharmaceutical companies including Immune Design Corp. are active in the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8" w:name="page159"/>
    <w:bookmarkEnd w:id="15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80"/>
        <w:spacing w:after="0" w:line="263" w:lineRule="auto"/>
        <w:rPr>
          <w:sz w:val="20"/>
          <w:szCs w:val="20"/>
          <w:color w:val="auto"/>
        </w:rPr>
      </w:pPr>
      <w:r>
        <w:rPr>
          <w:rFonts w:ascii="Arial" w:cs="Arial" w:eastAsia="Arial" w:hAnsi="Arial"/>
          <w:sz w:val="15"/>
          <w:szCs w:val="15"/>
          <w:color w:val="auto"/>
        </w:rPr>
        <w:t>development of cancer vaccines. There are a variety of vaccine approaches to treat HPV-associated cancer including the use of DNA vaccines, novel adjuvants, novel antigens and novel delivery vectors for the antigen. Clinical-stage companies with these approaches include, among others, Inovio Pharmaceuticals, Inc., in Phase 2 clinical development with VGX3100, ISA Pharmaceuticals, B.V., in Phase 2 clinical development with ISA-101, Genticel, in Phase 2 clinical development with GTL001, and AstraZeneca, in Phase 1 clinical development with INO-3112, which it licensed from Inovio Pharmaceuticals, Inc. We believe that our approach shares the safety of approved vaccine technologies that use antigens and adjuvants and could be synergistic with the use of checkpoint inhibitors such as PD-1 and PD-L1 inhibitors.</w:t>
      </w:r>
    </w:p>
    <w:p>
      <w:pPr>
        <w:spacing w:after="0" w:line="167" w:lineRule="exact"/>
        <w:rPr>
          <w:sz w:val="20"/>
          <w:szCs w:val="20"/>
          <w:color w:val="auto"/>
        </w:rPr>
      </w:pPr>
    </w:p>
    <w:p>
      <w:pPr>
        <w:ind w:left="7" w:right="560"/>
        <w:spacing w:after="0" w:line="282" w:lineRule="auto"/>
        <w:rPr>
          <w:sz w:val="20"/>
          <w:szCs w:val="20"/>
          <w:color w:val="auto"/>
        </w:rPr>
      </w:pPr>
      <w:r>
        <w:rPr>
          <w:rFonts w:ascii="Arial" w:cs="Arial" w:eastAsia="Arial" w:hAnsi="Arial"/>
          <w:sz w:val="15"/>
          <w:szCs w:val="15"/>
          <w:color w:val="auto"/>
        </w:rPr>
        <w:t>We are also competing in the development of new prophylactic vaccines with large pharmaceutical companies such as Sanofi, Pfizer, Merck, GlaxoSmithKline Pharmaceuticals Ltd, Johnson &amp; Johnson, and AstraZeneca and smaller biopharmaceutical companies such as Genocea Biosciences, Inc. and Novavax Inc.</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7" w:right="120"/>
        <w:spacing w:after="0" w:line="281"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The CDER currently has regulatory responsibility, including premarket review and continuing oversight, over certain therapeutic biologic products that were previously regulated by the Center for Biologics Evaluation and Research, or CBER. We expect to seek approval of SEL-212 through a single Biologics License Application, or BLA, reviewed by CDER, and we do not expect that the FDA will require a separate marketing authorization for each constituent of SEL-212.</w:t>
      </w:r>
    </w:p>
    <w:p>
      <w:pPr>
        <w:spacing w:after="0" w:line="153"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 biological products development process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process required by the FDA before a biologic, including a gene therapy, may be marketed in the United States generally involves the following:</w:t>
      </w:r>
    </w:p>
    <w:p>
      <w:pPr>
        <w:spacing w:after="0" w:line="210" w:lineRule="exact"/>
        <w:rPr>
          <w:sz w:val="20"/>
          <w:szCs w:val="20"/>
          <w:color w:val="auto"/>
        </w:rPr>
      </w:pPr>
    </w:p>
    <w:p>
      <w:pPr>
        <w:ind w:left="467" w:hanging="467"/>
        <w:spacing w:after="0" w:line="282" w:lineRule="auto"/>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completion of extensive nonclinical testing, sometimes referred to as preclinical testing, including laboratory tests, animal trials and formulation studies in accordance with applicable regulations, including good laboratory practices, or GLPs, and applicable requirements for humane use of laboratory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9" w:name="page160"/>
    <w:bookmarkEnd w:id="15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submission to the FDA of an investigational new drug, or IND, application, which must become effective before human clinical trials may begin;</w:t>
      </w:r>
    </w:p>
    <w:p>
      <w:pPr>
        <w:spacing w:after="0" w:line="221" w:lineRule="exact"/>
        <w:rPr>
          <w:rFonts w:ascii="Arial" w:cs="Arial" w:eastAsia="Arial" w:hAnsi="Arial"/>
          <w:sz w:val="15"/>
          <w:szCs w:val="15"/>
          <w:color w:val="auto"/>
        </w:rPr>
      </w:pPr>
    </w:p>
    <w:p>
      <w:pPr>
        <w:ind w:left="467" w:hanging="467"/>
        <w:spacing w:after="0" w:line="270" w:lineRule="auto"/>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biological product for its intended use;</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4"/>
          <w:szCs w:val="14"/>
          <w:color w:val="auto"/>
        </w:rPr>
      </w:pPr>
      <w:r>
        <w:rPr>
          <w:rFonts w:ascii="Arial" w:cs="Arial" w:eastAsia="Arial" w:hAnsi="Arial"/>
          <w:sz w:val="14"/>
          <w:szCs w:val="14"/>
          <w:color w:val="auto"/>
        </w:rPr>
        <w:t>submission to the FDA of a BLA for marketing approval that includes substantive evidence of safety, purity, and potency from results of nonclinical testing and clinical trials;</w:t>
      </w:r>
    </w:p>
    <w:p>
      <w:pPr>
        <w:spacing w:after="0" w:line="221" w:lineRule="exact"/>
        <w:rPr>
          <w:rFonts w:ascii="Arial" w:cs="Arial" w:eastAsia="Arial" w:hAnsi="Arial"/>
          <w:sz w:val="14"/>
          <w:szCs w:val="14"/>
          <w:color w:val="auto"/>
        </w:rPr>
      </w:pPr>
    </w:p>
    <w:p>
      <w:pPr>
        <w:ind w:left="467" w:right="400" w:hanging="467"/>
        <w:spacing w:after="0" w:line="270" w:lineRule="auto"/>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current good manufacturing practice, or cGMP, requirements to assure that the facilities, methods and controls are adequate to preserve the biological product's identity, strength, quality and purity;</w:t>
      </w:r>
    </w:p>
    <w:p>
      <w:pPr>
        <w:spacing w:after="0" w:line="182"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potential FDA audit of the nonclinical and clinical study sites that generated the data in support of the BLA;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FDA review and approval, or licensure, of the BLA.</w:t>
      </w:r>
    </w:p>
    <w:p>
      <w:pPr>
        <w:spacing w:after="0" w:line="198" w:lineRule="exact"/>
        <w:rPr>
          <w:sz w:val="20"/>
          <w:szCs w:val="20"/>
          <w:color w:val="auto"/>
        </w:rPr>
      </w:pPr>
    </w:p>
    <w:p>
      <w:pPr>
        <w:ind w:left="7" w:right="520"/>
        <w:spacing w:after="0" w:line="270" w:lineRule="auto"/>
        <w:rPr>
          <w:sz w:val="20"/>
          <w:szCs w:val="20"/>
          <w:color w:val="auto"/>
        </w:rPr>
      </w:pPr>
      <w:r>
        <w:rPr>
          <w:rFonts w:ascii="Arial" w:cs="Arial" w:eastAsia="Arial" w:hAnsi="Arial"/>
          <w:sz w:val="15"/>
          <w:szCs w:val="15"/>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59" w:lineRule="exact"/>
        <w:rPr>
          <w:sz w:val="20"/>
          <w:szCs w:val="20"/>
          <w:color w:val="auto"/>
        </w:rPr>
      </w:pPr>
    </w:p>
    <w:p>
      <w:pPr>
        <w:ind w:left="7" w:right="220"/>
        <w:spacing w:after="0" w:line="287" w:lineRule="auto"/>
        <w:rPr>
          <w:sz w:val="20"/>
          <w:szCs w:val="20"/>
          <w:color w:val="auto"/>
        </w:rPr>
      </w:pPr>
      <w:r>
        <w:rPr>
          <w:rFonts w:ascii="Arial" w:cs="Arial" w:eastAsia="Arial" w:hAnsi="Arial"/>
          <w:sz w:val="14"/>
          <w:szCs w:val="14"/>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49" w:lineRule="exact"/>
        <w:rPr>
          <w:sz w:val="20"/>
          <w:szCs w:val="20"/>
          <w:color w:val="auto"/>
        </w:rPr>
      </w:pPr>
    </w:p>
    <w:p>
      <w:pPr>
        <w:ind w:left="7" w:right="100"/>
        <w:spacing w:after="0" w:line="260" w:lineRule="auto"/>
        <w:rPr>
          <w:sz w:val="20"/>
          <w:szCs w:val="20"/>
          <w:color w:val="auto"/>
        </w:rPr>
      </w:pPr>
      <w:r>
        <w:rPr>
          <w:rFonts w:ascii="Arial" w:cs="Arial" w:eastAsia="Arial" w:hAnsi="Arial"/>
          <w:sz w:val="15"/>
          <w:szCs w:val="15"/>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expected benefits. The IRB also approves the form and content of the informed consent that must be signed by each clinical study subject or his or her legal representative and must monitor the clinical study until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6630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0" w:name="page161"/>
    <w:bookmarkEnd w:id="16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Human clinical trials are typically conducted in three sequential phases that may overlap or be combined:</w:t>
      </w:r>
    </w:p>
    <w:p>
      <w:pPr>
        <w:spacing w:after="0" w:line="210" w:lineRule="exact"/>
        <w:rPr>
          <w:sz w:val="20"/>
          <w:szCs w:val="20"/>
          <w:color w:val="auto"/>
        </w:rPr>
      </w:pPr>
    </w:p>
    <w:p>
      <w:pPr>
        <w:ind w:left="467" w:right="460" w:hanging="467"/>
        <w:spacing w:after="0" w:line="362" w:lineRule="auto"/>
        <w:tabs>
          <w:tab w:leader="none" w:pos="467" w:val="left"/>
        </w:tabs>
        <w:numPr>
          <w:ilvl w:val="0"/>
          <w:numId w:val="96"/>
        </w:numPr>
        <w:rPr>
          <w:rFonts w:ascii="Arial" w:cs="Arial" w:eastAsia="Arial" w:hAnsi="Arial"/>
          <w:sz w:val="13"/>
          <w:szCs w:val="13"/>
          <w:color w:val="auto"/>
        </w:rPr>
      </w:pPr>
      <w:r>
        <w:rPr>
          <w:rFonts w:ascii="Arial" w:cs="Arial" w:eastAsia="Arial" w:hAnsi="Arial"/>
          <w:sz w:val="13"/>
          <w:szCs w:val="13"/>
          <w:i w:val="1"/>
          <w:iCs w:val="1"/>
          <w:color w:val="auto"/>
        </w:rPr>
        <w:t>Phase I</w:t>
      </w:r>
      <w:r>
        <w:rPr>
          <w:rFonts w:ascii="Arial" w:cs="Arial" w:eastAsia="Arial" w:hAnsi="Arial"/>
          <w:sz w:val="13"/>
          <w:szCs w:val="13"/>
          <w:color w:val="auto"/>
        </w:rPr>
        <w:t>. The biological product candidate is initially introduced into healthy human subjects and tested for safety. In the case of some products for severe or life-threatening</w:t>
      </w:r>
      <w:r>
        <w:rPr>
          <w:rFonts w:ascii="Arial" w:cs="Arial" w:eastAsia="Arial" w:hAnsi="Arial"/>
          <w:sz w:val="13"/>
          <w:szCs w:val="13"/>
          <w:i w:val="1"/>
          <w:iCs w:val="1"/>
          <w:color w:val="auto"/>
        </w:rPr>
        <w:t xml:space="preserve"> </w:t>
      </w:r>
      <w:r>
        <w:rPr>
          <w:rFonts w:ascii="Arial" w:cs="Arial" w:eastAsia="Arial" w:hAnsi="Arial"/>
          <w:sz w:val="13"/>
          <w:szCs w:val="13"/>
          <w:color w:val="auto"/>
        </w:rPr>
        <w:t>diseases, especially when the product may be too inherently toxic to ethically administer to healthy volunteers, the initial human testing is often conducted in patients.</w:t>
      </w:r>
    </w:p>
    <w:p>
      <w:pPr>
        <w:spacing w:after="0" w:line="128" w:lineRule="exact"/>
        <w:rPr>
          <w:rFonts w:ascii="Arial" w:cs="Arial" w:eastAsia="Arial" w:hAnsi="Arial"/>
          <w:sz w:val="13"/>
          <w:szCs w:val="13"/>
          <w:color w:val="auto"/>
        </w:rPr>
      </w:pPr>
    </w:p>
    <w:p>
      <w:pPr>
        <w:ind w:left="467" w:right="100" w:hanging="467"/>
        <w:spacing w:after="0" w:line="282" w:lineRule="auto"/>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Phase II</w:t>
      </w:r>
      <w:r>
        <w:rPr>
          <w:rFonts w:ascii="Arial" w:cs="Arial" w:eastAsia="Arial" w:hAnsi="Arial"/>
          <w:sz w:val="15"/>
          <w:szCs w:val="15"/>
          <w:color w:val="auto"/>
        </w:rPr>
        <w:t>. The biological product candidate is evaluated in a limited patient population to identify possible adverse effects and safety risks, to preliminarily evaluate the efficacy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product for specific targeted diseases and to determine dosage tolerance, optimal dosage and dosing schedule.</w:t>
      </w:r>
    </w:p>
    <w:p>
      <w:pPr>
        <w:spacing w:after="0" w:line="162" w:lineRule="exact"/>
        <w:rPr>
          <w:rFonts w:ascii="Arial" w:cs="Arial" w:eastAsia="Arial" w:hAnsi="Arial"/>
          <w:sz w:val="15"/>
          <w:szCs w:val="15"/>
          <w:color w:val="auto"/>
        </w:rPr>
      </w:pPr>
    </w:p>
    <w:p>
      <w:pPr>
        <w:ind w:left="467" w:hanging="467"/>
        <w:spacing w:after="0" w:line="319" w:lineRule="auto"/>
        <w:tabs>
          <w:tab w:leader="none" w:pos="467"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Phase III</w:t>
      </w:r>
      <w:r>
        <w:rPr>
          <w:rFonts w:ascii="Arial" w:cs="Arial" w:eastAsia="Arial" w:hAnsi="Arial"/>
          <w:sz w:val="14"/>
          <w:szCs w:val="14"/>
          <w:color w:val="auto"/>
        </w:rPr>
        <w:t>. Clinical trials are undertaken to further evaluate dosage, clinical efficacy, potency, and safety in an expanded patient population at geographically dispersed clinical study</w:t>
      </w:r>
      <w:r>
        <w:rPr>
          <w:rFonts w:ascii="Arial" w:cs="Arial" w:eastAsia="Arial" w:hAnsi="Arial"/>
          <w:sz w:val="14"/>
          <w:szCs w:val="14"/>
          <w:i w:val="1"/>
          <w:iCs w:val="1"/>
          <w:color w:val="auto"/>
        </w:rPr>
        <w:t xml:space="preserve"> </w:t>
      </w:r>
      <w:r>
        <w:rPr>
          <w:rFonts w:ascii="Arial" w:cs="Arial" w:eastAsia="Arial" w:hAnsi="Arial"/>
          <w:sz w:val="14"/>
          <w:szCs w:val="14"/>
          <w:color w:val="auto"/>
        </w:rPr>
        <w:t>sites. These clinical trials are intended to establish the overall risk/benefit ratio of the product and provide an adequate basis for product labelling.</w:t>
      </w:r>
    </w:p>
    <w:p>
      <w:pPr>
        <w:spacing w:after="0" w:line="128"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51" w:lineRule="exact"/>
        <w:rPr>
          <w:sz w:val="20"/>
          <w:szCs w:val="20"/>
          <w:color w:val="auto"/>
        </w:rPr>
      </w:pPr>
    </w:p>
    <w:p>
      <w:pPr>
        <w:ind w:left="7" w:right="40"/>
        <w:spacing w:after="0" w:line="260" w:lineRule="auto"/>
        <w:rPr>
          <w:sz w:val="20"/>
          <w:szCs w:val="20"/>
          <w:color w:val="auto"/>
        </w:rPr>
      </w:pPr>
      <w:r>
        <w:rPr>
          <w:rFonts w:ascii="Arial" w:cs="Arial" w:eastAsia="Arial" w:hAnsi="Arial"/>
          <w:sz w:val="15"/>
          <w:szCs w:val="15"/>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71" w:lineRule="exact"/>
        <w:rPr>
          <w:sz w:val="20"/>
          <w:szCs w:val="20"/>
          <w:color w:val="auto"/>
        </w:rPr>
      </w:pPr>
    </w:p>
    <w:p>
      <w:pPr>
        <w:ind w:left="7"/>
        <w:spacing w:after="0" w:line="319" w:lineRule="auto"/>
        <w:rPr>
          <w:sz w:val="20"/>
          <w:szCs w:val="20"/>
          <w:color w:val="auto"/>
        </w:rPr>
      </w:pPr>
      <w:r>
        <w:rPr>
          <w:rFonts w:ascii="Arial" w:cs="Arial" w:eastAsia="Arial" w:hAnsi="Arial"/>
          <w:sz w:val="13"/>
          <w:szCs w:val="13"/>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32"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61" w:name="page162"/>
    <w:bookmarkEnd w:id="16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20"/>
        <w:spacing w:after="0" w:line="297" w:lineRule="auto"/>
        <w:rPr>
          <w:sz w:val="20"/>
          <w:szCs w:val="20"/>
          <w:color w:val="auto"/>
        </w:rPr>
      </w:pPr>
      <w:r>
        <w:rPr>
          <w:rFonts w:ascii="Arial" w:cs="Arial" w:eastAsia="Arial" w:hAnsi="Arial"/>
          <w:sz w:val="14"/>
          <w:szCs w:val="14"/>
          <w:color w:val="auto"/>
        </w:rPr>
        <w:t>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review and approval processes</w:t>
      </w:r>
    </w:p>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67"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5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330" w:lineRule="auto"/>
        <w:rPr>
          <w:sz w:val="20"/>
          <w:szCs w:val="20"/>
          <w:color w:val="auto"/>
        </w:rPr>
      </w:pPr>
      <w:r>
        <w:rPr>
          <w:rFonts w:ascii="Arial" w:cs="Arial" w:eastAsia="Arial" w:hAnsi="Arial"/>
          <w:sz w:val="13"/>
          <w:szCs w:val="13"/>
          <w:color w:val="auto"/>
        </w:rPr>
        <w:t>Before approving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25"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67"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Orphan designation</w:t>
      </w:r>
    </w:p>
    <w:p>
      <w:pPr>
        <w:spacing w:after="0" w:line="195"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32" w:lineRule="exact"/>
        <w:rPr>
          <w:sz w:val="20"/>
          <w:szCs w:val="20"/>
          <w:color w:val="auto"/>
        </w:rPr>
      </w:pPr>
    </w:p>
    <w:p>
      <w:pPr>
        <w:jc w:val="both"/>
        <w:ind w:right="240"/>
        <w:spacing w:after="0" w:line="270" w:lineRule="auto"/>
        <w:rPr>
          <w:sz w:val="20"/>
          <w:szCs w:val="20"/>
          <w:color w:val="auto"/>
        </w:rPr>
      </w:pPr>
      <w:r>
        <w:rPr>
          <w:rFonts w:ascii="Arial" w:cs="Arial" w:eastAsia="Arial" w:hAnsi="Arial"/>
          <w:sz w:val="15"/>
          <w:szCs w:val="15"/>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3" w:name="page164"/>
    <w:bookmarkEnd w:id="16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54"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We have not requested orphan designation for our product candidates, but depending on the proposed indication for which we intend to develop our future products, we may in the future request such designation.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Expedited development and review programs</w:t>
      </w:r>
    </w:p>
    <w:p>
      <w:pPr>
        <w:spacing w:after="0" w:line="195"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3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4" w:name="page165"/>
    <w:bookmarkEnd w:id="16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commercial launch of the product. Fast Track designation, priority review and accelerated approval do not change the standards for approval but may expedite the development or approval process.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67"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 therapy products</w:t>
      </w:r>
    </w:p>
    <w:p>
      <w:pPr>
        <w:spacing w:after="0" w:line="195"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With respect to any gene therapy products we may develop, the FDA works closely with the NIH and its Recombinant DNA Advisory Committee, or RAC, a federal advisory committee that discusses protocols that raise novel or particularly important scientific, safety or ethical considerations at one of its quarterly public meetings. 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Compliance with the NIH Guidelines is mandatory for investigators at institutions receiving NIH funds for research involving recombinant DNA, however many companies and other institutions not otherwise subject to the NIH Guidelines voluntarily follow them. The FDA also has published guidance documents related to, among other things, gene therapy products in general, their preclinical assessment, observing subjects involved in gene therapy clinical trials for delayed adverse events, potency testing, and chemistry, manufacturing and control information in gene therapy INDs.</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The OBA will notify the FDA of the RAC's decision regarding the necessity for full public review of a gene therapy protocol. RAC proceedings and reports are posted to the OBA web site and may be accessed by the public.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144"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In addition, there is a publicly accessible database, the Genetic Modification Clinical Research Information System, which includes information on gene transfer trials and serves as an electronic tool to facilitate the reporting and analysis of adverse events in these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5" w:name="page166"/>
    <w:bookmarkEnd w:id="16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Post-approval requirements</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4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Biosimilars and exclusivity</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Patient Protection and Affordable Care Act, or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To date, only one biosimilar has been licensed under the BPCIA, although numerous biosimilars have been approved in Europe. The FDA has issued several guidance documents outlining an approach to review and approval of biosimilars.</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6" w:name="page167"/>
    <w:bookmarkEnd w:id="16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48"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certain biosimilars approved as interchangeable products. At this juncture, it is unclear whether products deemed "interchangeable" by the FDA will, in fact, be readily substituted by pharmacies, which are governed by state pharmacy law.</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5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 outside of the United States</w:t>
      </w:r>
    </w:p>
    <w:p>
      <w:pPr>
        <w:spacing w:after="0" w:line="195" w:lineRule="exact"/>
        <w:rPr>
          <w:sz w:val="20"/>
          <w:szCs w:val="20"/>
          <w:color w:val="auto"/>
        </w:rPr>
      </w:pPr>
    </w:p>
    <w:p>
      <w:pPr>
        <w:ind w:right="180"/>
        <w:spacing w:after="0" w:line="319" w:lineRule="auto"/>
        <w:rPr>
          <w:sz w:val="20"/>
          <w:szCs w:val="20"/>
          <w:color w:val="auto"/>
        </w:rPr>
      </w:pPr>
      <w:r>
        <w:rPr>
          <w:rFonts w:ascii="Arial" w:cs="Arial" w:eastAsia="Arial" w:hAnsi="Arial"/>
          <w:sz w:val="14"/>
          <w:szCs w:val="14"/>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2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67"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7" w:name="page168"/>
    <w:bookmarkEnd w:id="167"/>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There are two types of MAs.</w:t>
      </w:r>
    </w:p>
    <w:p>
      <w:pPr>
        <w:spacing w:after="0" w:line="210" w:lineRule="exact"/>
        <w:rPr>
          <w:sz w:val="20"/>
          <w:szCs w:val="20"/>
          <w:color w:val="auto"/>
        </w:rPr>
      </w:pPr>
    </w:p>
    <w:p>
      <w:pPr>
        <w:ind w:left="467" w:right="20" w:hanging="467"/>
        <w:spacing w:after="0" w:line="260" w:lineRule="auto"/>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94" w:lineRule="exact"/>
        <w:rPr>
          <w:rFonts w:ascii="Arial" w:cs="Arial" w:eastAsia="Arial" w:hAnsi="Arial"/>
          <w:sz w:val="15"/>
          <w:szCs w:val="15"/>
          <w:color w:val="auto"/>
        </w:rPr>
      </w:pPr>
    </w:p>
    <w:p>
      <w:pPr>
        <w:ind w:left="467" w:right="60" w:hanging="467"/>
        <w:spacing w:after="0" w:line="266" w:lineRule="auto"/>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62"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71"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8" w:name="page169"/>
    <w:bookmarkEnd w:id="16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a life-threatening or chronically debilitating condition; (2) either (a) such condition affects no more than five in 10,000 persons in the European Union when the application is made, or</w:t>
      </w:r>
    </w:p>
    <w:p>
      <w:pPr>
        <w:spacing w:after="0" w:line="29" w:lineRule="exact"/>
        <w:rPr>
          <w:sz w:val="20"/>
          <w:szCs w:val="20"/>
          <w:color w:val="auto"/>
        </w:rPr>
      </w:pPr>
    </w:p>
    <w:p>
      <w:pPr>
        <w:ind w:left="7" w:right="40" w:hanging="7"/>
        <w:spacing w:after="0" w:line="260" w:lineRule="auto"/>
        <w:tabs>
          <w:tab w:leader="none" w:pos="221"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0" w:lineRule="exact"/>
        <w:rPr>
          <w:sz w:val="20"/>
          <w:szCs w:val="20"/>
          <w:color w:val="auto"/>
        </w:rPr>
      </w:pPr>
    </w:p>
    <w:p>
      <w:pPr>
        <w:jc w:val="both"/>
        <w:ind w:left="7"/>
        <w:spacing w:after="0" w:line="270" w:lineRule="auto"/>
        <w:rPr>
          <w:sz w:val="20"/>
          <w:szCs w:val="20"/>
          <w:color w:val="auto"/>
        </w:rPr>
      </w:pPr>
      <w:r>
        <w:rPr>
          <w:rFonts w:ascii="Arial" w:cs="Arial" w:eastAsia="Arial" w:hAnsi="Arial"/>
          <w:sz w:val="15"/>
          <w:szCs w:val="15"/>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71" w:lineRule="exact"/>
        <w:rPr>
          <w:sz w:val="20"/>
          <w:szCs w:val="20"/>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second applicant can establish that its product, although similar, is safer, more effective or otherwise clinically superior;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applicant consents to a second orphan medicinal product application;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applicant cannot supply enough orphan medicinal product.</w:t>
      </w:r>
    </w:p>
    <w:p>
      <w:pPr>
        <w:spacing w:after="0" w:line="198"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59" w:lineRule="exact"/>
        <w:rPr>
          <w:sz w:val="20"/>
          <w:szCs w:val="20"/>
          <w:color w:val="auto"/>
        </w:rPr>
      </w:pPr>
    </w:p>
    <w:p>
      <w:pPr>
        <w:ind w:left="7" w:right="300"/>
        <w:spacing w:after="0" w:line="282"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healthcare laws</w:t>
      </w:r>
    </w:p>
    <w:p>
      <w:pPr>
        <w:spacing w:after="0" w:line="195" w:lineRule="exact"/>
        <w:rPr>
          <w:sz w:val="20"/>
          <w:szCs w:val="20"/>
          <w:color w:val="auto"/>
        </w:rPr>
      </w:pPr>
    </w:p>
    <w:p>
      <w:pPr>
        <w:ind w:left="7" w:right="620"/>
        <w:spacing w:after="0" w:line="362" w:lineRule="auto"/>
        <w:rPr>
          <w:sz w:val="20"/>
          <w:szCs w:val="20"/>
          <w:color w:val="auto"/>
        </w:rPr>
      </w:pPr>
      <w:r>
        <w:rPr>
          <w:rFonts w:ascii="Arial" w:cs="Arial" w:eastAsia="Arial" w:hAnsi="Arial"/>
          <w:sz w:val="13"/>
          <w:szCs w:val="13"/>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transparency laws.</w:t>
      </w:r>
    </w:p>
    <w:p>
      <w:pPr>
        <w:spacing w:after="0" w:line="105" w:lineRule="exact"/>
        <w:rPr>
          <w:sz w:val="20"/>
          <w:szCs w:val="20"/>
          <w:color w:val="auto"/>
        </w:rPr>
      </w:pPr>
    </w:p>
    <w:p>
      <w:pPr>
        <w:ind w:left="7" w:right="180"/>
        <w:spacing w:after="0" w:line="263" w:lineRule="auto"/>
        <w:rPr>
          <w:sz w:val="20"/>
          <w:szCs w:val="20"/>
          <w:color w:val="auto"/>
        </w:rPr>
      </w:pPr>
      <w:r>
        <w:rPr>
          <w:rFonts w:ascii="Arial" w:cs="Arial" w:eastAsia="Arial" w:hAnsi="Arial"/>
          <w:sz w:val="15"/>
          <w:szCs w:val="15"/>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Although there are a number of statutory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67" w:lineRule="exact"/>
        <w:rPr>
          <w:sz w:val="20"/>
          <w:szCs w:val="20"/>
          <w:color w:val="auto"/>
        </w:rPr>
      </w:pPr>
    </w:p>
    <w:p>
      <w:pPr>
        <w:jc w:val="both"/>
        <w:ind w:right="160"/>
        <w:spacing w:after="0" w:line="290" w:lineRule="auto"/>
        <w:rPr>
          <w:sz w:val="20"/>
          <w:szCs w:val="20"/>
          <w:color w:val="auto"/>
        </w:rPr>
      </w:pPr>
      <w:r>
        <w:rPr>
          <w:rFonts w:ascii="Arial" w:cs="Arial" w:eastAsia="Arial" w:hAnsi="Arial"/>
          <w:sz w:val="14"/>
          <w:szCs w:val="14"/>
          <w:color w:val="auto"/>
        </w:rPr>
        <w:t>Additionally, the intent standard under the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4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 person or entity does not need to have actual knowledge of the statute or specific intent to violate it in order to have committed a violation.</w:t>
      </w:r>
    </w:p>
    <w:p>
      <w:pPr>
        <w:spacing w:after="0" w:line="198"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67"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62"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71" w:name="page172"/>
    <w:bookmarkEnd w:id="17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Coverage and reimbursement</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4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Healthcare reform</w:t>
      </w:r>
    </w:p>
    <w:p>
      <w:pPr>
        <w:spacing w:after="0" w:line="19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2" w:name="page173"/>
    <w:bookmarkEnd w:id="17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imposed an annual excise tax of 2.3% on any entity that manufactures or imports medical devices, which was suspended from January 1, 2016, to December 31, 2017, by the Consolidated Appropriations Act of 2016, but will be reinstated starting January 1, 2018, absent further action.</w:t>
      </w:r>
    </w:p>
    <w:p>
      <w:pPr>
        <w:spacing w:after="0" w:line="162"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by Congress. A Joint Select Committee on Deficit Reduction, tasked with recommending a targeted deficit reduction of at least $1.2 trillion for the fiscal years 2012 through 2021, was unable to reach required goals, thereby triggering the legislation's automatic reduction to several government programs. This included aggregate reductions of Medicare payments to providers of up to 2% per fiscal year, which went into effect on April 1, 2013 and, due to the Bipartisan Budget Act of 2015, will stay in effect through 2025 unless additional Congressional action is taken. On January 2, 2013, the American Taxpayer Relief Act was signed into law, which, among other things, further reduced Medicare payments to several providers, including hospitals and imaging centers.</w:t>
      </w:r>
    </w:p>
    <w:p>
      <w:pPr>
        <w:spacing w:after="0" w:line="149"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are not currently a party to any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Our headquarters are located in Watertown, Massachusetts, where we occupy 27,833 square feet of office and laboratory space. The term of the lease expires on March 31, 2017. We also lease approximately 2,500 square feet of office and laboratory space in Moscow, Russia on a month to month basis.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2016, we had 54 full-time employees, 44 of whom were primarily engaged in research and development activities. A total of 25 employees have an M.D. or Ph.D. degree.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None of our employees is represented by a labor union and we consider our employee relations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73" w:name="page174"/>
    <w:bookmarkEnd w:id="17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KEY EMPLOYEE, DIRECTORS AND DIRECTOR NOMINEE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name, age and position of each of our executive officers, key employee, directors and director nominee as of June 8, 2016.</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2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640" w:type="dxa"/>
            <w:vAlign w:val="bottom"/>
          </w:tcPr>
          <w:p>
            <w:pPr>
              <w:jc w:val="right"/>
              <w:ind w:right="185"/>
              <w:spacing w:after="0"/>
              <w:rPr>
                <w:sz w:val="20"/>
                <w:szCs w:val="20"/>
                <w:color w:val="auto"/>
              </w:rPr>
            </w:pPr>
            <w:r>
              <w:rPr>
                <w:rFonts w:ascii="Arial" w:cs="Arial" w:eastAsia="Arial" w:hAnsi="Arial"/>
                <w:sz w:val="12"/>
                <w:szCs w:val="12"/>
                <w:b w:val="1"/>
                <w:bCs w:val="1"/>
                <w:color w:val="auto"/>
              </w:rPr>
              <w:t>Age</w:t>
            </w:r>
          </w:p>
        </w:tc>
        <w:tc>
          <w:tcPr>
            <w:tcW w:w="4220" w:type="dxa"/>
            <w:vAlign w:val="bottom"/>
          </w:tcPr>
          <w:p>
            <w:pPr>
              <w:ind w:left="1920"/>
              <w:spacing w:after="0"/>
              <w:rPr>
                <w:sz w:val="20"/>
                <w:szCs w:val="20"/>
                <w:color w:val="auto"/>
              </w:rPr>
            </w:pPr>
            <w:r>
              <w:rPr>
                <w:rFonts w:ascii="Arial" w:cs="Arial" w:eastAsia="Arial" w:hAnsi="Arial"/>
                <w:sz w:val="12"/>
                <w:szCs w:val="12"/>
                <w:b w:val="1"/>
                <w:bCs w:val="1"/>
                <w:color w:val="auto"/>
              </w:rPr>
              <w:t>Position</w:t>
            </w:r>
          </w:p>
        </w:tc>
      </w:tr>
      <w:tr>
        <w:trPr>
          <w:trHeight w:val="177"/>
        </w:trPr>
        <w:tc>
          <w:tcPr>
            <w:tcW w:w="20" w:type="dxa"/>
            <w:vAlign w:val="bottom"/>
          </w:tcPr>
          <w:p>
            <w:pPr>
              <w:spacing w:after="0"/>
              <w:rPr>
                <w:sz w:val="15"/>
                <w:szCs w:val="15"/>
                <w:color w:val="auto"/>
              </w:rPr>
            </w:pPr>
          </w:p>
        </w:tc>
        <w:tc>
          <w:tcPr>
            <w:tcW w:w="3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Executive Officers</w:t>
            </w:r>
          </w:p>
        </w:tc>
        <w:tc>
          <w:tcPr>
            <w:tcW w:w="1640" w:type="dxa"/>
            <w:vAlign w:val="bottom"/>
            <w:tcBorders>
              <w:top w:val="single" w:sz="8" w:color="auto"/>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Werner Cautreels, Ph.D.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63</w:t>
            </w:r>
          </w:p>
        </w:tc>
        <w:tc>
          <w:tcPr>
            <w:tcW w:w="4220" w:type="dxa"/>
            <w:vAlign w:val="bottom"/>
          </w:tcPr>
          <w:p>
            <w:pPr>
              <w:ind w:left="120"/>
              <w:spacing w:after="0"/>
              <w:rPr>
                <w:sz w:val="20"/>
                <w:szCs w:val="20"/>
                <w:color w:val="auto"/>
              </w:rPr>
            </w:pPr>
            <w:r>
              <w:rPr>
                <w:rFonts w:ascii="Arial" w:cs="Arial" w:eastAsia="Arial" w:hAnsi="Arial"/>
                <w:sz w:val="15"/>
                <w:szCs w:val="15"/>
                <w:color w:val="auto"/>
              </w:rPr>
              <w:t>President and Chief Executive Officer and Director</w:t>
            </w:r>
          </w:p>
        </w:tc>
      </w:tr>
      <w:tr>
        <w:trPr>
          <w:trHeight w:val="178"/>
        </w:trPr>
        <w:tc>
          <w:tcPr>
            <w:tcW w:w="20" w:type="dxa"/>
            <w:vAlign w:val="bottom"/>
          </w:tcPr>
          <w:p>
            <w:pPr>
              <w:spacing w:after="0"/>
              <w:rPr>
                <w:sz w:val="15"/>
                <w:szCs w:val="15"/>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Lloyd Johnston, Ph.D.</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4"/>
              </w:rPr>
              <w:t>Chief Operating Officer and Senior Vice President, Research and</w:t>
            </w:r>
          </w:p>
        </w:tc>
      </w:tr>
      <w:tr>
        <w:trPr>
          <w:trHeight w:val="192"/>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Development</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Takashi Kei Kishimoto, Ph.D.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56</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Scientific Officer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Keller, M.Sci.</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45</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Business Officer</w:t>
            </w:r>
          </w:p>
        </w:tc>
      </w:tr>
      <w:tr>
        <w:trPr>
          <w:trHeight w:val="178"/>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David Abraham, J.D.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50</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Compliance Officer, General Counsel and Corporate</w:t>
            </w: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Arial" w:cs="Arial" w:eastAsia="Arial" w:hAnsi="Arial"/>
                <w:sz w:val="15"/>
                <w:szCs w:val="15"/>
                <w:color w:val="auto"/>
              </w:rPr>
              <w:t>Secretary</w:t>
            </w:r>
          </w:p>
        </w:tc>
      </w:tr>
      <w:tr>
        <w:trPr>
          <w:trHeight w:val="188"/>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Medical Officer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David Siewers, CPA</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Financial Officer</w:t>
            </w:r>
          </w:p>
        </w:tc>
      </w:tr>
      <w:tr>
        <w:trPr>
          <w:trHeight w:val="371"/>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Other Key Employee</w:t>
            </w:r>
          </w:p>
        </w:tc>
        <w:tc>
          <w:tcPr>
            <w:tcW w:w="16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Dmitry Ovchinnikov, Ph.D.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38</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Director, Selecta RUS</w:t>
            </w:r>
          </w:p>
        </w:tc>
      </w:tr>
      <w:tr>
        <w:trPr>
          <w:trHeight w:val="371"/>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Directors and Director Nominee</w:t>
            </w:r>
          </w:p>
        </w:tc>
        <w:tc>
          <w:tcPr>
            <w:tcW w:w="16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Omid Farokhzad, M.D.(3)</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47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Ph.D.(1)</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51</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Peter Barton Hutt, LL.B., LL.M.(2)</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81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Kania(1)(2)</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Robert Langer, Sc.D.(4)</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67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Sc.D.(1)(3)</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43</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Aymeric Sallin, M.S.(2)</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42</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Leysan Shaydullina, M.D.(4)</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George Siber, M.D.(4)</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71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Timothy A. Springer, Ph.D.(3)(5)</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 Nominee</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2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105" w:lineRule="exact"/>
        <w:rPr>
          <w:rFonts w:ascii="Arial" w:cs="Arial" w:eastAsia="Arial" w:hAnsi="Arial"/>
          <w:sz w:val="12"/>
          <w:szCs w:val="12"/>
          <w:color w:val="auto"/>
        </w:rPr>
      </w:pPr>
    </w:p>
    <w:p>
      <w:pPr>
        <w:ind w:left="1600" w:right="120" w:hanging="463"/>
        <w:spacing w:after="0" w:line="238" w:lineRule="auto"/>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Each of Drs. Langer and Siber resigned from our board of directors effective immediately prior to the effectiveness of the registration statement of which this prospectus forms a part. Dr. Shaydullina will resign from our board of directors contingent upon, and effective immediately prior to, the closing of this offering.</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Dr. Springer was elected to our board of directors effective upon the effectiveness of the registration statement of which this prospectus forms a part.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AND KEY EMPLOYEES</w:t>
      </w:r>
    </w:p>
    <w:p>
      <w:pPr>
        <w:spacing w:after="0" w:line="195" w:lineRule="exact"/>
        <w:rPr>
          <w:sz w:val="20"/>
          <w:szCs w:val="20"/>
          <w:color w:val="auto"/>
        </w:rPr>
      </w:pPr>
    </w:p>
    <w:p>
      <w:pPr>
        <w:ind w:right="360"/>
        <w:spacing w:after="0" w:line="270" w:lineRule="auto"/>
        <w:rPr>
          <w:sz w:val="20"/>
          <w:szCs w:val="20"/>
          <w:color w:val="auto"/>
        </w:rPr>
      </w:pPr>
      <w:r>
        <w:rPr>
          <w:rFonts w:ascii="Arial" w:cs="Arial" w:eastAsia="Arial" w:hAnsi="Arial"/>
          <w:sz w:val="15"/>
          <w:szCs w:val="15"/>
          <w:i w:val="1"/>
          <w:iCs w:val="1"/>
          <w:color w:val="auto"/>
        </w:rPr>
        <w:t xml:space="preserve">Werner Cautreels, Ph.D. </w:t>
      </w:r>
      <w:r>
        <w:rPr>
          <w:rFonts w:ascii="Arial" w:cs="Arial" w:eastAsia="Arial" w:hAnsi="Arial"/>
          <w:sz w:val="15"/>
          <w:szCs w:val="15"/>
          <w:color w:val="auto"/>
        </w:rPr>
        <w:t>has served as our President, Chief Executive Officer and member of our board of directors since July 2010. Prior to joining Selecta, Dr. Cautreels was Chief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 of Solvay Pharmaceuticals, the pharmaceuticals division of the Solvay Group, in Brussels, Belgium, from 2005 until Solvay Pharmaceuticals was acquired by Abbott Laboratories in February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Before becoming the CEO of Solvay Pharmaceuticals, Dr. Cautreels was their Global Head of R&amp;D from 1998. Prior to joining Solvay, he was employed by Sanofi, Sterling-Winthrop from 1979 to 1994, and Nycomed-Amersham from 1994 to 1998 in a variety of R&amp;D management positions in Europe and in the United States. Dr. Cautreels was a director of Innogenetics NV in Gent, Belgium and ArQule Inc., in Woburn, Massachusetts from 1999 to 2006. He currently serves as a director of Seres Therapeutics, Inc. and Galapagos NV, in Mechelen, Belgium. He was the President of the Belgian-Luxemburg Chamber of Commerce for Russia and Belarus until June 2010. Dr. Cautreels received his Ph.D. in Chemistry, specializing in Mass Spectrometry, from the University of Antwerp (Antwerp, Belgium), and his financial and business training from the Advanced Management Program at Harvard Business School.</w:t>
      </w:r>
    </w:p>
    <w:p>
      <w:pPr>
        <w:spacing w:after="0" w:line="137"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i w:val="1"/>
          <w:iCs w:val="1"/>
          <w:color w:val="auto"/>
        </w:rPr>
        <w:t xml:space="preserve">Lloyd Johnston, Ph.D. </w:t>
      </w:r>
      <w:r>
        <w:rPr>
          <w:rFonts w:ascii="Arial" w:cs="Arial" w:eastAsia="Arial" w:hAnsi="Arial"/>
          <w:sz w:val="14"/>
          <w:szCs w:val="14"/>
          <w:color w:val="auto"/>
        </w:rPr>
        <w:t>has served as our Chief Operating Officer and Senior Vice President, Research and Development since January 2014. Dr. Johnston served as Selecta's Senior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54" w:lineRule="exact"/>
        <w:rPr>
          <w:sz w:val="20"/>
          <w:szCs w:val="20"/>
          <w:color w:val="auto"/>
        </w:rPr>
      </w:pPr>
    </w:p>
    <w:p>
      <w:pPr>
        <w:spacing w:after="0" w:line="262" w:lineRule="auto"/>
        <w:rPr>
          <w:sz w:val="20"/>
          <w:szCs w:val="20"/>
          <w:color w:val="auto"/>
        </w:rPr>
      </w:pPr>
      <w:r>
        <w:rPr>
          <w:rFonts w:ascii="Arial" w:cs="Arial" w:eastAsia="Arial" w:hAnsi="Arial"/>
          <w:sz w:val="15"/>
          <w:szCs w:val="15"/>
          <w:i w:val="1"/>
          <w:iCs w:val="1"/>
          <w:color w:val="auto"/>
        </w:rPr>
        <w:t xml:space="preserve">Takashi Kei Kishimoto, Ph.D. </w:t>
      </w:r>
      <w:r>
        <w:rPr>
          <w:rFonts w:ascii="Arial" w:cs="Arial" w:eastAsia="Arial" w:hAnsi="Arial"/>
          <w:sz w:val="15"/>
          <w:szCs w:val="15"/>
          <w:color w:val="auto"/>
        </w:rPr>
        <w:t>has served as our Chief Scientific Officer since June 2011. Prior to joining Selecta, Dr. Kishimoto was Vice President of Discovery Research at Momenta</w:t>
      </w:r>
      <w:r>
        <w:rPr>
          <w:rFonts w:ascii="Arial" w:cs="Arial" w:eastAsia="Arial" w:hAnsi="Arial"/>
          <w:sz w:val="15"/>
          <w:szCs w:val="15"/>
          <w:i w:val="1"/>
          <w:iCs w:val="1"/>
          <w:color w:val="auto"/>
        </w:rPr>
        <w:t xml:space="preserve"> </w:t>
      </w:r>
      <w:r>
        <w:rPr>
          <w:rFonts w:ascii="Arial" w:cs="Arial" w:eastAsia="Arial" w:hAnsi="Arial"/>
          <w:sz w:val="15"/>
          <w:szCs w:val="15"/>
          <w:color w:val="auto"/>
        </w:rPr>
        <w:t>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50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5"/>
          <w:szCs w:val="15"/>
          <w:i w:val="1"/>
          <w:iCs w:val="1"/>
          <w:color w:val="auto"/>
        </w:rPr>
        <w:t xml:space="preserve">Peter Keller, M.Sci. </w:t>
      </w:r>
      <w:r>
        <w:rPr>
          <w:rFonts w:ascii="Arial" w:cs="Arial" w:eastAsia="Arial" w:hAnsi="Arial"/>
          <w:sz w:val="15"/>
          <w:szCs w:val="15"/>
          <w:color w:val="auto"/>
        </w:rPr>
        <w:t>has served as our Chief Business Officer since he joined Selecta from Abbott Laboratories in February 2011. After the acquisition of Solvay Pharmaceuticals in February</w:t>
      </w:r>
      <w:r>
        <w:rPr>
          <w:rFonts w:ascii="Arial" w:cs="Arial" w:eastAsia="Arial" w:hAnsi="Arial"/>
          <w:sz w:val="15"/>
          <w:szCs w:val="15"/>
          <w:i w:val="1"/>
          <w:iCs w:val="1"/>
          <w:color w:val="auto"/>
        </w:rPr>
        <w:t xml:space="preserve"> </w:t>
      </w:r>
      <w:r>
        <w:rPr>
          <w:rFonts w:ascii="Arial" w:cs="Arial" w:eastAsia="Arial" w:hAnsi="Arial"/>
          <w:sz w:val="15"/>
          <w:szCs w:val="15"/>
          <w:color w:val="auto"/>
        </w:rPr>
        <w:t>2010 by Abbott Laboratories, he led the integration process for five R&amp;D and manufacturing facilities in Europe. Before the acquisition, Mr. Keller was Vice President, Head of Mergers &amp; Acquisitions and Alliance Management at Solvay Pharmaceuticals from March 2007 to February 2010, where he negotiated license and acquisition agreements in various therapeutic areas such as vaccines, neurology, and cardiology. He was the lead negotiator for the $1.5 billion fenofibrate alliance between Solvay Pharmaceuticals and Abbott Laboratories and instrumental in the $6.2 billion acquisition of Solvay Pharmaceuticals by Abbott Laboratories. Mr. Keller previously worked in management consulting at McKinsey &amp; Company from October 2000 to February 2007 and Simon Kucher &amp; Partners from July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1998 to September 2000. Mr. Keller received his M.Sci. in Industrial Engineering and Management from the Technical University of Karlsruhe in Karlsruhe, Germany.</w:t>
      </w:r>
    </w:p>
    <w:p>
      <w:pPr>
        <w:spacing w:after="0" w:line="198"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i w:val="1"/>
          <w:iCs w:val="1"/>
          <w:color w:val="auto"/>
        </w:rPr>
        <w:t xml:space="preserve">David Abraham, J.D. </w:t>
      </w:r>
      <w:r>
        <w:rPr>
          <w:rFonts w:ascii="Arial" w:cs="Arial" w:eastAsia="Arial" w:hAnsi="Arial"/>
          <w:sz w:val="15"/>
          <w:szCs w:val="15"/>
          <w:color w:val="auto"/>
        </w:rPr>
        <w:t>has served as our General Counsel and Corporate Secretary since he joined Selecta in May 2011. From January 2009 to April 2011, Mr. Abraham was a member of</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 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67" w:lineRule="exact"/>
        <w:rPr>
          <w:sz w:val="20"/>
          <w:szCs w:val="20"/>
          <w:color w:val="auto"/>
        </w:rPr>
      </w:pPr>
    </w:p>
    <w:p>
      <w:pPr>
        <w:ind w:right="80"/>
        <w:spacing w:after="0" w:line="305" w:lineRule="auto"/>
        <w:rPr>
          <w:sz w:val="20"/>
          <w:szCs w:val="20"/>
          <w:color w:val="auto"/>
        </w:rPr>
      </w:pPr>
      <w:r>
        <w:rPr>
          <w:rFonts w:ascii="Arial" w:cs="Arial" w:eastAsia="Arial" w:hAnsi="Arial"/>
          <w:sz w:val="13"/>
          <w:szCs w:val="13"/>
          <w:i w:val="1"/>
          <w:iCs w:val="1"/>
          <w:color w:val="auto"/>
        </w:rPr>
        <w:t xml:space="preserve">Earl Sands, M.D. </w:t>
      </w:r>
      <w:r>
        <w:rPr>
          <w:rFonts w:ascii="Arial" w:cs="Arial" w:eastAsia="Arial" w:hAnsi="Arial"/>
          <w:sz w:val="13"/>
          <w:szCs w:val="13"/>
          <w:color w:val="auto"/>
        </w:rPr>
        <w:t>has served as our Chief Medical Officer since July 2015. From July 2014 to May 2015, Dr. Sands served as the Chief Medical Officer of Targacept, Inc., now part of</w:t>
      </w:r>
      <w:r>
        <w:rPr>
          <w:rFonts w:ascii="Arial" w:cs="Arial" w:eastAsia="Arial" w:hAnsi="Arial"/>
          <w:sz w:val="13"/>
          <w:szCs w:val="13"/>
          <w:i w:val="1"/>
          <w:iCs w:val="1"/>
          <w:color w:val="auto"/>
        </w:rPr>
        <w:t xml:space="preserve"> </w:t>
      </w:r>
      <w:r>
        <w:rPr>
          <w:rFonts w:ascii="Arial" w:cs="Arial" w:eastAsia="Arial" w:hAnsi="Arial"/>
          <w:sz w:val="13"/>
          <w:szCs w:val="13"/>
          <w:color w:val="auto"/>
        </w:rPr>
        <w:t>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i w:val="1"/>
          <w:iCs w:val="1"/>
          <w:color w:val="auto"/>
        </w:rPr>
        <w:t xml:space="preserve">David Siewers </w:t>
      </w:r>
      <w:r>
        <w:rPr>
          <w:rFonts w:ascii="Arial" w:cs="Arial" w:eastAsia="Arial" w:hAnsi="Arial"/>
          <w:sz w:val="15"/>
          <w:szCs w:val="15"/>
          <w:color w:val="auto"/>
        </w:rPr>
        <w:t>has served as our Chief Financial Officer since September 2009. Mr. Siewers has 30 years of experience in financial management, financial systems design and</w:t>
      </w:r>
      <w:r>
        <w:rPr>
          <w:rFonts w:ascii="Arial" w:cs="Arial" w:eastAsia="Arial" w:hAnsi="Arial"/>
          <w:sz w:val="15"/>
          <w:szCs w:val="15"/>
          <w:i w:val="1"/>
          <w:iCs w:val="1"/>
          <w:color w:val="auto"/>
        </w:rPr>
        <w:t xml:space="preserve"> </w:t>
      </w:r>
      <w:r>
        <w:rPr>
          <w:rFonts w:ascii="Arial" w:cs="Arial" w:eastAsia="Arial" w:hAnsi="Arial"/>
          <w:sz w:val="15"/>
          <w:szCs w:val="15"/>
          <w:color w:val="auto"/>
        </w:rPr>
        <w:t>implementation, equity and debt financing and mergers and acquisitions. Prior to joining Selecta, Mr. Siewers was an independent consultant from 2002 to 2009, providing strategic guidance and tactical implementation of accounting systems, management and regulatory reporting, internal controls, profitability and cost analysis to an array of clients ranging from startups to mid-level companies. Previously, Mr. Siewers held various positions in the financial services industry, including Senior Vice President and Divisional Chief Financial Officer roles within Fleet Financial Group and Senior Vice President of Putnam Investments. Mr. Siewers received his B.S. in Accounting from Marietta College and received his CPA in 1978 while working at KPMG.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KEY EMPLOYEES</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i w:val="1"/>
          <w:iCs w:val="1"/>
          <w:color w:val="auto"/>
        </w:rPr>
        <w:t xml:space="preserve">Dmitry Ovchinnikov, Ph.D. </w:t>
      </w:r>
      <w:r>
        <w:rPr>
          <w:rFonts w:ascii="Arial" w:cs="Arial" w:eastAsia="Arial" w:hAnsi="Arial"/>
          <w:sz w:val="15"/>
          <w:szCs w:val="15"/>
          <w:color w:val="auto"/>
        </w:rPr>
        <w:t>has served as the General Director of our Russian operations since August 2013, and served as General Deputy Director from May 2012 to August 2013. Prior to</w:t>
      </w:r>
      <w:r>
        <w:rPr>
          <w:rFonts w:ascii="Arial" w:cs="Arial" w:eastAsia="Arial" w:hAnsi="Arial"/>
          <w:sz w:val="15"/>
          <w:szCs w:val="15"/>
          <w:i w:val="1"/>
          <w:iCs w:val="1"/>
          <w:color w:val="auto"/>
        </w:rPr>
        <w:t xml:space="preserve"> </w:t>
      </w:r>
      <w:r>
        <w:rPr>
          <w:rFonts w:ascii="Arial" w:cs="Arial" w:eastAsia="Arial" w:hAnsi="Arial"/>
          <w:sz w:val="15"/>
          <w:szCs w:val="15"/>
          <w:color w:val="auto"/>
        </w:rPr>
        <w:t>joining Selecta, Dr. Ovchinnikov was a medical director for ZAO Sandoz (Russia), a Novartis company, from December 2010 to May 2012, and was responsible for medical support and compliance, clinical trials and pharmacovigilance. Dr. Ovchinnikov was also a member of the Russia executive committee at Sandoz and took part in the elaboration of development strategy for the Russian branch.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6" w:name="page177"/>
    <w:bookmarkEnd w:id="17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40"/>
        <w:spacing w:after="0" w:line="297" w:lineRule="auto"/>
        <w:rPr>
          <w:sz w:val="20"/>
          <w:szCs w:val="20"/>
          <w:color w:val="auto"/>
        </w:rPr>
      </w:pPr>
      <w:r>
        <w:rPr>
          <w:rFonts w:ascii="Arial" w:cs="Arial" w:eastAsia="Arial" w:hAnsi="Arial"/>
          <w:sz w:val="14"/>
          <w:szCs w:val="14"/>
          <w:color w:val="auto"/>
        </w:rPr>
        <w:t>November 2006 to December 2010, Dr. Ovchinnikov worked at Janssen-Cilag, a Johnson &amp; Johnson company, as a medical manager for Russia and the Commonwealth of Independent States, and from December 2004 to November 2006 he served as a clinical research associate for PAREXEL RUS LLC, a life sciences consulting firm and a division of PAREXEL International. Dr. Ovchinnikov received his M.S. and Ph.D. in Biochemistry/Oncology/Virology from Lomonosov Moscow State University in Moscow, Russia.</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19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i w:val="1"/>
          <w:iCs w:val="1"/>
          <w:color w:val="auto"/>
        </w:rPr>
        <w:t xml:space="preserve">Omid Farokhzad, M.D. </w:t>
      </w:r>
      <w:r>
        <w:rPr>
          <w:rFonts w:ascii="Arial" w:cs="Arial" w:eastAsia="Arial" w:hAnsi="Arial"/>
          <w:sz w:val="14"/>
          <w:szCs w:val="14"/>
          <w:color w:val="auto"/>
        </w:rPr>
        <w:t>is one of our co-founders and has served as a member of our board of directors since 2007. Dr. Farokhzad is an Associate Professor at Harvard Medical School, or</w:t>
      </w:r>
      <w:r>
        <w:rPr>
          <w:rFonts w:ascii="Arial" w:cs="Arial" w:eastAsia="Arial" w:hAnsi="Arial"/>
          <w:sz w:val="14"/>
          <w:szCs w:val="14"/>
          <w:i w:val="1"/>
          <w:iCs w:val="1"/>
          <w:color w:val="auto"/>
        </w:rPr>
        <w:t xml:space="preserve"> </w:t>
      </w:r>
      <w:r>
        <w:rPr>
          <w:rFonts w:ascii="Arial" w:cs="Arial" w:eastAsia="Arial" w:hAnsi="Arial"/>
          <w:sz w:val="14"/>
          <w:szCs w:val="14"/>
          <w:color w:val="auto"/>
        </w:rPr>
        <w:t>HMS and a physician-scientist in the Department of Anesthesiology at Brigham and Women's Hospital, or BWH, positions he has held since 2004. Dr. Farokhzad directs the Laboratory of Nanomedicine and Biomaterials at BWH. Prior to joining the HMS faculty, Dr. Farokhzad completed his postgraduate clinical and postdoctoral research trainings, respectively, at BWH/HMS and MIT in the laboratory of Dr. Langer. He is the recipient of the 2013 RUSNANOPRIZE. Dr. Farokhzad has been directly involved in the launch and development of four biotechnology companies and, on occasion, has assumed additional roles in support of management.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4"/>
          <w:szCs w:val="14"/>
          <w:i w:val="1"/>
          <w:iCs w:val="1"/>
          <w:color w:val="auto"/>
        </w:rPr>
        <w:t xml:space="preserve">Carl Gordon, Ph.D. </w:t>
      </w:r>
      <w:r>
        <w:rPr>
          <w:rFonts w:ascii="Arial" w:cs="Arial" w:eastAsia="Arial" w:hAnsi="Arial"/>
          <w:sz w:val="14"/>
          <w:szCs w:val="14"/>
          <w:color w:val="auto"/>
        </w:rPr>
        <w:t>has served as a member of our board of directors since 2010. Dr. Gordon serves as General Partner and Co-Head of Private Equity of OrbiMed Advisors LLC, which he</w:t>
      </w:r>
      <w:r>
        <w:rPr>
          <w:rFonts w:ascii="Arial" w:cs="Arial" w:eastAsia="Arial" w:hAnsi="Arial"/>
          <w:sz w:val="14"/>
          <w:szCs w:val="14"/>
          <w:i w:val="1"/>
          <w:iCs w:val="1"/>
          <w:color w:val="auto"/>
        </w:rPr>
        <w:t xml:space="preserve"> </w:t>
      </w:r>
      <w:r>
        <w:rPr>
          <w:rFonts w:ascii="Arial" w:cs="Arial" w:eastAsia="Arial" w:hAnsi="Arial"/>
          <w:sz w:val="14"/>
          <w:szCs w:val="14"/>
          <w:color w:val="auto"/>
        </w:rPr>
        <w:t>co-founded in 1998. From 1995 to 1997 he was a senior biotechnology analyst at Mehta and Isaly, and from 1993 to 1995 he was a Fellow at The Rockefeller University. Dr. Gordon currently serves on the board of directors of numerous private companies. Previously, Dr. Gordon had served on the board of directors of Acceleron Pharma Inc., Amarin Corporation plc and Pacira Pharmaceuticals, Inc. Dr. Gordon received his B.S. in Chemistry from Harvard College and his Ph.D. in Molecular Biology from MIT. Dr. Gordon's venture capital experience, expertise in the scientific field of molecular biology and financial credentials contributed to our board of directors' conclusion that he should serve as a director of our company.</w:t>
      </w:r>
    </w:p>
    <w:p>
      <w:pPr>
        <w:spacing w:after="0" w:line="14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i w:val="1"/>
          <w:iCs w:val="1"/>
          <w:color w:val="auto"/>
        </w:rPr>
        <w:t xml:space="preserve">Peter Barton Hutt, LL.B., LL.M. </w:t>
      </w:r>
      <w:r>
        <w:rPr>
          <w:rFonts w:ascii="Arial" w:cs="Arial" w:eastAsia="Arial" w:hAnsi="Arial"/>
          <w:sz w:val="14"/>
          <w:szCs w:val="14"/>
          <w:color w:val="auto"/>
        </w:rPr>
        <w:t>has served as a member of our board of directors since 2010. Mr. Hutt is a senior counsel in the Washington, D.C. law firm of Covington &amp; Burling</w:t>
      </w:r>
      <w:r>
        <w:rPr>
          <w:rFonts w:ascii="Arial" w:cs="Arial" w:eastAsia="Arial" w:hAnsi="Arial"/>
          <w:sz w:val="14"/>
          <w:szCs w:val="14"/>
          <w:i w:val="1"/>
          <w:iCs w:val="1"/>
          <w:color w:val="auto"/>
        </w:rPr>
        <w:t xml:space="preserve"> </w:t>
      </w:r>
      <w:r>
        <w:rPr>
          <w:rFonts w:ascii="Arial" w:cs="Arial" w:eastAsia="Arial" w:hAnsi="Arial"/>
          <w:sz w:val="14"/>
          <w:szCs w:val="14"/>
          <w:color w:val="auto"/>
        </w:rPr>
        <w:t>specializing in food and drug law. Mr. Hutt began his law practice with the firm in 1960 and, except for his four years in the government, has continued at the firm ever since. Mr. Hutt served as Chief Counsel for the FDA during 1971 to 1975. Since 1994 he has taught a course on Food and Drug Law at Harvard Law School. Mr. Hutt serves on the board of directors of Seres Therapeutics, Inc., Xoma Corp., BIND Therapeutics, Inc., Concert Pharmaceuticals, Inc., Flex Pharma, Inc. and Q Therapeutics, Inc. From 2009 to 2015, Mr. Hutt served on the board of directors of DBV Technologies, from 2001 to 2014 he served on the board of Momenta Pharmaceuticals, Inc., from 2008 to 2011, he served on the board of Celera Corp and from 2002 to 2012 he served on the board of ISTA Pharmaceuticals, Inc. Mr. Hutt received his B.A. from Yale University, his LL.B. from Harvard Law School and his LL.M. from New York University. Mr. Hutt's extensive knowledge of and experience with food and drug law and his service on numerous boards of directors in the biotechnology and pharmaceutical industries contributed to our board of directors' conclusion that he should serve as a director of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Edwin M. Kania </w:t>
      </w:r>
      <w:r>
        <w:rPr>
          <w:rFonts w:ascii="Arial" w:cs="Arial" w:eastAsia="Arial" w:hAnsi="Arial"/>
          <w:sz w:val="13"/>
          <w:szCs w:val="13"/>
          <w:color w:val="auto"/>
        </w:rPr>
        <w:t>has served as a member of our board of directors since 2013. Mr. Kania is Co-Founder of Flagship Ventures, a Boston-based venture capital firm, and serves as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7266305"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Partner for several of its funds. He served as Chairman of Flagship Ventures between 2001 and 2014. Prior to co-founding Flagship Ventures in 2000, Mr. Kania was a General Partner at OneLiberty Ventures and its predecessor firm, Morgan Holland Ventures. His direct investment experience covers over 100 companies. Since 2004, he has served on the board of directors of Acceleron Pharma Inc., a clinical stage biopharmaceutical company that focuses on regulating cellular growth. Mr. Kania has also served on the boards of Aspect Medical, EXACT Sciences and other public and private companies. Mr. Kania received his B.S. in Physics from Dartmouth College and his M.B.A. from Harvard Business School. Mr. Kania's extensive investment experience in the biotechnology sector contributed to our board of directors' conclusion that he should serve as a director of our company.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Robert Langer, Sc.D. </w:t>
      </w:r>
      <w:r>
        <w:rPr>
          <w:rFonts w:ascii="Arial" w:cs="Arial" w:eastAsia="Arial" w:hAnsi="Arial"/>
          <w:sz w:val="14"/>
          <w:szCs w:val="14"/>
          <w:color w:val="auto"/>
        </w:rPr>
        <w:t>is one of our co-founders and has served as a member of our board of directors since 2007. Dr. Langer also serves as Chairman of our scientific advisory board.</w:t>
      </w:r>
    </w:p>
    <w:p>
      <w:pPr>
        <w:spacing w:after="0" w:line="2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Dr. Langer has been an Institute Professor at MIT since 2005, and prior to that was an Assistant Professor, Associate Professor and then Professor at MIT starting in 1977. Dr. Langer has received the National Medal of Science, National Medal of Technology and Innovation, Wolf Prize in Chemistry, Charles Stark Draper Prize, Albany Medical Center Prize in Medicine and Biomedical Research and the Lemelson-MIT Prize for Invention and Innovation. Dr. Langer is one of the very few individuals ever elected to the American Institute of Medical and Biological Engineering, the National Academy of Engineering and the National Academy of Sciences. He currently serves on the board of directors of Ocata Therapeutics, BIND Therapeutics, Inc. and PureTech Health PLC, and previously served as a director of Momenta Pharmaceuticals from 2001 to 2009, Wyeth from 2004 to 2009, Fibrocell Science, Inc. from 2010 to 2012 and Millipore Corp from 2009 to 2010. Dr. Langer received his B.S. from Cornell University and his Sc.D. from MIT, both in Chemical Engineering. Dr. Langer's pioneering academic work in nanotechnology and drug delivery contributed to our board of directors' conclusion that he should serve as a director of our company. Dr. Langer resigned from our board of directors effective immediately prior to the effectiveness of the registration statement of which this prospectus forms a part.</w:t>
      </w:r>
    </w:p>
    <w:p>
      <w:pPr>
        <w:spacing w:after="0" w:line="155"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i w:val="1"/>
          <w:iCs w:val="1"/>
          <w:color w:val="auto"/>
        </w:rPr>
        <w:t xml:space="preserve">Amir Nashat, Sc.D. </w:t>
      </w:r>
      <w:r>
        <w:rPr>
          <w:rFonts w:ascii="Arial" w:cs="Arial" w:eastAsia="Arial" w:hAnsi="Arial"/>
          <w:sz w:val="14"/>
          <w:szCs w:val="14"/>
          <w:color w:val="auto"/>
        </w:rPr>
        <w:t>has served as a member of our board of directors since 2008. Dr. Nashat has been a Managing General Partner at Polaris Venture Partners, a venture capital firm, since</w:t>
      </w:r>
      <w:r>
        <w:rPr>
          <w:rFonts w:ascii="Arial" w:cs="Arial" w:eastAsia="Arial" w:hAnsi="Arial"/>
          <w:sz w:val="14"/>
          <w:szCs w:val="14"/>
          <w:i w:val="1"/>
          <w:iCs w:val="1"/>
          <w:color w:val="auto"/>
        </w:rPr>
        <w:t xml:space="preserve"> </w:t>
      </w:r>
      <w:r>
        <w:rPr>
          <w:rFonts w:ascii="Arial" w:cs="Arial" w:eastAsia="Arial" w:hAnsi="Arial"/>
          <w:sz w:val="14"/>
          <w:szCs w:val="14"/>
          <w:color w:val="auto"/>
        </w:rPr>
        <w:t>2009 and focuses on investments in the life sciences. He currently serves on the board of directors of Fate Therapeutics, Inc., BIND Therapeutics, Inc., aTyr Pharma, Inc. and several private companies. Dr. Nashat has also served as a director of Receptos, Inc., Adnexus Therapeutics, Inc. (acquired by Bristol-Myers Squibb Company) and other private companies. Dr. Nashat completed his Sc.D. as a Hertz Fellow in Chemical Engineering at MIT with a minor in biology under the guidance of Dr. Langer.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54" w:lineRule="exact"/>
        <w:rPr>
          <w:sz w:val="20"/>
          <w:szCs w:val="20"/>
          <w:color w:val="auto"/>
        </w:rPr>
      </w:pPr>
    </w:p>
    <w:p>
      <w:pPr>
        <w:ind w:right="60"/>
        <w:spacing w:after="0" w:line="300" w:lineRule="auto"/>
        <w:rPr>
          <w:sz w:val="20"/>
          <w:szCs w:val="20"/>
          <w:color w:val="auto"/>
        </w:rPr>
      </w:pPr>
      <w:r>
        <w:rPr>
          <w:rFonts w:ascii="Arial" w:cs="Arial" w:eastAsia="Arial" w:hAnsi="Arial"/>
          <w:sz w:val="13"/>
          <w:szCs w:val="13"/>
          <w:i w:val="1"/>
          <w:iCs w:val="1"/>
          <w:color w:val="auto"/>
        </w:rPr>
        <w:t xml:space="preserve">Aymeric Sallin, M.S. </w:t>
      </w:r>
      <w:r>
        <w:rPr>
          <w:rFonts w:ascii="Arial" w:cs="Arial" w:eastAsia="Arial" w:hAnsi="Arial"/>
          <w:sz w:val="13"/>
          <w:szCs w:val="13"/>
          <w:color w:val="auto"/>
        </w:rPr>
        <w:t>has served as a member of our board of directors since 2008. Mr. Sallin has served as the Chief Executive Officer of NanoDimension, a venture capital firm, since 2002</w:t>
      </w:r>
      <w:r>
        <w:rPr>
          <w:rFonts w:ascii="Arial" w:cs="Arial" w:eastAsia="Arial" w:hAnsi="Arial"/>
          <w:sz w:val="13"/>
          <w:szCs w:val="13"/>
          <w:i w:val="1"/>
          <w:iCs w:val="1"/>
          <w:color w:val="auto"/>
        </w:rPr>
        <w:t xml:space="preserve"> </w:t>
      </w:r>
      <w:r>
        <w:rPr>
          <w:rFonts w:ascii="Arial" w:cs="Arial" w:eastAsia="Arial" w:hAnsi="Arial"/>
          <w:sz w:val="13"/>
          <w:szCs w:val="13"/>
          <w:color w:val="auto"/>
        </w:rPr>
        <w:t>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w:t>
      </w:r>
    </w:p>
    <w:p>
      <w:pPr>
        <w:ind w:right="160"/>
        <w:spacing w:after="0" w:line="266" w:lineRule="auto"/>
        <w:rPr>
          <w:sz w:val="20"/>
          <w:szCs w:val="20"/>
          <w:color w:val="auto"/>
        </w:rPr>
      </w:pPr>
      <w:r>
        <w:rPr>
          <w:rFonts w:ascii="Arial" w:cs="Arial" w:eastAsia="Arial" w:hAnsi="Arial"/>
          <w:sz w:val="15"/>
          <w:szCs w:val="15"/>
          <w:color w:val="auto"/>
        </w:rPr>
        <w:t>Mr. Sallin has worked to generate and close investments of hundreds of millions of dollars into several of NanoDimension's portfolio companies. He currently serves as a board member of View, Inc., CROCUS Technology and Tarveda Therapeutics. Mr. Sallin is also a member of the Swiss Academy of Technical Sciences. Mr. Sallin received his Masters in Physical Engineering from EPFL in Lausanne, Switzerland. Mr. Sallin's extensive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7266305"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of our business and the nanomedicine field contributed to our board of directors' conclusion that he should serve as a director of our company.</w:t>
      </w:r>
    </w:p>
    <w:p>
      <w:pPr>
        <w:spacing w:after="0" w:line="198" w:lineRule="exact"/>
        <w:rPr>
          <w:sz w:val="20"/>
          <w:szCs w:val="20"/>
          <w:color w:val="auto"/>
        </w:rPr>
      </w:pPr>
    </w:p>
    <w:p>
      <w:pPr>
        <w:spacing w:after="0" w:line="281" w:lineRule="auto"/>
        <w:rPr>
          <w:sz w:val="20"/>
          <w:szCs w:val="20"/>
          <w:color w:val="auto"/>
        </w:rPr>
      </w:pPr>
      <w:r>
        <w:rPr>
          <w:rFonts w:ascii="Arial" w:cs="Arial" w:eastAsia="Arial" w:hAnsi="Arial"/>
          <w:sz w:val="14"/>
          <w:szCs w:val="14"/>
          <w:i w:val="1"/>
          <w:iCs w:val="1"/>
          <w:color w:val="auto"/>
        </w:rPr>
        <w:t xml:space="preserve">Leysan Shaydullina, M.D. </w:t>
      </w:r>
      <w:r>
        <w:rPr>
          <w:rFonts w:ascii="Arial" w:cs="Arial" w:eastAsia="Arial" w:hAnsi="Arial"/>
          <w:sz w:val="14"/>
          <w:szCs w:val="14"/>
          <w:color w:val="auto"/>
        </w:rPr>
        <w:t>has served as a member of our board of directors since April 2015. Since October 2014, Dr. Shaydullina has served as Managing Director of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RUSNANO LLC. From April 2009 to October 2014, she served as Investment Director of JSC RUSNANO Management Company and then of RUSNANO management company. She also served as an associate at JSC RUSNANO from 2008 to 2009. In 2008, Dr. Shaydullina served as a senior consultant with Regionatistica LLC, a Russian-based consulting company. From 2004 to 2008, she was head of the investment department and manager of innovative projects at Innovative Technopark IDEA, or Technopark, a Russian-based business incubator. Prior to Technopark, in 2004, Dr. Shaydullina served as a senior health insurance expert at ROSNO, now part of Allianz Insurance, a Russian insurance provider, and served as a surgeon for the Children's Republican Clinical Hospital of the Ministry of Health in Russia from 2001 to 2003. Dr. Shaydullina received her M.B.A. from the Academy of National Economy under the Government of the Russian Federation, and her M.D. from Kazan State Medical University in Kazan, Russia. Dr. Shaydullina's experience in business strategy, managing investments and the life sciences industry contributed to our board of directors' conclusion that she should serve as a director of our company. Dr. Shaydullina will resign from our board of directors contingent upon, and effective immediately prior to, the closing of this offering.</w:t>
      </w:r>
    </w:p>
    <w:p>
      <w:pPr>
        <w:spacing w:after="0" w:line="157"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i w:val="1"/>
          <w:iCs w:val="1"/>
          <w:color w:val="auto"/>
        </w:rPr>
        <w:t xml:space="preserve">George Siber, M.D. </w:t>
      </w:r>
      <w:r>
        <w:rPr>
          <w:rFonts w:ascii="Arial" w:cs="Arial" w:eastAsia="Arial" w:hAnsi="Arial"/>
          <w:sz w:val="14"/>
          <w:szCs w:val="14"/>
          <w:color w:val="auto"/>
        </w:rPr>
        <w:t>has served as a member of our board of directors since 2009. Since 2008, Dr. Siber has served as an Adjunct Professor at John Hopkins University in the School of</w:t>
      </w:r>
      <w:r>
        <w:rPr>
          <w:rFonts w:ascii="Arial" w:cs="Arial" w:eastAsia="Arial" w:hAnsi="Arial"/>
          <w:sz w:val="14"/>
          <w:szCs w:val="14"/>
          <w:i w:val="1"/>
          <w:iCs w:val="1"/>
          <w:color w:val="auto"/>
        </w:rPr>
        <w:t xml:space="preserve"> </w:t>
      </w:r>
      <w:r>
        <w:rPr>
          <w:rFonts w:ascii="Arial" w:cs="Arial" w:eastAsia="Arial" w:hAnsi="Arial"/>
          <w:sz w:val="14"/>
          <w:szCs w:val="14"/>
          <w:color w:val="auto"/>
        </w:rPr>
        <w:t>Public Health. From 1996 to 2006, Dr. Siber served in various capacities at Wyeth Lederle Vaccines and Wyeth Vaccines Research, including Executive Vice President and Chief Scientific Officer. While at Wyeth, Dr. Siber oversaw the development and approval of multiple widely-used childhood vaccines, including Prevnar, a pneumococcal vaccine which has achieved multibillion dollar revenues, Acel-Imune, an acellular pertussis vaccine, and Meningitec, a meningococcal meningitis vaccine. Prior to Wyeth, Dr. Siber was Director of the Massachusetts Public Health Biologic Laboratories and a Harvard Medical School Associate Professor of Medicine at Dana Farber Cancer Institute. During this time, Dr. Siber led the research and manufacturing of multiple vaccines and immune globulins including Respigam, a human immune globulin against respiratory syncytial virus. Dr. Siber has served as executive director and scientific advisory board chairman of Genocea Biosciences, Inc. since 2013, and served as executive chairman from 2007 to 2013. Dr. Siber received his B.Sc. from Bishop's University in Quebec, Canada, and received his M.D.C.M. from McGill University in Quebec, Canada. He completed his post-doctoral training in internal medicine at Rush-Presbyterian-St. Luke's Medical Center in Chicago and Beth Israel Deaconess Medical Center in Boston, and his post-doctoral training in infectious disease and vaccinology at Children's Hospital and Beth Israel, in affiliation with Harvard Medical School in Boston. We believe that Dr. Siber's experience in life sciences and vaccine industries and his experience overseeing the development of multiple vaccines qualified him to serve as a member of our board of directors. Dr. Siber resigned from our board of directors effective immediately prior to the effectiveness of the registration statement of which this prospectus forms a part.</w:t>
      </w:r>
    </w:p>
    <w:p>
      <w:pPr>
        <w:spacing w:after="0" w:line="15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i w:val="1"/>
          <w:iCs w:val="1"/>
          <w:color w:val="auto"/>
        </w:rPr>
        <w:t xml:space="preserve">Timothy A. Springer, Ph.D. </w:t>
      </w:r>
      <w:r>
        <w:rPr>
          <w:rFonts w:ascii="Arial" w:cs="Arial" w:eastAsia="Arial" w:hAnsi="Arial"/>
          <w:sz w:val="15"/>
          <w:szCs w:val="15"/>
          <w:color w:val="auto"/>
        </w:rPr>
        <w:t>will serve as a member of our board of directors contingent upon, and effective upon, the effectiveness of the registration statement of which this prospectus</w:t>
      </w:r>
      <w:r>
        <w:rPr>
          <w:rFonts w:ascii="Arial" w:cs="Arial" w:eastAsia="Arial" w:hAnsi="Arial"/>
          <w:sz w:val="15"/>
          <w:szCs w:val="15"/>
          <w:i w:val="1"/>
          <w:iCs w:val="1"/>
          <w:color w:val="auto"/>
        </w:rPr>
        <w:t xml:space="preserve"> </w:t>
      </w:r>
      <w:r>
        <w:rPr>
          <w:rFonts w:ascii="Arial" w:cs="Arial" w:eastAsia="Arial" w:hAnsi="Arial"/>
          <w:sz w:val="15"/>
          <w:szCs w:val="15"/>
          <w:color w:val="auto"/>
        </w:rPr>
        <w:t>forms a part. Dr. Springer has served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9" w:name="page180"/>
    <w:bookmarkEnd w:id="17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COMPOSITION AND ELECTION OF DIRECTORS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7" w:right="80"/>
        <w:spacing w:after="0" w:line="261" w:lineRule="auto"/>
        <w:rPr>
          <w:sz w:val="20"/>
          <w:szCs w:val="20"/>
          <w:color w:val="auto"/>
        </w:rPr>
      </w:pPr>
      <w:r>
        <w:rPr>
          <w:rFonts w:ascii="Arial" w:cs="Arial" w:eastAsia="Arial" w:hAnsi="Arial"/>
          <w:sz w:val="15"/>
          <w:szCs w:val="15"/>
          <w:color w:val="auto"/>
        </w:rPr>
        <w:t>Our board of directors currently consists of nine members. Drs. Langer and Siber resigned from our board of directors effective immediately prior to the effectiveness of the registration statement of which this prospectus forms a part. Dr. Shaydullina will resign from our board of directors contingent upon, and effective immediately prior to, the closing of this offering. In addition, Dr. Springer was elected to our board of directors effective upon the effectiveness of the registration statement of which this prospectus forms a part. Accordingly, upon the completion of this offering, our board of directors will consist of eight members. Our board of directors has determined that, of these eight directors, Carl Gordon, Peter Barton Hutt, Edwin Kania, Amir Nashat, Aymeric Sallin and Timothy Springer do not have a relationship that would interfere with the exercise of independent judgment in carrying out the responsibilities of a director and that each of these directors is "independent" as that term is defined under the rules of The NASDAQ Stock Market LLC, or NASDAQ. There are no family relationships among any of our directors or executive officers.</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Classified board of directors</w:t>
      </w:r>
    </w:p>
    <w:p>
      <w:pPr>
        <w:spacing w:after="0" w:line="195" w:lineRule="exact"/>
        <w:rPr>
          <w:sz w:val="20"/>
          <w:szCs w:val="20"/>
          <w:color w:val="auto"/>
        </w:rPr>
      </w:pPr>
    </w:p>
    <w:p>
      <w:pPr>
        <w:ind w:left="7" w:right="220"/>
        <w:spacing w:after="0" w:line="297" w:lineRule="auto"/>
        <w:rPr>
          <w:sz w:val="20"/>
          <w:szCs w:val="20"/>
          <w:color w:val="auto"/>
        </w:rPr>
      </w:pPr>
      <w:r>
        <w:rPr>
          <w:rFonts w:ascii="Arial" w:cs="Arial" w:eastAsia="Arial" w:hAnsi="Arial"/>
          <w:sz w:val="14"/>
          <w:szCs w:val="14"/>
          <w:color w:val="auto"/>
        </w:rPr>
        <w:t>In accordance with our restated certificate of incorporation that will go into effect upon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closing of this offering, our directors will be divided among the three classes as follows:</w:t>
      </w:r>
    </w:p>
    <w:p>
      <w:pPr>
        <w:spacing w:after="0" w:line="155" w:lineRule="exact"/>
        <w:rPr>
          <w:sz w:val="20"/>
          <w:szCs w:val="20"/>
          <w:color w:val="auto"/>
        </w:rPr>
      </w:pPr>
    </w:p>
    <w:p>
      <w:pPr>
        <w:ind w:left="467" w:hanging="467"/>
        <w:spacing w:after="0"/>
        <w:tabs>
          <w:tab w:leader="none" w:pos="46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Class I directors will be Carl Gordon, Edwin Kania and Timothy Springer, and their terms will expire at our first annual meeting of stockholders following this offering;</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Class II directors will be Omid Farokhzad, Amir Nashat and Aymeric Sallin, and their terms will expire at our second annual meeting of stockholders following this offering; and</w:t>
      </w:r>
    </w:p>
    <w:p>
      <w:pPr>
        <w:spacing w:after="0" w:line="232" w:lineRule="exact"/>
        <w:rPr>
          <w:rFonts w:ascii="Arial" w:cs="Arial" w:eastAsia="Arial" w:hAnsi="Arial"/>
          <w:sz w:val="13"/>
          <w:szCs w:val="13"/>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Class III directors will be Werner Cautreels and Peter Barton Hutt, and their terms will expire at the third annual meeting of stockholders following this offering.</w:t>
      </w:r>
    </w:p>
    <w:p>
      <w:pPr>
        <w:spacing w:after="0" w:line="198" w:lineRule="exact"/>
        <w:rPr>
          <w:sz w:val="20"/>
          <w:szCs w:val="20"/>
          <w:color w:val="auto"/>
        </w:rPr>
      </w:pPr>
    </w:p>
    <w:p>
      <w:pPr>
        <w:ind w:left="7" w:right="60"/>
        <w:spacing w:after="0" w:line="263"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Our board of directors is currently chaired by our President and Chief Executive Officer, Werner Cautreels. Our corporate governance guidelines provide that, if the chairman of the board is a member of management or does not otherwise qualify as independent, the independent directors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80" w:name="page181"/>
    <w:bookmarkEnd w:id="18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may or may not elect a lead director. Amir Nashat currently serves as our lead director. The lead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ROLE OF THE BOARD IN RISK OVERSIGHT</w:t>
      </w:r>
    </w:p>
    <w:p>
      <w:pPr>
        <w:spacing w:after="0" w:line="195" w:lineRule="exact"/>
        <w:rPr>
          <w:sz w:val="20"/>
          <w:szCs w:val="20"/>
          <w:color w:val="auto"/>
        </w:rPr>
      </w:pPr>
    </w:p>
    <w:p>
      <w:pPr>
        <w:ind w:left="7" w:right="20"/>
        <w:spacing w:after="0" w:line="260" w:lineRule="auto"/>
        <w:rPr>
          <w:sz w:val="20"/>
          <w:szCs w:val="20"/>
          <w:color w:val="auto"/>
        </w:rPr>
      </w:pPr>
      <w:r>
        <w:rPr>
          <w:rFonts w:ascii="Arial" w:cs="Arial" w:eastAsia="Arial" w:hAnsi="Arial"/>
          <w:sz w:val="15"/>
          <w:szCs w:val="15"/>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COMMITTEES</w:t>
      </w:r>
    </w:p>
    <w:p>
      <w:pPr>
        <w:spacing w:after="0" w:line="195"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 xml:space="preserve">Our board of directors has established three standing committees—audit, compensation and nominating and corporate governance—each of which operates under a charter that has been approved by our board of directors. Upon the closing of this offering, each committee's charter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The reference to our website address does not constitute incorporation by reference of the information contained at or available through our website, and you should not</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 it to be a part of this prospectus.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Audit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audit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appointing, approving the compensation of, and assessing the independence of our registered public accounting firm;</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overseeing the work of our registered public accounting firm, including through the receipt and consideration of reports from such firm;</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reviewing and discussing with management and the registered public accounting firm our annual and quarterly financial statements and related disclosures;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monitoring our internal control over financial reporting, disclosure controls and procedures and code of business conduct and ethics;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discussing our risk management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181" w:name="page182"/>
    <w:bookmarkEnd w:id="18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540" w:hanging="467"/>
        <w:spacing w:after="0" w:line="282" w:lineRule="auto"/>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establishing policies regarding hiring employees from the registered public accounting firm and procedures for the receipt and retention of accounting related complaints and concerns;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if any, registered public accounting firm and management;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Securities Exchange Commission, or SEC, rules.</w:t>
      </w:r>
    </w:p>
    <w:p>
      <w:pPr>
        <w:spacing w:after="0" w:line="198"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The members of our audit committee are Carl Gordon, Edwin Kania and Amir Nashat. Edwin Kania serves as chairperson of the committee. All members of our audit committee meet the requirements for financial literacy under the applicable rules and regulations of the SEC and The NASDAQ Global Market. Our board of directors has determined that Carl Gordon, Edwin Kania and Amir Nashat meet the independence requirements of Rule 10A-3 under the Exchange Act and the applicable listing standards of NASDAQ. Our board of directors has determined that Edwin Kania is an "audit committee financial expert" as defined by applicable SEC rules and has the requisite financial sophistication as defined under the applicable NASDAQ rules and regulations.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compensation committee's responsibilities include:</w:t>
      </w:r>
    </w:p>
    <w:p>
      <w:pPr>
        <w:spacing w:after="0" w:line="221" w:lineRule="exact"/>
        <w:rPr>
          <w:sz w:val="20"/>
          <w:szCs w:val="20"/>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annually reviewing and approving corporate goals and objectives relevant to CEO compensation;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determining our CEO's compensation;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reviewing and approving, or making recommendations to our board with respect to, the compensation of our other executive officers;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overseeing an evaluation of our senior executives;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reviewing and discussing annually with management our "Compensation Discussion and Analysis";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preparing the annual compensation committee report required by SEC rules.</w:t>
      </w:r>
    </w:p>
    <w:p>
      <w:pPr>
        <w:spacing w:after="0" w:line="198" w:lineRule="exact"/>
        <w:rPr>
          <w:sz w:val="20"/>
          <w:szCs w:val="20"/>
          <w:color w:val="auto"/>
        </w:rPr>
      </w:pPr>
    </w:p>
    <w:p>
      <w:pPr>
        <w:jc w:val="both"/>
        <w:ind w:left="7" w:right="120"/>
        <w:spacing w:after="0" w:line="270" w:lineRule="auto"/>
        <w:rPr>
          <w:sz w:val="20"/>
          <w:szCs w:val="20"/>
          <w:color w:val="auto"/>
        </w:rPr>
      </w:pPr>
      <w:r>
        <w:rPr>
          <w:rFonts w:ascii="Arial" w:cs="Arial" w:eastAsia="Arial" w:hAnsi="Arial"/>
          <w:sz w:val="15"/>
          <w:szCs w:val="15"/>
          <w:color w:val="auto"/>
        </w:rPr>
        <w:t>The members of our compensation committee are Peter Barton Hutt, Edwin Kania and Aymeric Sallin. Peter Barton Hutt serves as chairperson of the committee. Our board of directors has determined that each of Peter Barton Hutt, Edwin Kania and Aymeric Sallin is independent under the applicable NASDAQ rules and regulations, is a "non-employee director" as defined in Rule 16b-3 promulgated under the Exchange Act and is an "outside director" as that term is defined in Section 162(m) of the Code.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Nominating and corporate governance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identifying individuals qualified to become board members;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recommending to our board of directors the persons to be nominated for election as directors and to each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82" w:name="page183"/>
    <w:bookmarkEnd w:id="182"/>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management succession planning;</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developing and recommending to our board of directors corporate governance principles;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overseeing an annual evaluation of our board of directors.</w:t>
      </w:r>
    </w:p>
    <w:p>
      <w:pPr>
        <w:spacing w:after="0" w:line="198"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The members of our nominating and corporate governance committee are Omid Farokhzad, Amir Nashat and Timothy Springer. Amir Nashat serves as the chairperson of the committee. Our board of directors has determined that Amir Nashat and Timothy Springer are independent under the applicable NASDAQ rules and regulations. Under the applicable NASDAQ rules, we are permitted to phase-in our compliance with the independent nominating and corporate governance committee requirements of NASDAQ as follows: (1) one independent member at the time of listing, (2) a majority of independent members within 90 days of listing and (3) all independent members within one year of listing. Within one year of our listing on The NASDAQ Global Market, we expect that Dr. Farokhzad will have resigned from our nominating and corporate governance committee and that any new director added to the nominating and corporate governance committee will be independent under the applicable NASDAQ rules.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2015.</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Code of ethics and code of conduct</w:t>
      </w:r>
    </w:p>
    <w:p>
      <w:pPr>
        <w:spacing w:after="0" w:line="19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the closing of this offering, our code of business conduct and ethics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3" w:right="259" w:bottom="1440" w:gutter="0" w:footer="0" w:header="0"/>
        </w:sectPr>
      </w:pPr>
    </w:p>
    <w:bookmarkStart w:id="183" w:name="page184"/>
    <w:bookmarkEnd w:id="183"/>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Executive and director compensation</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This section discusses the material components of the executive compensation program offered to our named executive officers identified below. For 2015, our named executive officers were:</w:t>
      </w:r>
    </w:p>
    <w:p>
      <w:pPr>
        <w:spacing w:after="0" w:line="162" w:lineRule="exact"/>
        <w:rPr>
          <w:sz w:val="20"/>
          <w:szCs w:val="20"/>
          <w:color w:val="auto"/>
        </w:rPr>
      </w:pPr>
    </w:p>
    <w:p>
      <w:pPr>
        <w:ind w:left="467" w:hanging="467"/>
        <w:spacing w:after="0"/>
        <w:tabs>
          <w:tab w:leader="none" w:pos="46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Werner Cautreels, Ph.D., President and Chief Executive Officer;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Earl Sands, M.D., Chief Medical Officer;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Takashi Kishimoto, Ph.D., Chief Scientific Officer.</w:t>
      </w:r>
    </w:p>
    <w:p>
      <w:pPr>
        <w:spacing w:after="0" w:line="198" w:lineRule="exact"/>
        <w:rPr>
          <w:sz w:val="20"/>
          <w:szCs w:val="20"/>
          <w:color w:val="auto"/>
        </w:rPr>
      </w:pPr>
    </w:p>
    <w:p>
      <w:pPr>
        <w:ind w:left="7" w:right="360"/>
        <w:spacing w:after="0" w:line="282" w:lineRule="auto"/>
        <w:rPr>
          <w:sz w:val="20"/>
          <w:szCs w:val="20"/>
          <w:color w:val="auto"/>
        </w:rPr>
      </w:pPr>
      <w:r>
        <w:rPr>
          <w:rFonts w:ascii="Arial" w:cs="Arial" w:eastAsia="Arial" w:hAnsi="Arial"/>
          <w:sz w:val="15"/>
          <w:szCs w:val="15"/>
          <w:color w:val="auto"/>
        </w:rPr>
        <w:t>We are an "emerging growth company," within the meaning of the JOBS Act, and have elected to comply with the reduced compensation disclosure requirements available to emerging growth companies under the JOBS Act.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2015 SUMMARY COMPENSATION TABLE</w:t>
      </w:r>
    </w:p>
    <w:p>
      <w:pPr>
        <w:spacing w:after="0" w:line="19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1"/>
              <w:spacing w:after="0"/>
              <w:rPr>
                <w:sz w:val="20"/>
                <w:szCs w:val="20"/>
                <w:color w:val="auto"/>
              </w:rPr>
            </w:pPr>
            <w:r>
              <w:rPr>
                <w:rFonts w:ascii="Arial" w:cs="Arial" w:eastAsia="Arial" w:hAnsi="Arial"/>
                <w:sz w:val="12"/>
                <w:szCs w:val="12"/>
                <w:b w:val="1"/>
                <w:bCs w:val="1"/>
                <w:color w:val="auto"/>
              </w:rPr>
              <w:t>Non-equity</w:t>
            </w:r>
          </w:p>
        </w:tc>
        <w:tc>
          <w:tcPr>
            <w:tcW w:w="1060" w:type="dxa"/>
            <w:vAlign w:val="bottom"/>
          </w:tcPr>
          <w:p>
            <w:pPr>
              <w:jc w:val="center"/>
              <w:ind w:right="101"/>
              <w:spacing w:after="0"/>
              <w:rPr>
                <w:sz w:val="20"/>
                <w:szCs w:val="20"/>
                <w:color w:val="auto"/>
              </w:rPr>
            </w:pPr>
            <w:r>
              <w:rPr>
                <w:rFonts w:ascii="Arial" w:cs="Arial" w:eastAsia="Arial" w:hAnsi="Arial"/>
                <w:sz w:val="12"/>
                <w:szCs w:val="12"/>
                <w:b w:val="1"/>
                <w:bCs w:val="1"/>
                <w:color w:val="auto"/>
              </w:rPr>
              <w:t>All other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1"/>
              <w:spacing w:after="0"/>
              <w:rPr>
                <w:sz w:val="20"/>
                <w:szCs w:val="20"/>
                <w:color w:val="auto"/>
              </w:rPr>
            </w:pPr>
            <w:r>
              <w:rPr>
                <w:rFonts w:ascii="Arial" w:cs="Arial" w:eastAsia="Arial" w:hAnsi="Arial"/>
                <w:sz w:val="12"/>
                <w:szCs w:val="12"/>
                <w:b w:val="1"/>
                <w:bCs w:val="1"/>
                <w:color w:val="auto"/>
              </w:rPr>
              <w:t>incentive plan</w:t>
            </w:r>
          </w:p>
        </w:tc>
        <w:tc>
          <w:tcPr>
            <w:tcW w:w="1060" w:type="dxa"/>
            <w:vAlign w:val="bottom"/>
          </w:tcPr>
          <w:p>
            <w:pPr>
              <w:jc w:val="center"/>
              <w:ind w:right="101"/>
              <w:spacing w:after="0"/>
              <w:rPr>
                <w:sz w:val="20"/>
                <w:szCs w:val="20"/>
                <w:color w:val="auto"/>
              </w:rPr>
            </w:pPr>
            <w:r>
              <w:rPr>
                <w:rFonts w:ascii="Arial" w:cs="Arial" w:eastAsia="Arial" w:hAnsi="Arial"/>
                <w:sz w:val="12"/>
                <w:szCs w:val="12"/>
                <w:b w:val="1"/>
                <w:bCs w:val="1"/>
                <w:color w:val="auto"/>
              </w:rPr>
              <w:t>compensation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8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580" w:type="dxa"/>
            <w:vAlign w:val="bottom"/>
          </w:tcPr>
          <w:p>
            <w:pPr>
              <w:jc w:val="right"/>
              <w:ind w:right="81"/>
              <w:spacing w:after="0"/>
              <w:rPr>
                <w:sz w:val="20"/>
                <w:szCs w:val="20"/>
                <w:color w:val="auto"/>
              </w:rPr>
            </w:pPr>
            <w:r>
              <w:rPr>
                <w:rFonts w:ascii="Arial" w:cs="Arial" w:eastAsia="Arial" w:hAnsi="Arial"/>
                <w:sz w:val="12"/>
                <w:szCs w:val="12"/>
                <w:b w:val="1"/>
                <w:bCs w:val="1"/>
                <w:color w:val="auto"/>
              </w:rPr>
              <w:t>Year</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Salary ($)</w:t>
            </w:r>
          </w:p>
        </w:tc>
        <w:tc>
          <w:tcPr>
            <w:tcW w:w="1300" w:type="dxa"/>
            <w:vAlign w:val="bottom"/>
          </w:tcPr>
          <w:p>
            <w:pPr>
              <w:jc w:val="right"/>
              <w:ind w:right="41"/>
              <w:spacing w:after="0"/>
              <w:rPr>
                <w:sz w:val="20"/>
                <w:szCs w:val="20"/>
                <w:color w:val="auto"/>
              </w:rPr>
            </w:pPr>
            <w:r>
              <w:rPr>
                <w:rFonts w:ascii="Arial" w:cs="Arial" w:eastAsia="Arial" w:hAnsi="Arial"/>
                <w:sz w:val="12"/>
                <w:szCs w:val="12"/>
                <w:b w:val="1"/>
                <w:bCs w:val="1"/>
                <w:color w:val="auto"/>
              </w:rPr>
              <w:t>Option awards ($)(1)</w:t>
            </w:r>
          </w:p>
        </w:tc>
        <w:tc>
          <w:tcPr>
            <w:tcW w:w="1440" w:type="dxa"/>
            <w:vAlign w:val="bottom"/>
          </w:tcPr>
          <w:p>
            <w:pPr>
              <w:jc w:val="center"/>
              <w:ind w:right="61"/>
              <w:spacing w:after="0"/>
              <w:rPr>
                <w:sz w:val="20"/>
                <w:szCs w:val="20"/>
                <w:color w:val="auto"/>
              </w:rPr>
            </w:pPr>
            <w:r>
              <w:rPr>
                <w:rFonts w:ascii="Arial" w:cs="Arial" w:eastAsia="Arial" w:hAnsi="Arial"/>
                <w:sz w:val="12"/>
                <w:szCs w:val="12"/>
                <w:b w:val="1"/>
                <w:bCs w:val="1"/>
                <w:color w:val="auto"/>
              </w:rPr>
              <w:t>compensation ($)(2)</w:t>
            </w:r>
          </w:p>
        </w:tc>
        <w:tc>
          <w:tcPr>
            <w:tcW w:w="1060" w:type="dxa"/>
            <w:vAlign w:val="bottom"/>
          </w:tcPr>
          <w:p>
            <w:pPr>
              <w:jc w:val="center"/>
              <w:ind w:right="141"/>
              <w:spacing w:after="0"/>
              <w:rPr>
                <w:sz w:val="20"/>
                <w:szCs w:val="20"/>
                <w:color w:val="auto"/>
              </w:rPr>
            </w:pPr>
            <w:r>
              <w:rPr>
                <w:rFonts w:ascii="Arial" w:cs="Arial" w:eastAsia="Arial" w:hAnsi="Arial"/>
                <w:sz w:val="12"/>
                <w:szCs w:val="12"/>
                <w:b w:val="1"/>
                <w:bCs w:val="1"/>
                <w:color w:val="auto"/>
              </w:rPr>
              <w:t>($)(3)</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r>
      <w:tr>
        <w:trPr>
          <w:trHeight w:val="119"/>
        </w:trPr>
        <w:tc>
          <w:tcPr>
            <w:tcW w:w="20" w:type="dxa"/>
            <w:vAlign w:val="bottom"/>
          </w:tcPr>
          <w:p>
            <w:pPr>
              <w:spacing w:after="0"/>
              <w:rPr>
                <w:sz w:val="10"/>
                <w:szCs w:val="10"/>
                <w:color w:val="auto"/>
              </w:rPr>
            </w:pPr>
          </w:p>
        </w:tc>
        <w:tc>
          <w:tcPr>
            <w:tcW w:w="3260" w:type="dxa"/>
            <w:vAlign w:val="bottom"/>
            <w:tcBorders>
              <w:top w:val="single" w:sz="8" w:color="auto"/>
            </w:tcBorders>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58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2015</w:t>
            </w:r>
          </w:p>
        </w:tc>
        <w:tc>
          <w:tcPr>
            <w:tcW w:w="84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400,000</w:t>
            </w:r>
          </w:p>
        </w:tc>
        <w:tc>
          <w:tcPr>
            <w:tcW w:w="130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568,798</w:t>
            </w:r>
          </w:p>
        </w:tc>
        <w:tc>
          <w:tcPr>
            <w:tcW w:w="1440" w:type="dxa"/>
            <w:vAlign w:val="bottom"/>
            <w:tcBorders>
              <w:top w:val="single" w:sz="8" w:color="auto"/>
            </w:tcBorders>
            <w:shd w:val="clear" w:color="auto" w:fill="CCEEFF"/>
          </w:tcPr>
          <w:p>
            <w:pPr>
              <w:jc w:val="right"/>
              <w:ind w:right="81"/>
              <w:spacing w:after="0" w:line="119" w:lineRule="exact"/>
              <w:rPr>
                <w:sz w:val="20"/>
                <w:szCs w:val="20"/>
                <w:color w:val="auto"/>
              </w:rPr>
            </w:pPr>
            <w:r>
              <w:rPr>
                <w:rFonts w:ascii="Arial" w:cs="Arial" w:eastAsia="Arial" w:hAnsi="Arial"/>
                <w:sz w:val="12"/>
                <w:szCs w:val="12"/>
                <w:color w:val="auto"/>
              </w:rPr>
              <w:t>130,000</w:t>
            </w:r>
          </w:p>
        </w:tc>
        <w:tc>
          <w:tcPr>
            <w:tcW w:w="1060" w:type="dxa"/>
            <w:vAlign w:val="bottom"/>
            <w:tcBorders>
              <w:top w:val="single" w:sz="8" w:color="auto"/>
            </w:tcBorders>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1,098,798</w:t>
            </w:r>
          </w:p>
        </w:tc>
        <w:tc>
          <w:tcPr>
            <w:tcW w:w="140" w:type="dxa"/>
            <w:vAlign w:val="bottom"/>
            <w:shd w:val="clear" w:color="auto" w:fill="CCEEFF"/>
          </w:tcPr>
          <w:p>
            <w:pPr>
              <w:spacing w:after="0"/>
              <w:rPr>
                <w:sz w:val="10"/>
                <w:szCs w:val="10"/>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President and Chief Executive</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447,545</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374,504</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140,000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38,130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1,000,179</w:t>
            </w:r>
          </w:p>
        </w:tc>
        <w:tc>
          <w:tcPr>
            <w:tcW w:w="140" w:type="dxa"/>
            <w:vAlign w:val="bottom"/>
            <w:shd w:val="clear" w:color="auto" w:fill="CCEEFF"/>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220"/>
              <w:spacing w:after="0" w:line="128" w:lineRule="exact"/>
              <w:rPr>
                <w:sz w:val="20"/>
                <w:szCs w:val="20"/>
                <w:color w:val="auto"/>
              </w:rPr>
            </w:pPr>
            <w:r>
              <w:rPr>
                <w:rFonts w:ascii="Arial" w:cs="Arial" w:eastAsia="Arial" w:hAnsi="Arial"/>
                <w:sz w:val="12"/>
                <w:szCs w:val="12"/>
                <w:color w:val="auto"/>
              </w:rPr>
              <w:t>Officer</w:t>
            </w: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69"/>
        </w:trPr>
        <w:tc>
          <w:tcPr>
            <w:tcW w:w="328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tcPr>
          <w:p>
            <w:pPr>
              <w:ind w:left="320"/>
              <w:spacing w:after="0"/>
              <w:rPr>
                <w:sz w:val="20"/>
                <w:szCs w:val="20"/>
                <w:color w:val="auto"/>
              </w:rPr>
            </w:pPr>
            <w:r>
              <w:rPr>
                <w:rFonts w:ascii="Arial" w:cs="Arial" w:eastAsia="Arial" w:hAnsi="Arial"/>
                <w:sz w:val="12"/>
                <w:szCs w:val="12"/>
                <w:color w:val="auto"/>
                <w:w w:val="86"/>
              </w:rPr>
              <w:t>143,231(4)</w:t>
            </w:r>
          </w:p>
        </w:tc>
        <w:tc>
          <w:tcPr>
            <w:tcW w:w="1300" w:type="dxa"/>
            <w:vAlign w:val="bottom"/>
          </w:tcPr>
          <w:p>
            <w:pPr>
              <w:jc w:val="right"/>
              <w:ind w:right="21"/>
              <w:spacing w:after="0"/>
              <w:rPr>
                <w:sz w:val="20"/>
                <w:szCs w:val="20"/>
                <w:color w:val="auto"/>
              </w:rPr>
            </w:pPr>
            <w:r>
              <w:rPr>
                <w:rFonts w:ascii="Arial" w:cs="Arial" w:eastAsia="Arial" w:hAnsi="Arial"/>
                <w:sz w:val="12"/>
                <w:szCs w:val="12"/>
                <w:color w:val="auto"/>
              </w:rPr>
              <w:t>388,147</w:t>
            </w:r>
          </w:p>
        </w:tc>
        <w:tc>
          <w:tcPr>
            <w:tcW w:w="1440" w:type="dxa"/>
            <w:vAlign w:val="bottom"/>
          </w:tcPr>
          <w:p>
            <w:pPr>
              <w:jc w:val="right"/>
              <w:spacing w:after="0"/>
              <w:rPr>
                <w:sz w:val="20"/>
                <w:szCs w:val="20"/>
                <w:color w:val="auto"/>
              </w:rPr>
            </w:pPr>
            <w:r>
              <w:rPr>
                <w:rFonts w:ascii="Arial" w:cs="Arial" w:eastAsia="Arial" w:hAnsi="Arial"/>
                <w:sz w:val="12"/>
                <w:szCs w:val="12"/>
                <w:color w:val="auto"/>
              </w:rPr>
              <w:t>40,000(4)</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22,847</w:t>
            </w:r>
          </w:p>
        </w:tc>
        <w:tc>
          <w:tcPr>
            <w:tcW w:w="620" w:type="dxa"/>
            <w:vAlign w:val="bottom"/>
          </w:tcPr>
          <w:p>
            <w:pPr>
              <w:jc w:val="right"/>
              <w:spacing w:after="0"/>
              <w:rPr>
                <w:sz w:val="20"/>
                <w:szCs w:val="20"/>
                <w:color w:val="auto"/>
              </w:rPr>
            </w:pPr>
            <w:r>
              <w:rPr>
                <w:rFonts w:ascii="Arial" w:cs="Arial" w:eastAsia="Arial" w:hAnsi="Arial"/>
                <w:sz w:val="12"/>
                <w:szCs w:val="12"/>
                <w:color w:val="auto"/>
              </w:rPr>
              <w:t>594,225</w:t>
            </w:r>
          </w:p>
        </w:tc>
        <w:tc>
          <w:tcPr>
            <w:tcW w:w="140" w:type="dxa"/>
            <w:vAlign w:val="bottom"/>
          </w:tcPr>
          <w:p>
            <w:pPr>
              <w:spacing w:after="0"/>
              <w:rPr>
                <w:sz w:val="23"/>
                <w:szCs w:val="23"/>
                <w:color w:val="auto"/>
              </w:rPr>
            </w:pPr>
          </w:p>
        </w:tc>
      </w:tr>
      <w:tr>
        <w:trPr>
          <w:trHeight w:val="136"/>
        </w:trPr>
        <w:tc>
          <w:tcPr>
            <w:tcW w:w="20" w:type="dxa"/>
            <w:vAlign w:val="bottom"/>
          </w:tcPr>
          <w:p>
            <w:pPr>
              <w:spacing w:after="0"/>
              <w:rPr>
                <w:sz w:val="11"/>
                <w:szCs w:val="11"/>
                <w:color w:val="auto"/>
              </w:rPr>
            </w:pPr>
          </w:p>
        </w:tc>
        <w:tc>
          <w:tcPr>
            <w:tcW w:w="326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Chief Medical Officer</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8"/>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290,000</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92,266</w:t>
            </w: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85,000</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470,666</w:t>
            </w:r>
          </w:p>
        </w:tc>
        <w:tc>
          <w:tcPr>
            <w:tcW w:w="140" w:type="dxa"/>
            <w:vAlign w:val="bottom"/>
            <w:shd w:val="clear" w:color="auto" w:fill="CCEEFF"/>
          </w:tcPr>
          <w:p>
            <w:pPr>
              <w:spacing w:after="0"/>
              <w:rPr>
                <w:sz w:val="24"/>
                <w:szCs w:val="24"/>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Chief Scientific Officer</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275,000</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90,101</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80,000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448,501</w:t>
            </w:r>
          </w:p>
        </w:tc>
        <w:tc>
          <w:tcPr>
            <w:tcW w:w="140" w:type="dxa"/>
            <w:vAlign w:val="bottom"/>
            <w:shd w:val="clear" w:color="auto" w:fill="CCEEFF"/>
          </w:tcPr>
          <w:p>
            <w:pPr>
              <w:spacing w:after="0"/>
              <w:rPr>
                <w:sz w:val="11"/>
                <w:szCs w:val="1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7" w:right="260" w:hanging="463"/>
        <w:spacing w:after="0" w:line="238" w:lineRule="auto"/>
        <w:tabs>
          <w:tab w:leader="none" w:pos="1607"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stock options computed in accordance with ASC Topic 718, excluding the effect of estimated forfeitures. For a description of the assumptions used in valuing these awards, see Note 11 to our audited financial statements included elsewhere in this prospectus.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Represents amounts earned under our annual performance based bonus program. For additional information, see "Performance Bonuses" below.</w:t>
      </w:r>
    </w:p>
    <w:p>
      <w:pPr>
        <w:spacing w:after="0" w:line="105" w:lineRule="exact"/>
        <w:rPr>
          <w:rFonts w:ascii="Arial" w:cs="Arial" w:eastAsia="Arial" w:hAnsi="Arial"/>
          <w:sz w:val="12"/>
          <w:szCs w:val="12"/>
          <w:color w:val="auto"/>
        </w:rPr>
      </w:pPr>
    </w:p>
    <w:p>
      <w:pPr>
        <w:ind w:left="1607" w:right="60" w:hanging="463"/>
        <w:spacing w:after="0" w:line="238" w:lineRule="auto"/>
        <w:tabs>
          <w:tab w:leader="none" w:pos="1607" w:val="left"/>
        </w:tabs>
        <w:numPr>
          <w:ilvl w:val="0"/>
          <w:numId w:val="108"/>
        </w:numPr>
        <w:rPr>
          <w:rFonts w:ascii="Arial" w:cs="Arial" w:eastAsia="Arial" w:hAnsi="Arial"/>
          <w:sz w:val="12"/>
          <w:szCs w:val="12"/>
          <w:color w:val="auto"/>
        </w:rPr>
      </w:pPr>
      <w:r>
        <w:rPr>
          <w:rFonts w:ascii="Arial" w:cs="Arial" w:eastAsia="Arial" w:hAnsi="Arial"/>
          <w:sz w:val="12"/>
          <w:szCs w:val="12"/>
          <w:color w:val="auto"/>
        </w:rPr>
        <w:t>For Dr. Kishimoto, the 2015 amount represents our company's matching contributions to 401(k) plan accounts. For Dr. Sands, the amount represents $3,400 in our company's matching contributions to his 401(k) plan account and $19,447 in reimbursements for expenses incurred in 2015 for travel between his home in Georgia and our offices in Massachusetts.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108"/>
        </w:numPr>
        <w:rPr>
          <w:rFonts w:ascii="Arial" w:cs="Arial" w:eastAsia="Arial" w:hAnsi="Arial"/>
          <w:sz w:val="12"/>
          <w:szCs w:val="12"/>
          <w:color w:val="auto"/>
        </w:rPr>
      </w:pPr>
      <w:r>
        <w:rPr>
          <w:rFonts w:ascii="Arial" w:cs="Arial" w:eastAsia="Arial" w:hAnsi="Arial"/>
          <w:sz w:val="12"/>
          <w:szCs w:val="12"/>
          <w:color w:val="auto"/>
        </w:rPr>
        <w:t>Dr. Sands commenced employment with us in July 2015 and amounts shown reflect his partial year of employment with our company.</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NARRATIVE DISCLOSURE TO SUMMARY COMPENSATION TABLE</w:t>
      </w:r>
    </w:p>
    <w:p>
      <w:pPr>
        <w:spacing w:after="0" w:line="195"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Base salaries</w:t>
      </w:r>
    </w:p>
    <w:p>
      <w:pPr>
        <w:spacing w:after="0" w:line="195" w:lineRule="exact"/>
        <w:rPr>
          <w:sz w:val="20"/>
          <w:szCs w:val="20"/>
          <w:color w:val="auto"/>
        </w:rPr>
      </w:pPr>
    </w:p>
    <w:p>
      <w:pPr>
        <w:ind w:left="7" w:right="260"/>
        <w:spacing w:after="0" w:line="270" w:lineRule="auto"/>
        <w:rPr>
          <w:sz w:val="20"/>
          <w:szCs w:val="20"/>
          <w:color w:val="auto"/>
        </w:rPr>
      </w:pPr>
      <w:r>
        <w:rPr>
          <w:rFonts w:ascii="Arial" w:cs="Arial" w:eastAsia="Arial" w:hAnsi="Arial"/>
          <w:sz w:val="15"/>
          <w:szCs w:val="15"/>
          <w:color w:val="auto"/>
        </w:rPr>
        <w:t>We pay our named executive officers a base salary to compensate them for the satisfactory performance of services rendered to our company. The base salary payable to each named executive officer is intended to provide a fixed component of compensation reflecting the executive's skill set, experience, role and responsibilities. Base salaries for our named executive officers have generally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set at levels deemed necessary to attract and retain individuals with superior talent and were originally established in each named executive officer's employment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In early 2015, the compensation committee of our board of directors, or the Compensation Committee, approved an increase in Dr. Kishimoto's annual base salary from $275,000 to</w:t>
      </w:r>
    </w:p>
    <w:p>
      <w:pPr>
        <w:spacing w:after="0" w:line="29"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$290,000, effective January 1, 2015. Dr. Sands commenced employment with us in July 2015 and, pursuant to the terms of his employment agreement, was entitled to an initial annual base salary of $280,000. Dr. Cautreels did not receive a base salary increase in 2015.</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base salaries for 2015 were $400,000 for Dr. Cautreels, $280,000 for Dr. Sands and $290,000 for Dr. Kishimoto.</w:t>
      </w:r>
    </w:p>
    <w:p>
      <w:pPr>
        <w:spacing w:after="0" w:line="198"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In early 2016, our board of directors approved increases in the annual base salaries of our named executive officers. Following this increase, Dr. Cautreel's annual base salary is $425,000, Dr. Sands' annual base salary is $300,000 and Dr. Kishimoto's annual base salary is $315,000.</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bonuses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We offer our named executive officers the opportunity to earn annual cash bonuses to compensate them for attaining short-term company and individual performance goals. Each named executive officer has an annual target bonus that that is expressed as a percentage of his annual base salary. The 2015 target bonus percentage for our named executive officers was 25% of their respective base salaries. Dr. Sands' 2015 cash bonus was pro-rated for his partial year of employment with our company.</w:t>
      </w:r>
    </w:p>
    <w:p>
      <w:pPr>
        <w:spacing w:after="0" w:line="159" w:lineRule="exact"/>
        <w:rPr>
          <w:sz w:val="20"/>
          <w:szCs w:val="20"/>
          <w:color w:val="auto"/>
        </w:rPr>
      </w:pPr>
    </w:p>
    <w:p>
      <w:pPr>
        <w:ind w:right="260"/>
        <w:spacing w:after="0" w:line="330" w:lineRule="auto"/>
        <w:rPr>
          <w:sz w:val="20"/>
          <w:szCs w:val="20"/>
          <w:color w:val="auto"/>
        </w:rPr>
      </w:pPr>
      <w:r>
        <w:rPr>
          <w:rFonts w:ascii="Arial" w:cs="Arial" w:eastAsia="Arial" w:hAnsi="Arial"/>
          <w:sz w:val="13"/>
          <w:szCs w:val="13"/>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2015 company performance goals were based on attaining financing and business development milestones and the expansion of our business portfolio.</w:t>
      </w:r>
    </w:p>
    <w:p>
      <w:pPr>
        <w:spacing w:after="0" w:line="125"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actual cash bonuses earned by our named executive officers for 2015 are reported under the "Non-equity incentive award" column of the 2015 and 2014 Summary Compensation Table above.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We grant stock options to our named executive officers as the long-term incentive component of their compensation. We have historically granted stock options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Our stock options have an exercise price at least equal to the fair market value of our common stock on the date of grant, as determined by our board of directors, and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options may be intended to qualify as incentive stock options under the Code and generally permit "early exercise" of any unvested portion in exchange for shares of restricted stock subject to the same vesting schedule as the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185" w:name="page186"/>
    <w:bookmarkEnd w:id="18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We granted stock options in the following amounts to our named executive officers during 2015:</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60" w:type="dxa"/>
            <w:vAlign w:val="bottom"/>
            <w:gridSpan w:val="2"/>
          </w:tcPr>
          <w:p>
            <w:pPr>
              <w:jc w:val="center"/>
              <w:ind w:left="3070"/>
              <w:spacing w:after="0"/>
              <w:rPr>
                <w:sz w:val="20"/>
                <w:szCs w:val="20"/>
                <w:color w:val="auto"/>
              </w:rPr>
            </w:pPr>
            <w:r>
              <w:rPr>
                <w:rFonts w:ascii="Arial" w:cs="Arial" w:eastAsia="Arial" w:hAnsi="Arial"/>
                <w:sz w:val="12"/>
                <w:szCs w:val="12"/>
                <w:b w:val="1"/>
                <w:bCs w:val="1"/>
                <w:color w:val="auto"/>
              </w:rPr>
              <w:t>2015 options</w:t>
            </w:r>
          </w:p>
        </w:tc>
      </w:tr>
      <w:tr>
        <w:trPr>
          <w:trHeight w:val="149"/>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Named executive officer</w:t>
            </w:r>
          </w:p>
        </w:tc>
        <w:tc>
          <w:tcPr>
            <w:tcW w:w="4260" w:type="dxa"/>
            <w:vAlign w:val="bottom"/>
            <w:gridSpan w:val="2"/>
          </w:tcPr>
          <w:p>
            <w:pPr>
              <w:jc w:val="center"/>
              <w:ind w:left="3030"/>
              <w:spacing w:after="0"/>
              <w:rPr>
                <w:sz w:val="20"/>
                <w:szCs w:val="20"/>
                <w:color w:val="auto"/>
              </w:rPr>
            </w:pPr>
            <w:r>
              <w:rPr>
                <w:rFonts w:ascii="Arial" w:cs="Arial" w:eastAsia="Arial" w:hAnsi="Arial"/>
                <w:sz w:val="12"/>
                <w:szCs w:val="12"/>
                <w:b w:val="1"/>
                <w:bCs w:val="1"/>
                <w:color w:val="auto"/>
              </w:rPr>
              <w:t>granted (#)</w:t>
            </w:r>
          </w:p>
        </w:tc>
      </w:tr>
      <w:tr>
        <w:trPr>
          <w:trHeight w:val="177"/>
        </w:trPr>
        <w:tc>
          <w:tcPr>
            <w:tcW w:w="20" w:type="dxa"/>
            <w:vAlign w:val="bottom"/>
          </w:tcPr>
          <w:p>
            <w:pPr>
              <w:spacing w:after="0"/>
              <w:rPr>
                <w:sz w:val="15"/>
                <w:szCs w:val="15"/>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Werner Cautreels, Ph.D.</w:t>
            </w:r>
          </w:p>
        </w:tc>
        <w:tc>
          <w:tcPr>
            <w:tcW w:w="4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123,076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Earl Sands, M.D.</w:t>
            </w:r>
          </w:p>
        </w:tc>
        <w:tc>
          <w:tcPr>
            <w:tcW w:w="4120" w:type="dxa"/>
            <w:vAlign w:val="bottom"/>
          </w:tcPr>
          <w:p>
            <w:pPr>
              <w:jc w:val="right"/>
              <w:spacing w:after="0"/>
              <w:rPr>
                <w:sz w:val="20"/>
                <w:szCs w:val="20"/>
                <w:color w:val="auto"/>
              </w:rPr>
            </w:pPr>
            <w:r>
              <w:rPr>
                <w:rFonts w:ascii="Arial" w:cs="Arial" w:eastAsia="Arial" w:hAnsi="Arial"/>
                <w:sz w:val="15"/>
                <w:szCs w:val="15"/>
                <w:color w:val="auto"/>
              </w:rPr>
              <w:t>102,564</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Takashi Kishimoto, Ph.D.</w:t>
            </w:r>
          </w:p>
        </w:tc>
        <w:tc>
          <w:tcPr>
            <w:tcW w:w="4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240"/>
        <w:spacing w:after="0" w:line="319" w:lineRule="auto"/>
        <w:rPr>
          <w:sz w:val="20"/>
          <w:szCs w:val="20"/>
          <w:color w:val="auto"/>
        </w:rPr>
      </w:pPr>
      <w:r>
        <w:rPr>
          <w:rFonts w:ascii="Arial" w:cs="Arial" w:eastAsia="Arial" w:hAnsi="Arial"/>
          <w:sz w:val="14"/>
          <w:szCs w:val="14"/>
          <w:color w:val="auto"/>
        </w:rPr>
        <w:t>These options were granted under our 2008 Equity Incentive Plan, or the 2008 Plan, with exercise prices equal to the fair market value on the date of grant, as determined by our board of directors, and are subject to our standard vesting schedule described above, except in the case of Dr. Cautreels' option, which vests in 48 equal monthly installments.</w:t>
      </w:r>
    </w:p>
    <w:p>
      <w:pPr>
        <w:spacing w:after="0" w:line="128" w:lineRule="exact"/>
        <w:rPr>
          <w:sz w:val="20"/>
          <w:szCs w:val="20"/>
          <w:color w:val="auto"/>
        </w:rPr>
      </w:pPr>
    </w:p>
    <w:p>
      <w:pPr>
        <w:ind w:right="200"/>
        <w:spacing w:after="0" w:line="266" w:lineRule="auto"/>
        <w:rPr>
          <w:sz w:val="20"/>
          <w:szCs w:val="20"/>
          <w:color w:val="auto"/>
        </w:rPr>
      </w:pPr>
      <w:r>
        <w:rPr>
          <w:rFonts w:ascii="Arial" w:cs="Arial" w:eastAsia="Arial" w:hAnsi="Arial"/>
          <w:sz w:val="15"/>
          <w:szCs w:val="15"/>
          <w:color w:val="auto"/>
        </w:rPr>
        <w:t>In connection with this offering, we adopted a 2016 Incentive Award Plan, or the 2016 Plan, to facilitate the grant of cash and equity incentives to our directors, employees (including our named executive officers) and consultants and to enable our company to obtain and retain the services of these individuals, which we believe is essential to our long-term success. We will not make any further grants under our 2008 Plan. However, the 2008 Plan will continue to govern the terms and conditions of the outstanding awards granted under it. For additional information about the 2016 Plan, please see the section titled "2016 Incentive Award Plan" below.</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health, welfare and additional benefits</w:t>
      </w:r>
    </w:p>
    <w:p>
      <w:pPr>
        <w:spacing w:after="0" w:line="195"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 Dr. Sands is entitled to be reimbursed up to $6,100 per month for expenses incurred for lodging and travel between his home in Georgia and our offices in Massachusetts while performing duties for us.</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6" w:name="page187"/>
    <w:bookmarkEnd w:id="18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2015 FISCAL YEAR-END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00" w:type="dxa"/>
            <w:vAlign w:val="bottom"/>
            <w:gridSpan w:val="2"/>
          </w:tcPr>
          <w:p>
            <w:pPr>
              <w:ind w:left="840"/>
              <w:spacing w:after="0"/>
              <w:rPr>
                <w:sz w:val="20"/>
                <w:szCs w:val="20"/>
                <w:color w:val="auto"/>
              </w:rPr>
            </w:pPr>
            <w:r>
              <w:rPr>
                <w:rFonts w:ascii="Arial" w:cs="Arial" w:eastAsia="Arial" w:hAnsi="Arial"/>
                <w:sz w:val="12"/>
                <w:szCs w:val="12"/>
                <w:b w:val="1"/>
                <w:bCs w:val="1"/>
                <w:color w:val="auto"/>
              </w:rPr>
              <w:t>Option awards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Number of</w:t>
            </w:r>
          </w:p>
        </w:tc>
        <w:tc>
          <w:tcPr>
            <w:tcW w:w="960" w:type="dxa"/>
            <w:vAlign w:val="bottom"/>
            <w:tcBorders>
              <w:top w:val="single" w:sz="8" w:color="auto"/>
            </w:tcBorders>
          </w:tcPr>
          <w:p>
            <w:pPr>
              <w:jc w:val="center"/>
              <w:ind w:right="1"/>
              <w:spacing w:after="0" w:line="121"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8"/>
              </w:rPr>
              <w:t>Market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w w:val="99"/>
              </w:rPr>
              <w:t>securities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Vesting</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unexercised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740" w:type="dxa"/>
            <w:vAlign w:val="bottom"/>
          </w:tcPr>
          <w:p>
            <w:pPr>
              <w:jc w:val="center"/>
              <w:ind w:left="1"/>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that have</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that have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commencement</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options (#)</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options (#)</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9"/>
              </w:rPr>
              <w:t>exercise</w:t>
            </w:r>
          </w:p>
        </w:tc>
        <w:tc>
          <w:tcPr>
            <w:tcW w:w="740" w:type="dxa"/>
            <w:vAlign w:val="bottom"/>
          </w:tcPr>
          <w:p>
            <w:pPr>
              <w:jc w:val="center"/>
              <w:ind w:left="1"/>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not vested</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49"/>
        </w:trPr>
        <w:tc>
          <w:tcPr>
            <w:tcW w:w="28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exercisable(1)</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unexercisable</w:t>
            </w:r>
          </w:p>
        </w:tc>
        <w:tc>
          <w:tcPr>
            <w:tcW w:w="700" w:type="dxa"/>
            <w:vAlign w:val="bottom"/>
          </w:tcPr>
          <w:p>
            <w:pPr>
              <w:jc w:val="center"/>
              <w:ind w:right="1"/>
              <w:spacing w:after="0"/>
              <w:rPr>
                <w:sz w:val="20"/>
                <w:szCs w:val="20"/>
                <w:color w:val="auto"/>
              </w:rPr>
            </w:pPr>
            <w:r>
              <w:rPr>
                <w:rFonts w:ascii="Arial" w:cs="Arial" w:eastAsia="Arial" w:hAnsi="Arial"/>
                <w:sz w:val="12"/>
                <w:szCs w:val="12"/>
                <w:b w:val="1"/>
                <w:bCs w:val="1"/>
                <w:color w:val="auto"/>
              </w:rPr>
              <w:t>price ($)</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7"/>
              </w:rPr>
              <w:t>date</w:t>
            </w:r>
          </w:p>
        </w:tc>
        <w:tc>
          <w:tcPr>
            <w:tcW w:w="960" w:type="dxa"/>
            <w:vAlign w:val="bottom"/>
            <w:gridSpan w:val="2"/>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680" w:type="dxa"/>
            <w:vAlign w:val="bottom"/>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780" w:type="dxa"/>
            <w:vAlign w:val="bottom"/>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114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12/4/2015</w:t>
            </w:r>
          </w:p>
        </w:tc>
        <w:tc>
          <w:tcPr>
            <w:tcW w:w="11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123,076(2)</w:t>
            </w:r>
          </w:p>
        </w:tc>
        <w:tc>
          <w:tcPr>
            <w:tcW w:w="960" w:type="dxa"/>
            <w:vAlign w:val="bottom"/>
            <w:shd w:val="clear" w:color="auto" w:fill="CCEEFF"/>
          </w:tcPr>
          <w:p>
            <w:pPr>
              <w:ind w:left="760"/>
              <w:spacing w:after="0" w:line="119"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6.40</w:t>
            </w: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12/4/2025</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57,692(3)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8.97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16,613(3)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5,895(5)</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40,010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41,025(4)</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3.44</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3/29/2022</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6"/>
        </w:trPr>
        <w:tc>
          <w:tcPr>
            <w:tcW w:w="280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9/8/2015</w:t>
            </w:r>
          </w:p>
        </w:tc>
        <w:tc>
          <w:tcPr>
            <w:tcW w:w="1140" w:type="dxa"/>
            <w:vAlign w:val="bottom"/>
          </w:tcPr>
          <w:p>
            <w:pPr>
              <w:jc w:val="right"/>
              <w:spacing w:after="0"/>
              <w:rPr>
                <w:sz w:val="20"/>
                <w:szCs w:val="20"/>
                <w:color w:val="auto"/>
              </w:rPr>
            </w:pPr>
            <w:r>
              <w:rPr>
                <w:rFonts w:ascii="Arial" w:cs="Arial" w:eastAsia="Arial" w:hAnsi="Arial"/>
                <w:sz w:val="12"/>
                <w:szCs w:val="12"/>
                <w:color w:val="auto"/>
              </w:rPr>
              <w:t>102,563(3)</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9.36</w:t>
            </w:r>
          </w:p>
        </w:tc>
        <w:tc>
          <w:tcPr>
            <w:tcW w:w="740" w:type="dxa"/>
            <w:vAlign w:val="bottom"/>
          </w:tcPr>
          <w:p>
            <w:pPr>
              <w:jc w:val="right"/>
              <w:spacing w:after="0"/>
              <w:rPr>
                <w:sz w:val="20"/>
                <w:szCs w:val="20"/>
                <w:color w:val="auto"/>
              </w:rPr>
            </w:pPr>
            <w:r>
              <w:rPr>
                <w:rFonts w:ascii="Arial" w:cs="Arial" w:eastAsia="Arial" w:hAnsi="Arial"/>
                <w:sz w:val="12"/>
                <w:szCs w:val="12"/>
                <w:color w:val="auto"/>
              </w:rPr>
              <w:t>9/8/2025</w:t>
            </w:r>
          </w:p>
        </w:tc>
        <w:tc>
          <w:tcPr>
            <w:tcW w:w="140" w:type="dxa"/>
            <w:vAlign w:val="bottom"/>
          </w:tcPr>
          <w:p>
            <w:pPr>
              <w:spacing w:after="0"/>
              <w:rPr>
                <w:sz w:val="23"/>
                <w:szCs w:val="2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1/1/2015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12,819(3)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9.36</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2/21/2025</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8.97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7/11/2011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89,743(4)</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9/7/2021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line="333" w:lineRule="auto"/>
        <w:tabs>
          <w:tab w:leader="none" w:pos="1600" w:val="left"/>
        </w:tabs>
        <w:numPr>
          <w:ilvl w:val="0"/>
          <w:numId w:val="109"/>
        </w:numPr>
        <w:rPr>
          <w:rFonts w:ascii="Arial" w:cs="Arial" w:eastAsia="Arial" w:hAnsi="Arial"/>
          <w:sz w:val="10"/>
          <w:szCs w:val="10"/>
          <w:color w:val="auto"/>
        </w:rPr>
      </w:pPr>
      <w:r>
        <w:rPr>
          <w:rFonts w:ascii="Arial" w:cs="Arial" w:eastAsia="Arial" w:hAnsi="Arial"/>
          <w:sz w:val="10"/>
          <w:szCs w:val="10"/>
          <w:color w:val="auto"/>
        </w:rPr>
        <w:t>All stock options held by our named executive officers, whether vested or unvested, are immediately exercisable on the date of grant. Shares purchased upon exercise of an unvested option become restricted stock and are subject to our right of repurchase in the event the option holder's service with us terminates prior to the date the shares vest for a purchase price equal to the exercise price paid for the shares.</w:t>
      </w:r>
    </w:p>
    <w:p>
      <w:pPr>
        <w:spacing w:after="0" w:line="51" w:lineRule="exact"/>
        <w:rPr>
          <w:rFonts w:ascii="Arial" w:cs="Arial" w:eastAsia="Arial" w:hAnsi="Arial"/>
          <w:sz w:val="10"/>
          <w:szCs w:val="10"/>
          <w:color w:val="auto"/>
        </w:rPr>
      </w:pPr>
    </w:p>
    <w:p>
      <w:pPr>
        <w:ind w:left="1600" w:right="80" w:hanging="463"/>
        <w:spacing w:after="0" w:line="333" w:lineRule="auto"/>
        <w:tabs>
          <w:tab w:leader="none" w:pos="1600" w:val="left"/>
        </w:tabs>
        <w:numPr>
          <w:ilvl w:val="0"/>
          <w:numId w:val="109"/>
        </w:numPr>
        <w:rPr>
          <w:rFonts w:ascii="Arial" w:cs="Arial" w:eastAsia="Arial" w:hAnsi="Arial"/>
          <w:sz w:val="10"/>
          <w:szCs w:val="10"/>
          <w:color w:val="auto"/>
        </w:rPr>
      </w:pPr>
      <w:r>
        <w:rPr>
          <w:rFonts w:ascii="Arial" w:cs="Arial" w:eastAsia="Arial" w:hAnsi="Arial"/>
          <w:sz w:val="10"/>
          <w:szCs w:val="10"/>
          <w:color w:val="auto"/>
        </w:rPr>
        <w:t>The option vests in 48 equal monthly installments, subject to the holder's continued employment with us through the applicable vesting date and potential accelerated vesting in the event of a termination without cause or resignation for good reason within 12 months following a change in control. As of December 31, 2015, all shares underlying the option were unvested.</w:t>
      </w:r>
    </w:p>
    <w:p>
      <w:pPr>
        <w:spacing w:after="0" w:line="51" w:lineRule="exact"/>
        <w:rPr>
          <w:rFonts w:ascii="Arial" w:cs="Arial" w:eastAsia="Arial" w:hAnsi="Arial"/>
          <w:sz w:val="10"/>
          <w:szCs w:val="10"/>
          <w:color w:val="auto"/>
        </w:rPr>
      </w:pPr>
    </w:p>
    <w:p>
      <w:pPr>
        <w:ind w:left="1600" w:right="20" w:hanging="463"/>
        <w:spacing w:after="0" w:line="279" w:lineRule="auto"/>
        <w:tabs>
          <w:tab w:leader="none" w:pos="1600" w:val="left"/>
        </w:tabs>
        <w:numPr>
          <w:ilvl w:val="0"/>
          <w:numId w:val="109"/>
        </w:numPr>
        <w:rPr>
          <w:rFonts w:ascii="Arial" w:cs="Arial" w:eastAsia="Arial" w:hAnsi="Arial"/>
          <w:sz w:val="10"/>
          <w:szCs w:val="10"/>
          <w:color w:val="auto"/>
        </w:rPr>
      </w:pPr>
      <w:r>
        <w:rPr>
          <w:rFonts w:ascii="Arial" w:cs="Arial" w:eastAsia="Arial" w:hAnsi="Arial"/>
          <w:sz w:val="10"/>
          <w:szCs w:val="10"/>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 As of December 31, 2015, (i) for Dr. Cautreels, 30,048 shares underlying the option with a January 1, 2014 vesting commencement date were unvested, and 4,153 shares underlying the option with a January 1, 2013 vesting commencement date were unvested; (ii) for Dr. Sands, 102,564 shares underlying the option with a September 8, 2015 vesting commencement date were unvested; and (iii) for Dr. Kishimoto, 12,819 shares underlying the option with a January 1, 2015 vesting commencement date were unvested, 6,677 shares underlying the option with a January 1, 2014 vesting commencement date were unvested, and 1,736 shares underlying the option with a January 1, 2013 vesting commencement date were unvested.</w:t>
      </w:r>
    </w:p>
    <w:p>
      <w:pPr>
        <w:spacing w:after="0" w:line="78" w:lineRule="exact"/>
        <w:rPr>
          <w:rFonts w:ascii="Arial" w:cs="Arial" w:eastAsia="Arial" w:hAnsi="Arial"/>
          <w:sz w:val="10"/>
          <w:szCs w:val="10"/>
          <w:color w:val="auto"/>
        </w:rPr>
      </w:pPr>
    </w:p>
    <w:p>
      <w:pPr>
        <w:ind w:left="1600" w:hanging="463"/>
        <w:spacing w:after="0"/>
        <w:tabs>
          <w:tab w:leader="none" w:pos="160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All shares underlying the option are fully vested.</w:t>
      </w:r>
    </w:p>
    <w:p>
      <w:pPr>
        <w:spacing w:after="0" w:line="105" w:lineRule="exact"/>
        <w:rPr>
          <w:rFonts w:ascii="Arial" w:cs="Arial" w:eastAsia="Arial" w:hAnsi="Arial"/>
          <w:sz w:val="12"/>
          <w:szCs w:val="12"/>
          <w:color w:val="auto"/>
        </w:rPr>
      </w:pPr>
    </w:p>
    <w:p>
      <w:pPr>
        <w:ind w:left="1600" w:right="60" w:hanging="463"/>
        <w:spacing w:after="0" w:line="233" w:lineRule="auto"/>
        <w:tabs>
          <w:tab w:leader="none" w:pos="160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Represents shares of restricted stock obtained upon early exercise of an option on November 30, 2013. The shares vest as to 25% of the total shares on the one year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entered into employment agreements with each of our named executive officers. Certain key terms of these agreements and letters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Cautreels, Dr. Kishimoto and Dr. Sands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We entered into an employment agreement with Dr. Cautreels in July 2010, with Dr. Kishimoto in June 2011 and with Dr. Sands in July 2015. The employment agreements are for unspecified terms and entitle Dr. Cautreels, Dr. Kishimoto and Dr. Sands to annual target bonus opportunities of 25% of their respective annual base salaries. Their current base salaries are discussed in more detail above in the section titled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7" w:name="page188"/>
    <w:bookmarkEnd w:id="18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100"/>
        <w:spacing w:after="0" w:line="300" w:lineRule="auto"/>
        <w:rPr>
          <w:sz w:val="20"/>
          <w:szCs w:val="20"/>
          <w:color w:val="auto"/>
        </w:rPr>
      </w:pPr>
      <w:r>
        <w:rPr>
          <w:rFonts w:ascii="Arial" w:cs="Arial" w:eastAsia="Arial" w:hAnsi="Arial"/>
          <w:sz w:val="13"/>
          <w:szCs w:val="13"/>
          <w:color w:val="auto"/>
        </w:rPr>
        <w:t>In the event either of Dr. Cautreels, Dr. Kishimoto or Dr. Sands is terminated by us without "cause" or he resigns for "good reason," subject to his timely executing a release of claims in our favor, he is entitled to receive base salary continuation for a period of 9 months for Dr. Cautreels or 6 months for Dr. Kishimoto and Dr. Sands, payment of all bonuses earned but unpaid as of the date of termination and continued health coverage for a period of 9 months for Dr. Cautreels or 6 months for Dr. Kishimoto and Dr. Sands. If, however, any of Dr. Cautreels,</w:t>
      </w:r>
    </w:p>
    <w:p>
      <w:pPr>
        <w:jc w:val="both"/>
        <w:ind w:right="80"/>
        <w:spacing w:after="0" w:line="266" w:lineRule="auto"/>
        <w:rPr>
          <w:sz w:val="20"/>
          <w:szCs w:val="20"/>
          <w:color w:val="auto"/>
        </w:rPr>
      </w:pPr>
      <w:r>
        <w:rPr>
          <w:rFonts w:ascii="Arial" w:cs="Arial" w:eastAsia="Arial" w:hAnsi="Arial"/>
          <w:sz w:val="15"/>
          <w:szCs w:val="15"/>
          <w:color w:val="auto"/>
        </w:rPr>
        <w:t>Dr. Kishimoto or Dr. Sands begins a subsequent consulting or employment arrangement during the period in which he is otherwise entitled to receive these payments and benefits, then any cash compensation paid to him in connection with the subsequent arrangement will be credited towards any severance amounts owed by us and we will not be required to provide or pay for any benefits that are provided to him through the subsequent arrangement.</w:t>
      </w:r>
    </w:p>
    <w:p>
      <w:pPr>
        <w:spacing w:after="0" w:line="163"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The employment agreements contain restrictive covenants pursuant to which each of Dr. Cautreels, Dr. Kishimoto and Dr. Sands has agreed to refrain from competing with us or soliciting our employees or consultants following his termination of employment for a period of one year. However, the restricted period will be extended to two years in the event the named executive officer is terminated by the company for "cause."</w:t>
      </w:r>
    </w:p>
    <w:p>
      <w:pPr>
        <w:spacing w:after="0" w:line="159"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For purposes of the employment agreements, "cause" generally means Dr. Cautreels', Dr. Kishimoto's or Dr. Sands' commission of, or indictment or conviction of, any felony or any crime involving dishonesty, participation in any fraud against the company, intentional damage to any company property, misconduct which materially and adversely reflects upon the business, operations or reputation of the company, which misconduct has not been cured (or cannot be cured) within 10 days after the company gives written notice regarding such misconduct, or breach of any material provision of the employment agreement or any agreement between him and the company, which breach has not been cured (or cannot be cured) within 10 days after the company gives written notice regarding such breach.</w:t>
      </w:r>
    </w:p>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For purposes of the employment agreements, "good reason" generally means, subject to certain cure rights, Dr. Cautreels', Dr. Kishimoto's or Dr. Sands' termination of his employment due to the company's breach of any one or more of the material provisions of the employment agreement, a material reduction by the company of his responsibilities or base salary, or, with respect to Dr. Cautreels and Dr. Kishimoto only, a relocation by the company of his place of employment by more than 40 miles.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A CHANGE IN CONTROL</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agreements governing the named executive officers' unvested stock options provide for full accelerated vesting if the named executive officers' employment is terminated by us without cause or if they resign for good reason, in either case, within 12 months following a change in control.</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 REGARDING EXECUTIVE COMPENSATION</w:t>
      </w:r>
    </w:p>
    <w:p>
      <w:pPr>
        <w:spacing w:after="0" w:line="195"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In May 2016, in anticipation of and subject to the consummation of this offering, our board of directors approved certain changes to our named executive officers' compensation arrangements. These included adjusting our named executive officers' target bonus opportunities, granting equity incentive awards and entering into new employment agreements, each as described in more detail below.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Target bonuses</w:t>
      </w:r>
    </w:p>
    <w:p>
      <w:pPr>
        <w:spacing w:after="0" w:line="19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Our board of directors approved increases to the target bonus amounts for our named executive officers to 45% of his base salary for Dr. Cautreels and 35% of his base salary for each of Drs. Sands and Kishimoto. The target bonus increases will become effective upon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8" w:name="page189"/>
    <w:bookmarkEnd w:id="18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incentive awards</w:t>
      </w:r>
    </w:p>
    <w:p>
      <w:pPr>
        <w:spacing w:after="0" w:line="195" w:lineRule="exact"/>
        <w:rPr>
          <w:sz w:val="20"/>
          <w:szCs w:val="20"/>
          <w:color w:val="auto"/>
        </w:rPr>
      </w:pPr>
    </w:p>
    <w:p>
      <w:pPr>
        <w:jc w:val="both"/>
        <w:ind w:right="140"/>
        <w:spacing w:after="0" w:line="270" w:lineRule="auto"/>
        <w:rPr>
          <w:sz w:val="20"/>
          <w:szCs w:val="20"/>
          <w:color w:val="auto"/>
        </w:rPr>
      </w:pPr>
      <w:r>
        <w:rPr>
          <w:rFonts w:ascii="Arial" w:cs="Arial" w:eastAsia="Arial" w:hAnsi="Arial"/>
          <w:sz w:val="15"/>
          <w:szCs w:val="15"/>
          <w:color w:val="auto"/>
        </w:rPr>
        <w:t>Our board of directors approved stock option grants under the 2016 Plan to our named executive officers in the following amounts: Dr. Cautreels: 115,384 shares, Dr. Sands: 53,999 shares and Dr. Kishimoto: 24,512 shares. The shares have a per share exercise price equal to the initial public offering price per share of our common stock and vest as to 25% of the total number of shares on the first anniversary of the grant date and in 36 substantially equal monthly installments thereafter.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entered into new employment agreements with each of our named executive officers, effective on the closing of this offering.</w:t>
      </w:r>
    </w:p>
    <w:p>
      <w:pPr>
        <w:spacing w:after="0" w:line="198"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The agreements entitle our named executives officers to continue to receive their current annual base salaries set forth above and to receive the new target bonus opportunities described above under the heading "Target Bonuses."</w:t>
      </w:r>
    </w:p>
    <w:p>
      <w:pPr>
        <w:spacing w:after="0" w:line="15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If we terminate Dr. Cautreels, Dr. Sands or Dr. Kishimoto without "cause" or he resigns for "good reason," subject to his timely executing a release of claims in our favor and continued compliance with a separate restrictive covenant agreement, he is entitled to receive (i) base salary continuation for a period of 12 months, (ii) a prorated portion of the annual bonus he would otherwise have earned for the year of termination, based on actual performance for the full year (or based on his target bonus if such termination occurs during the first quarter of the calendar year), and (iii) direct payment of or reimbursement for continued medical, dental or vision coverage pursuant to COBRA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company equity awards that vest solely based on the passage of time. The company must provide a named executive officer 30 days' notice, or pay in lieu of notice, in the event we terminate such named executive officer for any reason other than "cause".</w:t>
      </w:r>
    </w:p>
    <w:p>
      <w:pPr>
        <w:spacing w:after="0" w:line="154"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For purposes of the new employment agreements, "cause" generally means, subject to applicable cure rights, the named executive officer's (i) commission of, or indictment or conviction of, any felony or any crime involving dishonesty; (ii) participation in any fraud against the company; (iii) intentional damage to any company property; (iv) misconduct which materially and adversely reflects upon the business, operations, or reputation of the company; or (v) breach of any material provision of the employment agreement or any other written agreement with the company. "Good reason" generally means, subject to the company's cure rights, the occurrence of any of the following, without the named executive officer's written consent (i) a material reduction in his base salary or target bonus opportunity; (ii) a material diminution in his authority, title, duties or areas of responsibility; (iii) the requirement that he report to someone other than the board of directors with respect to Dr. Cautreels or the chief executive officer with respect to Drs. Sands and Kishimoto; (iv) the relocation of his primary office to a location more than 40 miles from the Boston metropolitan area; or (v) a material breach by the company of the employment agreement or any other written agreement with the named executive officer.</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We also expect to enter into non-disclosure, non-competition and assignment of intellectual property agreements with the named executive officers pursuant to which each of Drs. Cautreels, Sands and Kishimoto will agree to refrain from engaging in direct competition with us or soliciting our employees, in each case, while employed and following his termination of employment for any reason for a period of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9" w:name="page190"/>
    <w:bookmarkEnd w:id="18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INCENTIVE PLANS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summarizes the material terms of the incentive plans in which our employees, including the named executive officers, participate.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2016 Incentive Award Plan</w:t>
      </w:r>
    </w:p>
    <w:p>
      <w:pPr>
        <w:spacing w:after="0" w:line="195" w:lineRule="exact"/>
        <w:rPr>
          <w:sz w:val="20"/>
          <w:szCs w:val="20"/>
          <w:color w:val="auto"/>
        </w:rPr>
      </w:pPr>
    </w:p>
    <w:p>
      <w:pPr>
        <w:ind w:left="7" w:right="60"/>
        <w:spacing w:after="0" w:line="319" w:lineRule="auto"/>
        <w:rPr>
          <w:sz w:val="20"/>
          <w:szCs w:val="20"/>
          <w:color w:val="auto"/>
        </w:rPr>
      </w:pPr>
      <w:r>
        <w:rPr>
          <w:rFonts w:ascii="Arial" w:cs="Arial" w:eastAsia="Arial" w:hAnsi="Arial"/>
          <w:sz w:val="14"/>
          <w:szCs w:val="14"/>
          <w:color w:val="auto"/>
        </w:rPr>
        <w:t>We adopted and our stockholders approved the 2016 Incentive Award Plan, or the 2016 Plan, under which we may grant cash and equity-based incentive awards to eligible service providers in order to attract, retain and motivate the persons who make important contributions to our company. The material terms of the 2016 Plan are summarized below.</w:t>
      </w:r>
    </w:p>
    <w:p>
      <w:pPr>
        <w:spacing w:after="0" w:line="128" w:lineRule="exact"/>
        <w:rPr>
          <w:sz w:val="20"/>
          <w:szCs w:val="20"/>
          <w:color w:val="auto"/>
        </w:rPr>
      </w:pPr>
    </w:p>
    <w:p>
      <w:pPr>
        <w:ind w:left="7" w:right="160"/>
        <w:spacing w:after="0" w:line="310" w:lineRule="auto"/>
        <w:rPr>
          <w:sz w:val="20"/>
          <w:szCs w:val="20"/>
          <w:color w:val="auto"/>
        </w:rPr>
      </w:pPr>
      <w:r>
        <w:rPr>
          <w:rFonts w:ascii="Arial" w:cs="Arial" w:eastAsia="Arial" w:hAnsi="Arial"/>
          <w:sz w:val="13"/>
          <w:szCs w:val="13"/>
          <w:i w:val="1"/>
          <w:iCs w:val="1"/>
          <w:color w:val="auto"/>
        </w:rPr>
        <w:t xml:space="preserve">Eligibility and administration. </w:t>
      </w:r>
      <w:r>
        <w:rPr>
          <w:rFonts w:ascii="Arial" w:cs="Arial" w:eastAsia="Arial" w:hAnsi="Arial"/>
          <w:sz w:val="13"/>
          <w:szCs w:val="13"/>
          <w:color w:val="auto"/>
        </w:rPr>
        <w:t>Our employees, consultants and directors, and employees and consultants of our subsidiaries, are eligible to receive awards under the 2016 Plan. The 2016</w:t>
      </w:r>
      <w:r>
        <w:rPr>
          <w:rFonts w:ascii="Arial" w:cs="Arial" w:eastAsia="Arial" w:hAnsi="Arial"/>
          <w:sz w:val="13"/>
          <w:szCs w:val="13"/>
          <w:i w:val="1"/>
          <w:iCs w:val="1"/>
          <w:color w:val="auto"/>
        </w:rPr>
        <w:t xml:space="preserve"> </w:t>
      </w:r>
      <w:r>
        <w:rPr>
          <w:rFonts w:ascii="Arial" w:cs="Arial" w:eastAsia="Arial" w:hAnsi="Arial"/>
          <w:sz w:val="13"/>
          <w:szCs w:val="13"/>
          <w:color w:val="auto"/>
        </w:rPr>
        <w:t>Plan is administered by our board of directors, which may delegate its duties and responsibilities to one or more committees of our directors and/or officers (referred to collectively as the plan administrator below), subject to the limitations imposed under the 2016 Plan, Section 16 of the Exchange Act, stock exchange rules and other applicable laws. The plan administrator has the authority to take all actions and make all determinations under the 2016 Plan, to interpret the 2016 Plan and award agreements and to adopt, amend and repeal rules for the administration of the 2016 Plan as it deems advisable. The plan administrator also has the authority to determine which eligible service providers receive awards, grant awards and set the terms and conditions of all awards under the 2016 Plan, including any vesting and vesting acceleration provisions, subject to the conditions and limitations in the 2016 Plan.</w:t>
      </w:r>
    </w:p>
    <w:p>
      <w:pPr>
        <w:spacing w:after="0" w:line="139" w:lineRule="exact"/>
        <w:rPr>
          <w:sz w:val="20"/>
          <w:szCs w:val="20"/>
          <w:color w:val="auto"/>
        </w:rPr>
      </w:pPr>
    </w:p>
    <w:p>
      <w:pPr>
        <w:ind w:left="7" w:right="220"/>
        <w:spacing w:after="0" w:line="263" w:lineRule="auto"/>
        <w:rPr>
          <w:sz w:val="20"/>
          <w:szCs w:val="20"/>
          <w:color w:val="auto"/>
        </w:rPr>
      </w:pPr>
      <w:r>
        <w:rPr>
          <w:rFonts w:ascii="Arial" w:cs="Arial" w:eastAsia="Arial" w:hAnsi="Arial"/>
          <w:sz w:val="15"/>
          <w:szCs w:val="15"/>
          <w:i w:val="1"/>
          <w:iCs w:val="1"/>
          <w:color w:val="auto"/>
        </w:rPr>
        <w:t xml:space="preserve">Shares available for awards. </w:t>
      </w:r>
      <w:r>
        <w:rPr>
          <w:rFonts w:ascii="Arial" w:cs="Arial" w:eastAsia="Arial" w:hAnsi="Arial"/>
          <w:sz w:val="15"/>
          <w:szCs w:val="15"/>
          <w:color w:val="auto"/>
        </w:rPr>
        <w:t>An aggregate of 1,210,256 shares of our common stock are initially available for issuance under the 2016 Plan. The number of shares initially available for</w:t>
      </w:r>
      <w:r>
        <w:rPr>
          <w:rFonts w:ascii="Arial" w:cs="Arial" w:eastAsia="Arial" w:hAnsi="Arial"/>
          <w:sz w:val="15"/>
          <w:szCs w:val="15"/>
          <w:i w:val="1"/>
          <w:iCs w:val="1"/>
          <w:color w:val="auto"/>
        </w:rPr>
        <w:t xml:space="preserve"> </w:t>
      </w:r>
      <w:r>
        <w:rPr>
          <w:rFonts w:ascii="Arial" w:cs="Arial" w:eastAsia="Arial" w:hAnsi="Arial"/>
          <w:sz w:val="15"/>
          <w:szCs w:val="15"/>
          <w:color w:val="auto"/>
        </w:rPr>
        <w:t>issuance will be increased by an annual increase on January 1 of each calendar year beginning in 2017 and ending in and including 2026, equal to the least of (A) 4% of the shares of common stock outstanding on the final day of the immediately preceding calendar year and (B) a smaller number of shares determined by our board of directors. No more than 8,133,333 shares of common stock may be issued under the 2016 Plan upon the exercise of incentive stock options. Shares issued under the 2016 Plan may be authorized but unissued shares, shares purchased on the open market or treasury shares.</w:t>
      </w:r>
    </w:p>
    <w:p>
      <w:pPr>
        <w:spacing w:after="0" w:line="167" w:lineRule="exact"/>
        <w:rPr>
          <w:sz w:val="20"/>
          <w:szCs w:val="20"/>
          <w:color w:val="auto"/>
        </w:rPr>
      </w:pPr>
    </w:p>
    <w:p>
      <w:pPr>
        <w:ind w:left="7" w:right="200"/>
        <w:spacing w:after="0" w:line="319" w:lineRule="auto"/>
        <w:rPr>
          <w:sz w:val="20"/>
          <w:szCs w:val="20"/>
          <w:color w:val="auto"/>
        </w:rPr>
      </w:pPr>
      <w:r>
        <w:rPr>
          <w:rFonts w:ascii="Arial" w:cs="Arial" w:eastAsia="Arial" w:hAnsi="Arial"/>
          <w:sz w:val="13"/>
          <w:szCs w:val="13"/>
          <w:color w:val="auto"/>
        </w:rPr>
        <w:t>If an award under the 2016 Plan or the 2008 Plan expires, lapses or is terminated, exchanged for cash, surrendered, repurchased, canceled without having been fully exercised or forfeited, any unused shares subject to the award will, as applicable, become or again be available for new grants under the 2016 Plan. Awards granted under the 2016 Plan in substitution for any options or other stock or stock-based awards granted by an entity before the entity's merger or consolidation with us or our acquisition of the entity's property or stock will not reduce the shares available for grant under the 2016 Plan, but will count against the maximum number of shares that may be issued upon the exercise of incentive stock options.</w:t>
      </w:r>
    </w:p>
    <w:p>
      <w:pPr>
        <w:spacing w:after="0" w:line="132" w:lineRule="exact"/>
        <w:rPr>
          <w:sz w:val="20"/>
          <w:szCs w:val="20"/>
          <w:color w:val="auto"/>
        </w:rPr>
      </w:pPr>
    </w:p>
    <w:p>
      <w:pPr>
        <w:ind w:left="7" w:right="160"/>
        <w:spacing w:after="0" w:line="290" w:lineRule="auto"/>
        <w:rPr>
          <w:sz w:val="20"/>
          <w:szCs w:val="20"/>
          <w:color w:val="auto"/>
        </w:rPr>
      </w:pPr>
      <w:r>
        <w:rPr>
          <w:rFonts w:ascii="Arial" w:cs="Arial" w:eastAsia="Arial" w:hAnsi="Arial"/>
          <w:sz w:val="14"/>
          <w:szCs w:val="14"/>
          <w:i w:val="1"/>
          <w:iCs w:val="1"/>
          <w:color w:val="auto"/>
        </w:rPr>
        <w:t xml:space="preserve">Awards. </w:t>
      </w:r>
      <w:r>
        <w:rPr>
          <w:rFonts w:ascii="Arial" w:cs="Arial" w:eastAsia="Arial" w:hAnsi="Arial"/>
          <w:sz w:val="14"/>
          <w:szCs w:val="14"/>
          <w:color w:val="auto"/>
        </w:rPr>
        <w:t>The 2016 Plan provides for the grant of stock options, including incentive stock options, or ISOs, and nonqualified stock options, or NSOs, stock appreciation rights, or SARs,</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restricted stock, dividend equivalents, restricted stock units, or RSUs, and other stock or cash based awards. Certain awards under the 2016 Plan may constitute or provide for payment of "nonqualified deferred compensation" under Section 409A of the Code. All awards under the 2016 Plan will be set forth in award agreements, which will detail the terms and conditions of awards, including any applicable vesting and payment terms and post-termination exercise limitations. A brief description of each award type follows.</w:t>
      </w:r>
    </w:p>
    <w:p>
      <w:pPr>
        <w:spacing w:after="0" w:line="160" w:lineRule="exact"/>
        <w:rPr>
          <w:sz w:val="20"/>
          <w:szCs w:val="20"/>
          <w:color w:val="auto"/>
        </w:rPr>
      </w:pPr>
    </w:p>
    <w:p>
      <w:pPr>
        <w:ind w:left="467" w:right="60" w:hanging="467"/>
        <w:spacing w:after="0" w:line="282" w:lineRule="auto"/>
        <w:tabs>
          <w:tab w:leader="none" w:pos="467" w:val="left"/>
        </w:tabs>
        <w:numPr>
          <w:ilvl w:val="0"/>
          <w:numId w:val="110"/>
        </w:numPr>
        <w:rPr>
          <w:rFonts w:ascii="Arial" w:cs="Arial" w:eastAsia="Arial" w:hAnsi="Arial"/>
          <w:sz w:val="15"/>
          <w:szCs w:val="15"/>
          <w:color w:val="auto"/>
        </w:rPr>
      </w:pPr>
      <w:r>
        <w:rPr>
          <w:rFonts w:ascii="Arial" w:cs="Arial" w:eastAsia="Arial" w:hAnsi="Arial"/>
          <w:sz w:val="15"/>
          <w:szCs w:val="15"/>
          <w:i w:val="1"/>
          <w:iCs w:val="1"/>
          <w:color w:val="auto"/>
        </w:rPr>
        <w:t xml:space="preserve">Stock options and SARs. </w:t>
      </w:r>
      <w:r>
        <w:rPr>
          <w:rFonts w:ascii="Arial" w:cs="Arial" w:eastAsia="Arial" w:hAnsi="Arial"/>
          <w:sz w:val="15"/>
          <w:szCs w:val="15"/>
          <w:color w:val="auto"/>
        </w:rPr>
        <w:t>Stock options provide for the purchase of shares of our common stock in the future at an exercise price set on the grant date. ISOs, in contrast to NSOs, may</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0" w:name="page191"/>
    <w:bookmarkEnd w:id="19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467"/>
        <w:spacing w:after="0" w:line="284" w:lineRule="auto"/>
        <w:rPr>
          <w:sz w:val="20"/>
          <w:szCs w:val="20"/>
          <w:color w:val="auto"/>
        </w:rPr>
      </w:pPr>
      <w:r>
        <w:rPr>
          <w:rFonts w:ascii="Arial" w:cs="Arial" w:eastAsia="Arial" w:hAnsi="Arial"/>
          <w:sz w:val="14"/>
          <w:szCs w:val="14"/>
          <w:color w:val="auto"/>
        </w:rPr>
        <w:t>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determines the number of shares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166" w:lineRule="exact"/>
        <w:rPr>
          <w:sz w:val="20"/>
          <w:szCs w:val="20"/>
          <w:color w:val="auto"/>
        </w:rPr>
      </w:pPr>
    </w:p>
    <w:p>
      <w:pPr>
        <w:ind w:left="467" w:right="20" w:hanging="467"/>
        <w:spacing w:after="0" w:line="313" w:lineRule="auto"/>
        <w:tabs>
          <w:tab w:leader="none" w:pos="467" w:val="left"/>
        </w:tabs>
        <w:numPr>
          <w:ilvl w:val="0"/>
          <w:numId w:val="111"/>
        </w:numPr>
        <w:rPr>
          <w:rFonts w:ascii="Arial" w:cs="Arial" w:eastAsia="Arial" w:hAnsi="Arial"/>
          <w:sz w:val="13"/>
          <w:szCs w:val="13"/>
          <w:color w:val="auto"/>
        </w:rPr>
      </w:pPr>
      <w:r>
        <w:rPr>
          <w:rFonts w:ascii="Arial" w:cs="Arial" w:eastAsia="Arial" w:hAnsi="Arial"/>
          <w:sz w:val="13"/>
          <w:szCs w:val="13"/>
          <w:i w:val="1"/>
          <w:iCs w:val="1"/>
          <w:color w:val="auto"/>
        </w:rPr>
        <w:t xml:space="preserve">Restricted stock and RSUs. </w:t>
      </w:r>
      <w:r>
        <w:rPr>
          <w:rFonts w:ascii="Arial" w:cs="Arial" w:eastAsia="Arial" w:hAnsi="Arial"/>
          <w:sz w:val="13"/>
          <w:szCs w:val="13"/>
          <w:color w:val="auto"/>
        </w:rPr>
        <w:t>Restricted stock is an award of nontransferable shares of our common stock that remain forfeitable unless and until specified conditions are met and</w:t>
      </w:r>
      <w:r>
        <w:rPr>
          <w:rFonts w:ascii="Arial" w:cs="Arial" w:eastAsia="Arial" w:hAnsi="Arial"/>
          <w:sz w:val="13"/>
          <w:szCs w:val="13"/>
          <w:i w:val="1"/>
          <w:iCs w:val="1"/>
          <w:color w:val="auto"/>
        </w:rPr>
        <w:t xml:space="preserve"> </w:t>
      </w:r>
      <w:r>
        <w:rPr>
          <w:rFonts w:ascii="Arial" w:cs="Arial" w:eastAsia="Arial" w:hAnsi="Arial"/>
          <w:sz w:val="13"/>
          <w:szCs w:val="13"/>
          <w:color w:val="auto"/>
        </w:rPr>
        <w:t>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are determined by the plan administrator, subject to the conditions and limitations contained in the 2016 Plan.</w:t>
      </w:r>
    </w:p>
    <w:p>
      <w:pPr>
        <w:spacing w:after="0" w:line="160" w:lineRule="exact"/>
        <w:rPr>
          <w:rFonts w:ascii="Arial" w:cs="Arial" w:eastAsia="Arial" w:hAnsi="Arial"/>
          <w:sz w:val="13"/>
          <w:szCs w:val="13"/>
          <w:color w:val="auto"/>
        </w:rPr>
      </w:pPr>
    </w:p>
    <w:p>
      <w:pPr>
        <w:ind w:left="467" w:right="120" w:hanging="467"/>
        <w:spacing w:after="0" w:line="319" w:lineRule="auto"/>
        <w:tabs>
          <w:tab w:leader="none" w:pos="467" w:val="left"/>
        </w:tabs>
        <w:numPr>
          <w:ilvl w:val="0"/>
          <w:numId w:val="111"/>
        </w:numPr>
        <w:rPr>
          <w:rFonts w:ascii="Arial" w:cs="Arial" w:eastAsia="Arial" w:hAnsi="Arial"/>
          <w:sz w:val="13"/>
          <w:szCs w:val="13"/>
          <w:color w:val="auto"/>
        </w:rPr>
      </w:pPr>
      <w:r>
        <w:rPr>
          <w:rFonts w:ascii="Arial" w:cs="Arial" w:eastAsia="Arial" w:hAnsi="Arial"/>
          <w:sz w:val="13"/>
          <w:szCs w:val="13"/>
          <w:i w:val="1"/>
          <w:iCs w:val="1"/>
          <w:color w:val="auto"/>
        </w:rPr>
        <w:t xml:space="preserve">Other stock or cash based awards. </w:t>
      </w:r>
      <w:r>
        <w:rPr>
          <w:rFonts w:ascii="Arial" w:cs="Arial" w:eastAsia="Arial" w:hAnsi="Arial"/>
          <w:sz w:val="13"/>
          <w:szCs w:val="13"/>
          <w:color w:val="auto"/>
        </w:rPr>
        <w:t>Other stock or cash based awards are awards of cash, fully vested shares of our common stock and other awards valued wholly or partially by</w:t>
      </w:r>
      <w:r>
        <w:rPr>
          <w:rFonts w:ascii="Arial" w:cs="Arial" w:eastAsia="Arial" w:hAnsi="Arial"/>
          <w:sz w:val="13"/>
          <w:szCs w:val="13"/>
          <w:i w:val="1"/>
          <w:iCs w:val="1"/>
          <w:color w:val="auto"/>
        </w:rPr>
        <w:t xml:space="preserve"> </w:t>
      </w:r>
      <w:r>
        <w:rPr>
          <w:rFonts w:ascii="Arial" w:cs="Arial" w:eastAsia="Arial" w:hAnsi="Arial"/>
          <w:sz w:val="13"/>
          <w:szCs w:val="13"/>
          <w:color w:val="auto"/>
        </w:rPr>
        <w:t>referring to, or otherwise based on, shares of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determines the terms and conditions of other stock or cash based awards, which may include any purchase price, performance goal, transfer restrictions and vesting conditions.</w:t>
      </w:r>
    </w:p>
    <w:p>
      <w:pPr>
        <w:spacing w:after="0" w:line="132" w:lineRule="exact"/>
        <w:rPr>
          <w:sz w:val="20"/>
          <w:szCs w:val="20"/>
          <w:color w:val="auto"/>
        </w:rPr>
      </w:pPr>
    </w:p>
    <w:p>
      <w:pPr>
        <w:ind w:left="7"/>
        <w:spacing w:after="0" w:line="280" w:lineRule="auto"/>
        <w:rPr>
          <w:sz w:val="20"/>
          <w:szCs w:val="20"/>
          <w:color w:val="auto"/>
        </w:rPr>
      </w:pPr>
      <w:r>
        <w:rPr>
          <w:rFonts w:ascii="Arial" w:cs="Arial" w:eastAsia="Arial" w:hAnsi="Arial"/>
          <w:sz w:val="14"/>
          <w:szCs w:val="14"/>
          <w:i w:val="1"/>
          <w:iCs w:val="1"/>
          <w:color w:val="auto"/>
        </w:rPr>
        <w:t xml:space="preserve">Performance criteria. </w:t>
      </w:r>
      <w:r>
        <w:rPr>
          <w:rFonts w:ascii="Arial" w:cs="Arial" w:eastAsia="Arial" w:hAnsi="Arial"/>
          <w:sz w:val="14"/>
          <w:szCs w:val="14"/>
          <w:color w:val="auto"/>
        </w:rPr>
        <w:t>The plan administrator may select performance criteria for an award to establish performance goals for a performance period. Performance criteria under the 2016</w:t>
      </w:r>
      <w:r>
        <w:rPr>
          <w:rFonts w:ascii="Arial" w:cs="Arial" w:eastAsia="Arial" w:hAnsi="Arial"/>
          <w:sz w:val="14"/>
          <w:szCs w:val="14"/>
          <w:i w:val="1"/>
          <w:iCs w:val="1"/>
          <w:color w:val="auto"/>
        </w:rPr>
        <w:t xml:space="preserve"> </w:t>
      </w:r>
      <w:r>
        <w:rPr>
          <w:rFonts w:ascii="Arial" w:cs="Arial" w:eastAsia="Arial" w:hAnsi="Arial"/>
          <w:sz w:val="14"/>
          <w:szCs w:val="14"/>
          <w:color w:val="auto"/>
        </w:rPr>
        <w:t>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266305"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91" w:name="page192"/>
    <w:bookmarkEnd w:id="19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69" w:lineRule="exact"/>
        <w:rPr>
          <w:sz w:val="20"/>
          <w:szCs w:val="20"/>
          <w:color w:val="auto"/>
        </w:rPr>
      </w:pPr>
    </w:p>
    <w:p>
      <w:pPr>
        <w:ind w:right="100"/>
        <w:spacing w:after="0" w:line="284"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In connection with certain corporate transactions and events affecting our common stock, including a change in control, or change in any applicable laws or</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principles, the plan administrator has broad discretion to take action under the 2016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2016 Plan and replacing or terminating awards under the 2016 Plan. In addition, in the event of certain non-reciprocal transactions with our stockholders, the plan administrator will make equitable adjustments to the 2016 Plan and outstanding awards as it deems appropriate to reflect the transaction.</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5"/>
          <w:szCs w:val="15"/>
          <w:i w:val="1"/>
          <w:iCs w:val="1"/>
          <w:color w:val="auto"/>
        </w:rPr>
        <w:t xml:space="preserve">Provisions of the 2016 Plan Relating to Director Compensation. </w:t>
      </w:r>
      <w:r>
        <w:rPr>
          <w:rFonts w:ascii="Arial" w:cs="Arial" w:eastAsia="Arial" w:hAnsi="Arial"/>
          <w:sz w:val="15"/>
          <w:szCs w:val="15"/>
          <w:color w:val="auto"/>
        </w:rPr>
        <w:t>The 2016 Plan provides that the plan administrator may establish compensation for non-employee directors from time to</w:t>
      </w:r>
      <w:r>
        <w:rPr>
          <w:rFonts w:ascii="Arial" w:cs="Arial" w:eastAsia="Arial" w:hAnsi="Arial"/>
          <w:sz w:val="15"/>
          <w:szCs w:val="15"/>
          <w:i w:val="1"/>
          <w:iCs w:val="1"/>
          <w:color w:val="auto"/>
        </w:rPr>
        <w:t xml:space="preserve"> </w:t>
      </w:r>
      <w:r>
        <w:rPr>
          <w:rFonts w:ascii="Arial" w:cs="Arial" w:eastAsia="Arial" w:hAnsi="Arial"/>
          <w:sz w:val="15"/>
          <w:szCs w:val="15"/>
          <w:color w:val="auto"/>
        </w:rPr>
        <w:t>time subject to the 2016 Plan's limitations. Prior to commencing this offering, our stockholders approved the initial terms of our non-employee director compensation program, which is described below under the heading "Director Compensation." Our board of directors or its authorized committee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of any equity awards granted under the 2016 Plan as compensation for services as a non-employee director during any fiscal year may not exceed $1,000,000 in the fiscal year of a non-employee director's initial service as a non-employee director or $750,000 in any subsequent fiscal year. The plan administrator may make exceptions to this limit for individual non-employee directors in extraordinary circumstances, as the plan administrator may determine in its discretion, subject to the limitations in the 2016 Plan.</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i w:val="1"/>
          <w:iCs w:val="1"/>
          <w:color w:val="auto"/>
        </w:rPr>
        <w:t xml:space="preserve">Plan amendment and termination. </w:t>
      </w:r>
      <w:r>
        <w:rPr>
          <w:rFonts w:ascii="Arial" w:cs="Arial" w:eastAsia="Arial" w:hAnsi="Arial"/>
          <w:sz w:val="15"/>
          <w:szCs w:val="15"/>
          <w:color w:val="auto"/>
        </w:rPr>
        <w:t>Our board of directors may amend or terminate the 2016 Plan at any time; however, no amendment, other than an amendment that increases the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shares available under the 2016 Plan, may materially and adversely affect an award outstanding under the 2016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2016 Plan will remain in effect until the tenth anniversary of its effective date, unless earlier terminated by our board of directors. No awards may be granted under the 2016 Plan after its termination.</w:t>
      </w:r>
    </w:p>
    <w:p>
      <w:pPr>
        <w:spacing w:after="0" w:line="167"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i w:val="1"/>
          <w:iCs w:val="1"/>
          <w:color w:val="auto"/>
        </w:rPr>
        <w:t xml:space="preserve">Foreign participants, claw-back provisions, transferability and participant payments. </w:t>
      </w:r>
      <w:r>
        <w:rPr>
          <w:rFonts w:ascii="Arial" w:cs="Arial" w:eastAsia="Arial" w:hAnsi="Arial"/>
          <w:sz w:val="15"/>
          <w:szCs w:val="15"/>
          <w:color w:val="auto"/>
        </w:rPr>
        <w:t>The plan administrator may modify awards granted to participants who are foreign nationals or</w:t>
      </w:r>
      <w:r>
        <w:rPr>
          <w:rFonts w:ascii="Arial" w:cs="Arial" w:eastAsia="Arial" w:hAnsi="Arial"/>
          <w:sz w:val="15"/>
          <w:szCs w:val="15"/>
          <w:i w:val="1"/>
          <w:iCs w:val="1"/>
          <w:color w:val="auto"/>
        </w:rPr>
        <w:t xml:space="preserve"> </w:t>
      </w:r>
      <w:r>
        <w:rPr>
          <w:rFonts w:ascii="Arial" w:cs="Arial" w:eastAsia="Arial" w:hAnsi="Arial"/>
          <w:sz w:val="15"/>
          <w:szCs w:val="15"/>
          <w:color w:val="auto"/>
        </w:rPr>
        <w:t>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2" w:name="page193"/>
    <w:bookmarkEnd w:id="19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2016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2016 Plan, and exercise price obligations arising in connection with the exercise of stock options under the 2016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Employee Stock Purchase Plan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adopted and our stockholders approved the 2016 Employee Stock Purchase Plan, or the 2016 ESPP. The material terms of the 2016 ESPP are summarized below.</w:t>
      </w:r>
    </w:p>
    <w:p>
      <w:pPr>
        <w:spacing w:after="0" w:line="198"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i w:val="1"/>
          <w:iCs w:val="1"/>
          <w:color w:val="auto"/>
        </w:rPr>
        <w:t xml:space="preserve">Shares available for awards; administration. </w:t>
      </w:r>
      <w:r>
        <w:rPr>
          <w:rFonts w:ascii="Arial" w:cs="Arial" w:eastAsia="Arial" w:hAnsi="Arial"/>
          <w:sz w:val="15"/>
          <w:szCs w:val="15"/>
          <w:color w:val="auto"/>
        </w:rPr>
        <w:t>A total of 173,076 shares of our common stock are initially reserved for issuance under the 2016 ESPP. In addition, the number of shares</w:t>
      </w:r>
      <w:r>
        <w:rPr>
          <w:rFonts w:ascii="Arial" w:cs="Arial" w:eastAsia="Arial" w:hAnsi="Arial"/>
          <w:sz w:val="15"/>
          <w:szCs w:val="15"/>
          <w:i w:val="1"/>
          <w:iCs w:val="1"/>
          <w:color w:val="auto"/>
        </w:rPr>
        <w:t xml:space="preserve"> </w:t>
      </w:r>
      <w:r>
        <w:rPr>
          <w:rFonts w:ascii="Arial" w:cs="Arial" w:eastAsia="Arial" w:hAnsi="Arial"/>
          <w:sz w:val="15"/>
          <w:szCs w:val="15"/>
          <w:color w:val="auto"/>
        </w:rPr>
        <w:t>available for issuance under the 2016 ESPP will be annually increased on January 1 of each calendar year beginning in 2017 and ending in and including 2026, by an amount equal to the least of (A) 1% of the shares outstanding on the final day of the immediately preceding calendar year and (B) such smaller number of shares as is determined by our board of directors, provided that no more than 1,903,846 shares of our common stock may be issued under the 2016 ESPP. The foregoing numbers are subject to adjustment in certain events, as described below.</w:t>
      </w:r>
    </w:p>
    <w:p>
      <w:pPr>
        <w:spacing w:after="0" w:line="167"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Our board of directors or a committee of our board of directors has authority to interpret the terms of the 2016 ESPP and determine eligibility of participants. The compensation committee will be the initial administrator of the 2016 ESPP.</w:t>
      </w:r>
    </w:p>
    <w:p>
      <w:pPr>
        <w:spacing w:after="0" w:line="151"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Our employees are eligible to participate in the 2016 ESPP if they are customarily employed by us or a participating subsidiary for more than 20 hours per week and more than</w:t>
      </w:r>
      <w:r>
        <w:rPr>
          <w:rFonts w:ascii="Arial" w:cs="Arial" w:eastAsia="Arial" w:hAnsi="Arial"/>
          <w:sz w:val="14"/>
          <w:szCs w:val="14"/>
          <w:i w:val="1"/>
          <w:iCs w:val="1"/>
          <w:color w:val="auto"/>
        </w:rPr>
        <w:t xml:space="preserve"> </w:t>
      </w:r>
      <w:r>
        <w:rPr>
          <w:rFonts w:ascii="Arial" w:cs="Arial" w:eastAsia="Arial" w:hAnsi="Arial"/>
          <w:sz w:val="14"/>
          <w:szCs w:val="14"/>
          <w:color w:val="auto"/>
        </w:rPr>
        <w:t>five months in any calendar year. However, an employee may not be granted rights to purchase stock under our 2016 ESPP if such employee, immediately after the grant, would own (directly or through attribution) stock possessing 5% or more of the total combined voting power or value of all classes of our common or other class of stock.</w:t>
      </w:r>
    </w:p>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i w:val="1"/>
          <w:iCs w:val="1"/>
          <w:color w:val="auto"/>
        </w:rPr>
        <w:t xml:space="preserve">Grant of rights. </w:t>
      </w:r>
      <w:r>
        <w:rPr>
          <w:rFonts w:ascii="Arial" w:cs="Arial" w:eastAsia="Arial" w:hAnsi="Arial"/>
          <w:sz w:val="14"/>
          <w:szCs w:val="14"/>
          <w:color w:val="auto"/>
        </w:rPr>
        <w:t>The 2016 ESPP is intended to qualify under Section 423 of the Code and stock will be offered under the 2016 ESPP during offering periods. The length of the offering</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under the 2016 ESPP will be determined by the plan administrator and may be up to 27 months long. Employee payroll deductions will be used to purchase shares on each purchase date during an offering period. The purchase dates for each offering period will be the final trading day in the offering period. Offering periods under the 2016 ESPP will commence when determined by the plan administrator. The plan administrator may, in its discretion, modify the terms of future offering periods.</w:t>
      </w:r>
    </w:p>
    <w:p>
      <w:pPr>
        <w:spacing w:after="0" w:line="14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2016 ESPP permits participants to purchase common stock through payroll deductions of up to 25% of their eligible compensation, which includes a participant's gross base compensation for services to us, including overtime payments and excluding sales commissions, incentive compensation, bonuses, expense reimbursements, fringe benefits and other special payments. The plan administrator will establish a maximum number of shares that may be purchased by a participant during any offering period, which, in the absence of a contrary designation, will be 6,410 shares. In addition, no employee will be permitted to accrue the right to purchase stock under the 2016 ESPP at a rate in excess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3" w:name="page194"/>
    <w:bookmarkEnd w:id="193"/>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$25,000 worth of shares during any calendar year during which such a purchase right is outstanding (based on the fair market value per share of our common stock as of the first day of the offering period).</w:t>
      </w:r>
    </w:p>
    <w:p>
      <w:pPr>
        <w:spacing w:after="0" w:line="151"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On the first trading day of each offering period, each participant will automatically be granted an option to purchase shares of our common stock. The option will expire at the end of the applicable offering period, and will be exercised at that time to the extent of the payroll deductions accumulated during the offering period. The purchase price of the shares, in the absence of a contrary designation, will be 85% of the lower of the fair market value of our common stock on the first trading day of the offering period or on the purchase date, which will be the final trading day of the offering period. Participants may voluntarily end their participation in the 2016 ESPP at any time at least one week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A participant may not transfer rights granted under the 2016 ESPP other than by will or the laws of descent and distribution.</w:t>
      </w:r>
    </w:p>
    <w:p>
      <w:pPr>
        <w:spacing w:after="0" w:line="198" w:lineRule="exact"/>
        <w:rPr>
          <w:sz w:val="20"/>
          <w:szCs w:val="20"/>
          <w:color w:val="auto"/>
        </w:rPr>
      </w:pPr>
    </w:p>
    <w:p>
      <w:pPr>
        <w:ind w:left="7" w:right="80"/>
        <w:spacing w:after="0" w:line="299" w:lineRule="auto"/>
        <w:rPr>
          <w:sz w:val="20"/>
          <w:szCs w:val="20"/>
          <w:color w:val="auto"/>
        </w:rPr>
      </w:pPr>
      <w:r>
        <w:rPr>
          <w:rFonts w:ascii="Arial" w:cs="Arial" w:eastAsia="Arial" w:hAnsi="Arial"/>
          <w:sz w:val="13"/>
          <w:szCs w:val="13"/>
          <w:i w:val="1"/>
          <w:iCs w:val="1"/>
          <w:color w:val="auto"/>
        </w:rPr>
        <w:t xml:space="preserve">Certain transactions. </w:t>
      </w:r>
      <w:r>
        <w:rPr>
          <w:rFonts w:ascii="Arial" w:cs="Arial" w:eastAsia="Arial" w:hAnsi="Arial"/>
          <w:sz w:val="13"/>
          <w:szCs w:val="13"/>
          <w:color w:val="auto"/>
        </w:rPr>
        <w:t>In the event of certain non-reciprocal transactions or events affecting our common stock known as "equity restructurings," the plan administrator will make equitable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to the 2016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w:t>
      </w:r>
    </w:p>
    <w:p>
      <w:pPr>
        <w:spacing w:after="0" w:line="1" w:lineRule="exact"/>
        <w:rPr>
          <w:sz w:val="20"/>
          <w:szCs w:val="20"/>
          <w:color w:val="auto"/>
        </w:rPr>
      </w:pPr>
    </w:p>
    <w:p>
      <w:pPr>
        <w:ind w:left="7" w:right="200" w:hanging="7"/>
        <w:spacing w:after="0" w:line="275" w:lineRule="auto"/>
        <w:tabs>
          <w:tab w:leader="none" w:pos="221"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56"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i w:val="1"/>
          <w:iCs w:val="1"/>
          <w:color w:val="auto"/>
        </w:rPr>
        <w:t xml:space="preserve">Plan amendment. </w:t>
      </w:r>
      <w:r>
        <w:rPr>
          <w:rFonts w:ascii="Arial" w:cs="Arial" w:eastAsia="Arial" w:hAnsi="Arial"/>
          <w:sz w:val="15"/>
          <w:szCs w:val="15"/>
          <w:color w:val="auto"/>
        </w:rPr>
        <w:t>The plan administrator may amend, suspend or terminate the 2016 ESPP at any time. However, stockholder approval of any amendment to the 2016 ESPP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obtained for any amendment which increases the aggregate number or changes the type of shares that may be sold pursuant to rights under the 2016 ESPP, changes the corporations or classes of corporations whose employees are eligible to participate in the 2016 ESPP or changes the 2016 ESPP in any manner that would cause the 2016 ESPP to no longer be an employee stock purchase plan within the meaning of Section 423(b) of the Code.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2008 Plan</w:t>
      </w:r>
    </w:p>
    <w:p>
      <w:pPr>
        <w:spacing w:after="0" w:line="195" w:lineRule="exact"/>
        <w:rPr>
          <w:sz w:val="20"/>
          <w:szCs w:val="20"/>
          <w:color w:val="auto"/>
        </w:rPr>
      </w:pPr>
    </w:p>
    <w:p>
      <w:pPr>
        <w:ind w:left="7" w:right="500"/>
        <w:spacing w:after="0" w:line="319" w:lineRule="auto"/>
        <w:rPr>
          <w:sz w:val="20"/>
          <w:szCs w:val="20"/>
          <w:color w:val="auto"/>
        </w:rPr>
      </w:pPr>
      <w:r>
        <w:rPr>
          <w:rFonts w:ascii="Arial" w:cs="Arial" w:eastAsia="Arial" w:hAnsi="Arial"/>
          <w:sz w:val="14"/>
          <w:szCs w:val="14"/>
          <w:color w:val="auto"/>
        </w:rPr>
        <w:t>Our board of directors and stockholders have approved the 2008 Plan, under which we may grant stock options and restricted stock awards to employees, directors and consultants or advisors of our company or its affiliates. We had reserved a total of 2,213,412 shares of our common stock for issuance under the 2008 Plan as of June 8, 2016.</w:t>
      </w:r>
    </w:p>
    <w:p>
      <w:pPr>
        <w:spacing w:after="0" w:line="128"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We will not make any further grants under the 2008 Plan. However, the 2008 Plan will continue to govern the terms and conditions of the outstanding awards granted under it. Shares of our common stock subject to awards granted under the 2008 Plan that are forfeited, lapse unexercised or are settled in cash and which following the effective date of the 2016 Plan are not issued under the 2008 Plan will be available for issuance under the 2016 Plan.</w:t>
      </w:r>
    </w:p>
    <w:p>
      <w:pPr>
        <w:spacing w:after="0" w:line="15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Our board of directors administers the 2008 Plan and has the authority to issue awards under the 2008 Plan, to interpret the 2008 Plan and awards outstanding thereunder,</w:t>
      </w:r>
      <w:r>
        <w:rPr>
          <w:rFonts w:ascii="Arial" w:cs="Arial" w:eastAsia="Arial" w:hAnsi="Arial"/>
          <w:sz w:val="15"/>
          <w:szCs w:val="15"/>
          <w:i w:val="1"/>
          <w:iCs w:val="1"/>
          <w:color w:val="auto"/>
        </w:rPr>
        <w:t xml:space="preserve"> </w:t>
      </w:r>
      <w:r>
        <w:rPr>
          <w:rFonts w:ascii="Arial" w:cs="Arial" w:eastAsia="Arial" w:hAnsi="Arial"/>
          <w:sz w:val="15"/>
          <w:szCs w:val="15"/>
          <w:color w:val="auto"/>
        </w:rPr>
        <w:t>to prescribe, amend and rescind rules and regulations relating to the 2008 Plan, to determine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4" w:name="page195"/>
    <w:bookmarkEnd w:id="19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and provisions of award agreements under the 2008 Plan, to correct any defect, omission or inconsistency in the 2008 Plan or in any award agreement, and to make all other determinations in the judgment of the board of directors that are necessary and desirable for the administration of the 2008 Plan. The board of directors may delegate its authority under the 2008 Plan to a committee of the board. Following the effectiveness of this offering, we expect that the board of directors will delegate its general administrative authority under the 2008 Plan to its Compensation Committee.</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2008 Plan provides for the grant of non-qualified and incentive stock options and restricted stock awards to employees, directors and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except that stock options intended to qualify as incentive stock options under the Code may only be granted to employees. As of the date of this prospectus, awards of stock options and restricted stock are outstanding under the 2008 Plan.</w:t>
      </w:r>
    </w:p>
    <w:p>
      <w:pPr>
        <w:spacing w:after="0" w:line="159"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If certain changes are made in, or events occur with respect to, our common stock, the 2008 Plan and outstanding awards will be appropriately adjusted in the class,</w:t>
      </w:r>
      <w:r>
        <w:rPr>
          <w:rFonts w:ascii="Arial" w:cs="Arial" w:eastAsia="Arial" w:hAnsi="Arial"/>
          <w:sz w:val="14"/>
          <w:szCs w:val="14"/>
          <w:i w:val="1"/>
          <w:iCs w:val="1"/>
          <w:color w:val="auto"/>
        </w:rPr>
        <w:t xml:space="preserve"> </w:t>
      </w:r>
      <w:r>
        <w:rPr>
          <w:rFonts w:ascii="Arial" w:cs="Arial" w:eastAsia="Arial" w:hAnsi="Arial"/>
          <w:sz w:val="14"/>
          <w:szCs w:val="14"/>
          <w:color w:val="auto"/>
        </w:rPr>
        <w:t>number and, as applicable, exercise price of securities as determined by the board of directors. In the event of certain corporate transactions, including a consolidation, merger, sale of all or substantially all of our assets or a liquidation, our board or the board of directors of any corporation assuming the obligations under the 2008 Plan, may, in its discretion, take any one or more of the following actions, as to some or all options outstanding under the 2008 Plan (and need not take the same action as to each such option): (i) provide for the assumption or substitution of the option; (ii) upon written notice to the optionee, provide for the termination of all unexercised options unless exercised within a specified period; (iii) in the event of a merger in which stockholders receive cash payment for shares surrendered, make or provide for a cash payment to optionees based on the difference between (A) the merger consideration times the number of shares subject to outstanding options and (B) the aggregate exercise price of the outstanding options, in exchange for termination of such options; and (iv) provide that all outstanding options shall become exercisable in part or in full immediately prior to such event. With respect to shares of restricted stock, any securities, cash or other property received in exchange for such shares shall continue to be governed by the provisions of any restricted stock agreement pursuant to which they were issued.</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i w:val="1"/>
          <w:iCs w:val="1"/>
          <w:color w:val="auto"/>
        </w:rPr>
        <w:t xml:space="preserve">Amendment and termination. </w:t>
      </w:r>
      <w:r>
        <w:rPr>
          <w:rFonts w:ascii="Arial" w:cs="Arial" w:eastAsia="Arial" w:hAnsi="Arial"/>
          <w:sz w:val="15"/>
          <w:szCs w:val="15"/>
          <w:color w:val="auto"/>
        </w:rPr>
        <w:t>The board of directors may terminate, modify or amend the 2008 Plan from time to time, provided that any amendment or modification may not adversely</w:t>
      </w:r>
      <w:r>
        <w:rPr>
          <w:rFonts w:ascii="Arial" w:cs="Arial" w:eastAsia="Arial" w:hAnsi="Arial"/>
          <w:sz w:val="15"/>
          <w:szCs w:val="15"/>
          <w:i w:val="1"/>
          <w:iCs w:val="1"/>
          <w:color w:val="auto"/>
        </w:rPr>
        <w:t xml:space="preserve"> </w:t>
      </w:r>
      <w:r>
        <w:rPr>
          <w:rFonts w:ascii="Arial" w:cs="Arial" w:eastAsia="Arial" w:hAnsi="Arial"/>
          <w:sz w:val="15"/>
          <w:szCs w:val="15"/>
          <w:color w:val="auto"/>
        </w:rPr>
        <w:t>affect the rights of a holder of an outstanding award without such holder's consent. The board of directors may amend or modify the 2008 Plan and any outstanding incentive stock options to the extent necessary to qualify any or all such options for favorable federal income tax treatment.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While certain of our non-employee directors receive consulting fees under the terms of consulting agreements with our company, we have not historically paid cash fees to our non-employee directors for their service on our board but have, from time to time, granted stock options to non-employee directors and founders to compensate them for their board service. Dr. Cautreels, our President and Chief Executive Officer, also serves on our board of directors but receives no additional compensation for this service.</w:t>
      </w:r>
    </w:p>
    <w:p>
      <w:pPr>
        <w:spacing w:after="0" w:line="159"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Other than as set forth in the table below with respect to amounts earned under consulting agreements with certain directors, our non-employee directors did not receive any compensation for their service on our board of directors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5" w:name="page196"/>
    <w:bookmarkEnd w:id="195"/>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2015 DIRECTOR COMPENSATION TABLE</w:t>
      </w:r>
    </w:p>
    <w:p>
      <w:pPr>
        <w:spacing w:after="0" w:line="19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Fees earned or</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Option awards</w:t>
            </w:r>
          </w:p>
        </w:tc>
        <w:tc>
          <w:tcPr>
            <w:tcW w:w="1080" w:type="dxa"/>
            <w:vAlign w:val="bottom"/>
          </w:tcPr>
          <w:p>
            <w:pPr>
              <w:jc w:val="center"/>
              <w:ind w:right="8"/>
              <w:spacing w:after="0"/>
              <w:rPr>
                <w:sz w:val="20"/>
                <w:szCs w:val="20"/>
                <w:color w:val="auto"/>
              </w:rPr>
            </w:pPr>
            <w:r>
              <w:rPr>
                <w:rFonts w:ascii="Arial" w:cs="Arial" w:eastAsia="Arial" w:hAnsi="Arial"/>
                <w:sz w:val="12"/>
                <w:szCs w:val="12"/>
                <w:b w:val="1"/>
                <w:bCs w:val="1"/>
                <w:color w:val="auto"/>
              </w:rPr>
              <w:t>compensation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paid in cash ($)</w:t>
            </w:r>
          </w:p>
        </w:tc>
        <w:tc>
          <w:tcPr>
            <w:tcW w:w="1100" w:type="dxa"/>
            <w:vAlign w:val="bottom"/>
          </w:tcPr>
          <w:p>
            <w:pPr>
              <w:ind w:left="440"/>
              <w:spacing w:after="0"/>
              <w:rPr>
                <w:sz w:val="20"/>
                <w:szCs w:val="20"/>
                <w:color w:val="auto"/>
              </w:rPr>
            </w:pPr>
            <w:r>
              <w:rPr>
                <w:rFonts w:ascii="Arial" w:cs="Arial" w:eastAsia="Arial" w:hAnsi="Arial"/>
                <w:sz w:val="12"/>
                <w:szCs w:val="12"/>
                <w:b w:val="1"/>
                <w:bCs w:val="1"/>
                <w:color w:val="auto"/>
              </w:rPr>
              <w:t>($)</w:t>
            </w:r>
          </w:p>
        </w:tc>
        <w:tc>
          <w:tcPr>
            <w:tcW w:w="1080" w:type="dxa"/>
            <w:vAlign w:val="bottom"/>
          </w:tcPr>
          <w:p>
            <w:pPr>
              <w:jc w:val="center"/>
              <w:ind w:right="28"/>
              <w:spacing w:after="0"/>
              <w:rPr>
                <w:sz w:val="20"/>
                <w:szCs w:val="20"/>
                <w:color w:val="auto"/>
              </w:rPr>
            </w:pPr>
            <w:r>
              <w:rPr>
                <w:rFonts w:ascii="Arial" w:cs="Arial" w:eastAsia="Arial" w:hAnsi="Arial"/>
                <w:sz w:val="12"/>
                <w:szCs w:val="12"/>
                <w:b w:val="1"/>
                <w:bCs w:val="1"/>
                <w:color w:val="auto"/>
              </w:rPr>
              <w:t>($)(1)</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 ($)</w:t>
            </w:r>
          </w:p>
        </w:tc>
      </w:tr>
      <w:tr>
        <w:trPr>
          <w:trHeight w:val="177"/>
        </w:trPr>
        <w:tc>
          <w:tcPr>
            <w:tcW w:w="20" w:type="dxa"/>
            <w:vAlign w:val="bottom"/>
          </w:tcPr>
          <w:p>
            <w:pPr>
              <w:spacing w:after="0"/>
              <w:rPr>
                <w:sz w:val="15"/>
                <w:szCs w:val="15"/>
                <w:color w:val="auto"/>
              </w:rPr>
            </w:pPr>
          </w:p>
        </w:tc>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Omid Farokhzad, M.D.</w:t>
            </w:r>
          </w:p>
        </w:tc>
        <w:tc>
          <w:tcPr>
            <w:tcW w:w="2440" w:type="dxa"/>
            <w:vAlign w:val="bottom"/>
            <w:tcBorders>
              <w:top w:val="single" w:sz="8" w:color="auto"/>
            </w:tcBorders>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147,000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Barton Hutt J.D., L.L.B., L.L.M</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Langer, Sc.D.(2)</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75,000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Amir Nashat, Sc.D.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Leysan Shaydullina, M.D.(2)(4)</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M.D.(2)</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36,000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36,000</w:t>
            </w:r>
          </w:p>
        </w:tc>
        <w:tc>
          <w:tcPr>
            <w:tcW w:w="1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Yurii Udaltsov, Cand. Sc.(3)</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65" w:lineRule="exact"/>
        <w:rPr>
          <w:sz w:val="20"/>
          <w:szCs w:val="20"/>
          <w:color w:val="auto"/>
        </w:rPr>
      </w:pPr>
    </w:p>
    <w:p>
      <w:pPr>
        <w:ind w:left="1607" w:right="380" w:hanging="463"/>
        <w:spacing w:after="0" w:line="238" w:lineRule="auto"/>
        <w:tabs>
          <w:tab w:leader="none" w:pos="1607" w:val="left"/>
        </w:tabs>
        <w:numPr>
          <w:ilvl w:val="0"/>
          <w:numId w:val="113"/>
        </w:numPr>
        <w:rPr>
          <w:rFonts w:ascii="Arial" w:cs="Arial" w:eastAsia="Arial" w:hAnsi="Arial"/>
          <w:sz w:val="12"/>
          <w:szCs w:val="12"/>
          <w:color w:val="auto"/>
        </w:rPr>
      </w:pPr>
      <w:r>
        <w:rPr>
          <w:rFonts w:ascii="Arial" w:cs="Arial" w:eastAsia="Arial" w:hAnsi="Arial"/>
          <w:sz w:val="12"/>
          <w:szCs w:val="12"/>
          <w:color w:val="auto"/>
        </w:rPr>
        <w:t>Represents compensation earned in 2015 under the consulting agreements with the company and, with respect to Dr. Farokhzad, an additional $72,000 pursuant to an unwritten arrangement. For additional information regarding these agreements, see "Certain relationships and related party transactions."</w:t>
      </w:r>
    </w:p>
    <w:p>
      <w:pPr>
        <w:spacing w:after="0" w:line="96" w:lineRule="exact"/>
        <w:rPr>
          <w:rFonts w:ascii="Arial" w:cs="Arial" w:eastAsia="Arial" w:hAnsi="Arial"/>
          <w:sz w:val="12"/>
          <w:szCs w:val="12"/>
          <w:color w:val="auto"/>
        </w:rPr>
      </w:pPr>
    </w:p>
    <w:p>
      <w:pPr>
        <w:ind w:left="1607" w:right="80" w:hanging="463"/>
        <w:spacing w:after="0" w:line="238" w:lineRule="auto"/>
        <w:tabs>
          <w:tab w:leader="none" w:pos="1607" w:val="left"/>
        </w:tabs>
        <w:numPr>
          <w:ilvl w:val="0"/>
          <w:numId w:val="113"/>
        </w:numPr>
        <w:rPr>
          <w:rFonts w:ascii="Arial" w:cs="Arial" w:eastAsia="Arial" w:hAnsi="Arial"/>
          <w:sz w:val="12"/>
          <w:szCs w:val="12"/>
          <w:color w:val="auto"/>
        </w:rPr>
      </w:pPr>
      <w:r>
        <w:rPr>
          <w:rFonts w:ascii="Arial" w:cs="Arial" w:eastAsia="Arial" w:hAnsi="Arial"/>
          <w:sz w:val="12"/>
          <w:szCs w:val="12"/>
          <w:color w:val="auto"/>
        </w:rPr>
        <w:t>Drs. Langer and Siber resigned from our board of directors effective immediately prior to the effectiveness of the registration statement of which this prospectus forms a part. Dr. Shaydullina will resign from our board of directors contingent upon, and effective immediately prior to, the closing of this offering.</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113"/>
        </w:numPr>
        <w:rPr>
          <w:rFonts w:ascii="Arial" w:cs="Arial" w:eastAsia="Arial" w:hAnsi="Arial"/>
          <w:sz w:val="12"/>
          <w:szCs w:val="12"/>
          <w:color w:val="auto"/>
        </w:rPr>
      </w:pPr>
      <w:r>
        <w:rPr>
          <w:rFonts w:ascii="Arial" w:cs="Arial" w:eastAsia="Arial" w:hAnsi="Arial"/>
          <w:sz w:val="12"/>
          <w:szCs w:val="12"/>
          <w:color w:val="auto"/>
        </w:rPr>
        <w:t>Yurii Udaltsov resigned from our board of directors effective in April 2015.</w:t>
      </w:r>
    </w:p>
    <w:p>
      <w:pPr>
        <w:spacing w:after="0" w:line="105" w:lineRule="exact"/>
        <w:rPr>
          <w:rFonts w:ascii="Arial" w:cs="Arial" w:eastAsia="Arial" w:hAnsi="Arial"/>
          <w:sz w:val="12"/>
          <w:szCs w:val="12"/>
          <w:color w:val="auto"/>
        </w:rPr>
      </w:pPr>
    </w:p>
    <w:p>
      <w:pPr>
        <w:ind w:left="1607" w:hanging="463"/>
        <w:spacing w:after="0"/>
        <w:tabs>
          <w:tab w:leader="none" w:pos="1607" w:val="left"/>
        </w:tabs>
        <w:numPr>
          <w:ilvl w:val="0"/>
          <w:numId w:val="113"/>
        </w:numPr>
        <w:rPr>
          <w:rFonts w:ascii="Arial" w:cs="Arial" w:eastAsia="Arial" w:hAnsi="Arial"/>
          <w:sz w:val="12"/>
          <w:szCs w:val="12"/>
          <w:color w:val="auto"/>
        </w:rPr>
      </w:pPr>
      <w:r>
        <w:rPr>
          <w:rFonts w:ascii="Arial" w:cs="Arial" w:eastAsia="Arial" w:hAnsi="Arial"/>
          <w:sz w:val="12"/>
          <w:szCs w:val="12"/>
          <w:color w:val="auto"/>
        </w:rPr>
        <w:t>Dr. Shaydullina joined our board of directors in April 2015.</w:t>
      </w:r>
    </w:p>
    <w:p>
      <w:pPr>
        <w:spacing w:after="0" w:line="177" w:lineRule="exact"/>
        <w:rPr>
          <w:sz w:val="20"/>
          <w:szCs w:val="20"/>
          <w:color w:val="auto"/>
        </w:rPr>
      </w:pPr>
    </w:p>
    <w:p>
      <w:pPr>
        <w:ind w:left="7" w:right="280"/>
        <w:spacing w:after="0" w:line="282" w:lineRule="auto"/>
        <w:rPr>
          <w:sz w:val="20"/>
          <w:szCs w:val="20"/>
          <w:color w:val="auto"/>
        </w:rPr>
      </w:pPr>
      <w:r>
        <w:rPr>
          <w:rFonts w:ascii="Arial" w:cs="Arial" w:eastAsia="Arial" w:hAnsi="Arial"/>
          <w:sz w:val="15"/>
          <w:szCs w:val="15"/>
          <w:color w:val="auto"/>
        </w:rPr>
        <w:t>The table below shows the aggregate number of option awards (exercisable and unexercisable) held by each non-employee director as of December 31, 2015. None of our non-employee directors held stock awards in our company as of that date.</w:t>
      </w:r>
    </w:p>
    <w:p>
      <w:pPr>
        <w:spacing w:after="0" w:line="148" w:lineRule="exact"/>
        <w:rPr>
          <w:sz w:val="20"/>
          <w:szCs w:val="20"/>
          <w:color w:val="auto"/>
        </w:rPr>
      </w:pPr>
    </w:p>
    <w:tbl>
      <w:tblPr>
        <w:tblLayout w:type="fixed"/>
        <w:tblInd w:w="1707"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540" w:type="dxa"/>
            <w:vAlign w:val="bottom"/>
            <w:gridSpan w:val="2"/>
          </w:tcPr>
          <w:p>
            <w:pPr>
              <w:ind w:left="2180"/>
              <w:spacing w:after="0"/>
              <w:rPr>
                <w:sz w:val="20"/>
                <w:szCs w:val="20"/>
                <w:color w:val="auto"/>
              </w:rPr>
            </w:pPr>
            <w:r>
              <w:rPr>
                <w:rFonts w:ascii="Arial" w:cs="Arial" w:eastAsia="Arial" w:hAnsi="Arial"/>
                <w:sz w:val="12"/>
                <w:szCs w:val="12"/>
                <w:b w:val="1"/>
                <w:bCs w:val="1"/>
                <w:color w:val="auto"/>
              </w:rPr>
              <w:t>Options outstanding</w:t>
            </w:r>
          </w:p>
        </w:tc>
      </w:tr>
      <w:tr>
        <w:trPr>
          <w:trHeight w:val="149"/>
        </w:trPr>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Name</w:t>
            </w:r>
          </w:p>
        </w:tc>
        <w:tc>
          <w:tcPr>
            <w:tcW w:w="34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at fiscal year end</w:t>
            </w:r>
          </w:p>
        </w:tc>
        <w:tc>
          <w:tcPr>
            <w:tcW w:w="120" w:type="dxa"/>
            <w:vAlign w:val="bottom"/>
          </w:tcPr>
          <w:p>
            <w:pPr>
              <w:spacing w:after="0"/>
              <w:rPr>
                <w:sz w:val="12"/>
                <w:szCs w:val="12"/>
                <w:color w:val="auto"/>
              </w:rPr>
            </w:pPr>
          </w:p>
        </w:tc>
      </w:tr>
      <w:tr>
        <w:trPr>
          <w:trHeight w:val="177"/>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Omid Farokhzad, M.D.</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61,913</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Carl Gordon, Ph.D.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Peter Barton Hutt J.D., L.L.B., L.L.M</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44,871</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Edwin M. Kania</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Robert Langer, Sc.D.(1)</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73,451</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Amir Nashat, Sc.D.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Aymeric Sallin, M.S.</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Leysan Shaydullina, M.D.(1)</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George Siber, M.D.(1)</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31,574</w:t>
            </w:r>
          </w:p>
        </w:tc>
      </w:tr>
      <w:tr>
        <w:trPr>
          <w:trHeight w:val="190"/>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Yurii Udaltsov, Cand. Sc.</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88"/>
        </w:trPr>
        <w:tc>
          <w:tcPr>
            <w:tcW w:w="82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65" w:lineRule="exact"/>
        <w:rPr>
          <w:sz w:val="20"/>
          <w:szCs w:val="20"/>
          <w:color w:val="auto"/>
        </w:rPr>
      </w:pPr>
    </w:p>
    <w:p>
      <w:pPr>
        <w:ind w:left="2187" w:right="260" w:hanging="471"/>
        <w:spacing w:after="0" w:line="238" w:lineRule="auto"/>
        <w:tabs>
          <w:tab w:leader="none" w:pos="2187" w:val="left"/>
        </w:tabs>
        <w:numPr>
          <w:ilvl w:val="0"/>
          <w:numId w:val="114"/>
        </w:numPr>
        <w:rPr>
          <w:rFonts w:ascii="Arial" w:cs="Arial" w:eastAsia="Arial" w:hAnsi="Arial"/>
          <w:sz w:val="12"/>
          <w:szCs w:val="12"/>
          <w:color w:val="auto"/>
        </w:rPr>
      </w:pPr>
      <w:r>
        <w:rPr>
          <w:rFonts w:ascii="Arial" w:cs="Arial" w:eastAsia="Arial" w:hAnsi="Arial"/>
          <w:sz w:val="12"/>
          <w:szCs w:val="12"/>
          <w:color w:val="auto"/>
        </w:rPr>
        <w:t>Drs. Langer and Siber resigned from our board of directors effective immediately prior to the effectiveness of the registration statement of which this prospectus forms a part. Dr. Shaydullina will resign from our board of directors contingent upon, and effective immediately prior to, the closing of this offering.</w:t>
      </w:r>
    </w:p>
    <w:p>
      <w:pPr>
        <w:spacing w:after="0" w:line="168" w:lineRule="exact"/>
        <w:rPr>
          <w:sz w:val="20"/>
          <w:szCs w:val="20"/>
          <w:color w:val="auto"/>
        </w:rPr>
      </w:pPr>
    </w:p>
    <w:p>
      <w:pPr>
        <w:ind w:left="7" w:right="240"/>
        <w:spacing w:after="0" w:line="282" w:lineRule="auto"/>
        <w:rPr>
          <w:sz w:val="20"/>
          <w:szCs w:val="20"/>
          <w:color w:val="auto"/>
        </w:rPr>
      </w:pPr>
      <w:r>
        <w:rPr>
          <w:rFonts w:ascii="Arial" w:cs="Arial" w:eastAsia="Arial" w:hAnsi="Arial"/>
          <w:sz w:val="15"/>
          <w:szCs w:val="15"/>
          <w:color w:val="auto"/>
        </w:rPr>
        <w:t>We adopted and our stockholders approved a compensation program for our non-employee directors under which each non-employee director will receive the following amounts for their services on our board of directors:</w:t>
      </w:r>
    </w:p>
    <w:p>
      <w:pPr>
        <w:spacing w:after="0" w:line="162" w:lineRule="exact"/>
        <w:rPr>
          <w:sz w:val="20"/>
          <w:szCs w:val="20"/>
          <w:color w:val="auto"/>
        </w:rPr>
      </w:pPr>
    </w:p>
    <w:p>
      <w:pPr>
        <w:ind w:left="467" w:hanging="467"/>
        <w:spacing w:after="0"/>
        <w:tabs>
          <w:tab w:leader="none" w:pos="467"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 option to purchase 12,820 shares of our common stock upon the director's initial election or appointment to our board of directors that occurs after our initial public offering,</w:t>
      </w:r>
    </w:p>
    <w:p>
      <w:pPr>
        <w:spacing w:after="0" w:line="232" w:lineRule="exact"/>
        <w:rPr>
          <w:rFonts w:ascii="Arial" w:cs="Arial" w:eastAsia="Arial" w:hAnsi="Arial"/>
          <w:sz w:val="14"/>
          <w:szCs w:val="14"/>
          <w:color w:val="auto"/>
        </w:rPr>
      </w:pPr>
    </w:p>
    <w:p>
      <w:pPr>
        <w:ind w:left="467" w:right="20" w:hanging="467"/>
        <w:spacing w:after="0" w:line="282" w:lineRule="auto"/>
        <w:tabs>
          <w:tab w:leader="none" w:pos="46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if the director has served on our board of directors for at least six months as of the date of an annual meeting of stockholders, an option to purchase 6,410 shares of our common stock on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6" w:name="page197"/>
    <w:bookmarkEnd w:id="196"/>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an annual director fee of $35,000,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if the director serves on a committee of our board of directors, an additional annual fee as follows:</w:t>
      </w:r>
    </w:p>
    <w:p>
      <w:pPr>
        <w:spacing w:after="0" w:line="395" w:lineRule="exact"/>
        <w:rPr>
          <w:rFonts w:ascii="Arial" w:cs="Arial" w:eastAsia="Arial" w:hAnsi="Arial"/>
          <w:sz w:val="15"/>
          <w:szCs w:val="15"/>
          <w:color w:val="auto"/>
        </w:rPr>
      </w:pPr>
    </w:p>
    <w:p>
      <w:pPr>
        <w:ind w:left="1387" w:hanging="461"/>
        <w:spacing w:after="0"/>
        <w:tabs>
          <w:tab w:leader="none" w:pos="1387" w:val="left"/>
        </w:tabs>
        <w:numPr>
          <w:ilvl w:val="1"/>
          <w:numId w:val="116"/>
        </w:numPr>
        <w:rPr>
          <w:rFonts w:ascii="Arial" w:cs="Arial" w:eastAsia="Arial" w:hAnsi="Arial"/>
          <w:sz w:val="15"/>
          <w:szCs w:val="15"/>
          <w:color w:val="auto"/>
        </w:rPr>
      </w:pPr>
      <w:r>
        <w:rPr>
          <w:rFonts w:ascii="Arial" w:cs="Arial" w:eastAsia="Arial" w:hAnsi="Arial"/>
          <w:sz w:val="15"/>
          <w:szCs w:val="15"/>
          <w:color w:val="auto"/>
        </w:rPr>
        <w:t>chairman of the board or lead independent director, $15,000,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6"/>
        </w:numPr>
        <w:rPr>
          <w:rFonts w:ascii="Arial" w:cs="Arial" w:eastAsia="Arial" w:hAnsi="Arial"/>
          <w:sz w:val="15"/>
          <w:szCs w:val="15"/>
          <w:color w:val="auto"/>
        </w:rPr>
      </w:pPr>
      <w:r>
        <w:rPr>
          <w:rFonts w:ascii="Arial" w:cs="Arial" w:eastAsia="Arial" w:hAnsi="Arial"/>
          <w:sz w:val="15"/>
          <w:szCs w:val="15"/>
          <w:color w:val="auto"/>
        </w:rPr>
        <w:t>chairman of the audit committee, $15,000,</w:t>
      </w:r>
    </w:p>
    <w:p>
      <w:pPr>
        <w:spacing w:after="0" w:line="221" w:lineRule="exact"/>
        <w:rPr>
          <w:rFonts w:ascii="Arial" w:cs="Arial" w:eastAsia="Arial" w:hAnsi="Arial"/>
          <w:sz w:val="15"/>
          <w:szCs w:val="15"/>
          <w:color w:val="auto"/>
        </w:rPr>
      </w:pPr>
    </w:p>
    <w:p>
      <w:pPr>
        <w:ind w:left="1387" w:hanging="461"/>
        <w:spacing w:after="0"/>
        <w:tabs>
          <w:tab w:leader="none" w:pos="1387" w:val="left"/>
        </w:tabs>
        <w:numPr>
          <w:ilvl w:val="1"/>
          <w:numId w:val="116"/>
        </w:numPr>
        <w:rPr>
          <w:rFonts w:ascii="Arial" w:cs="Arial" w:eastAsia="Arial" w:hAnsi="Arial"/>
          <w:sz w:val="15"/>
          <w:szCs w:val="15"/>
          <w:color w:val="auto"/>
        </w:rPr>
      </w:pPr>
      <w:r>
        <w:rPr>
          <w:rFonts w:ascii="Arial" w:cs="Arial" w:eastAsia="Arial" w:hAnsi="Arial"/>
          <w:sz w:val="15"/>
          <w:szCs w:val="15"/>
          <w:color w:val="auto"/>
        </w:rPr>
        <w:t>audit committee member other than the chairman, $7,500,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6"/>
        </w:numPr>
        <w:rPr>
          <w:rFonts w:ascii="Arial" w:cs="Arial" w:eastAsia="Arial" w:hAnsi="Arial"/>
          <w:sz w:val="15"/>
          <w:szCs w:val="15"/>
          <w:color w:val="auto"/>
        </w:rPr>
      </w:pPr>
      <w:r>
        <w:rPr>
          <w:rFonts w:ascii="Arial" w:cs="Arial" w:eastAsia="Arial" w:hAnsi="Arial"/>
          <w:sz w:val="15"/>
          <w:szCs w:val="15"/>
          <w:color w:val="auto"/>
        </w:rPr>
        <w:t>chairman of the compensation committee, $10,000,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6"/>
        </w:numPr>
        <w:rPr>
          <w:rFonts w:ascii="Arial" w:cs="Arial" w:eastAsia="Arial" w:hAnsi="Arial"/>
          <w:sz w:val="15"/>
          <w:szCs w:val="15"/>
          <w:color w:val="auto"/>
        </w:rPr>
      </w:pPr>
      <w:r>
        <w:rPr>
          <w:rFonts w:ascii="Arial" w:cs="Arial" w:eastAsia="Arial" w:hAnsi="Arial"/>
          <w:sz w:val="15"/>
          <w:szCs w:val="15"/>
          <w:color w:val="auto"/>
        </w:rPr>
        <w:t>compensation committee member other than the chairman, $5,000,</w:t>
      </w:r>
    </w:p>
    <w:p>
      <w:pPr>
        <w:spacing w:after="0" w:line="221" w:lineRule="exact"/>
        <w:rPr>
          <w:rFonts w:ascii="Arial" w:cs="Arial" w:eastAsia="Arial" w:hAnsi="Arial"/>
          <w:sz w:val="15"/>
          <w:szCs w:val="15"/>
          <w:color w:val="auto"/>
        </w:rPr>
      </w:pPr>
    </w:p>
    <w:p>
      <w:pPr>
        <w:ind w:left="1387" w:hanging="461"/>
        <w:spacing w:after="0"/>
        <w:tabs>
          <w:tab w:leader="none" w:pos="1387" w:val="left"/>
        </w:tabs>
        <w:numPr>
          <w:ilvl w:val="1"/>
          <w:numId w:val="116"/>
        </w:numPr>
        <w:rPr>
          <w:rFonts w:ascii="Arial" w:cs="Arial" w:eastAsia="Arial" w:hAnsi="Arial"/>
          <w:sz w:val="15"/>
          <w:szCs w:val="15"/>
          <w:color w:val="auto"/>
        </w:rPr>
      </w:pPr>
      <w:r>
        <w:rPr>
          <w:rFonts w:ascii="Arial" w:cs="Arial" w:eastAsia="Arial" w:hAnsi="Arial"/>
          <w:sz w:val="15"/>
          <w:szCs w:val="15"/>
          <w:color w:val="auto"/>
        </w:rPr>
        <w:t>chairman of the nominating and corporate governance committee, $7,500, and</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6"/>
        </w:numPr>
        <w:rPr>
          <w:rFonts w:ascii="Arial" w:cs="Arial" w:eastAsia="Arial" w:hAnsi="Arial"/>
          <w:sz w:val="15"/>
          <w:szCs w:val="15"/>
          <w:color w:val="auto"/>
        </w:rPr>
      </w:pPr>
      <w:r>
        <w:rPr>
          <w:rFonts w:ascii="Arial" w:cs="Arial" w:eastAsia="Arial" w:hAnsi="Arial"/>
          <w:sz w:val="15"/>
          <w:szCs w:val="15"/>
          <w:color w:val="auto"/>
        </w:rPr>
        <w:t>nominating and corporate governance committee member other than the chairman, $3,500.</w:t>
      </w:r>
    </w:p>
    <w:p>
      <w:pPr>
        <w:spacing w:after="0" w:line="198"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Stock options granted to our non-employee directors under the program will have an exercise price equal to the fair market value of our common stock on the date of grant and will expire not later than ten years after the date of grant. The stock options granted upon a director's initial election or appointment will vest in substantially equal monthly installments over three years following the date of grant. The stock options granted annually to directors will vest in a single installment on the earlier of the day before the next annual meeting or the first anniversary of the date of grant. In addition, all unvested stock options will vest in full upon the occurrence of a change in control.</w:t>
      </w:r>
    </w:p>
    <w:p>
      <w:pPr>
        <w:spacing w:after="0" w:line="162"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Director fees under the program will be payable in arrears in four equal quarterly installments not later than the fifteenth day following the final day of each calendar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59"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97" w:name="page198"/>
    <w:bookmarkEnd w:id="19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Certain relationships and related person transactions</w:t>
      </w:r>
    </w:p>
    <w:p>
      <w:pPr>
        <w:spacing w:after="0" w:line="183"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following includes a summary of transactions since January 1, 2013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 FINANCINGS AND CONVERTIBLE NOTES FINANCING</w:t>
      </w:r>
    </w:p>
    <w:p>
      <w:pPr>
        <w:spacing w:after="0" w:line="1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i w:val="1"/>
          <w:iCs w:val="1"/>
          <w:color w:val="auto"/>
        </w:rPr>
        <w:t xml:space="preserve">Series D Preferred Stock Financing. </w:t>
      </w:r>
      <w:r>
        <w:rPr>
          <w:rFonts w:ascii="Arial" w:cs="Arial" w:eastAsia="Arial" w:hAnsi="Arial"/>
          <w:sz w:val="15"/>
          <w:szCs w:val="15"/>
          <w:color w:val="auto"/>
        </w:rPr>
        <w:t>Between April 7, 2014 and August 14, 2014, we sold to investors in private placements an aggregate of 3,211,105 shares of series D preferred stock at</w:t>
      </w:r>
      <w:r>
        <w:rPr>
          <w:rFonts w:ascii="Arial" w:cs="Arial" w:eastAsia="Arial" w:hAnsi="Arial"/>
          <w:sz w:val="15"/>
          <w:szCs w:val="15"/>
          <w:i w:val="1"/>
          <w:iCs w:val="1"/>
          <w:color w:val="auto"/>
        </w:rPr>
        <w:t xml:space="preserve"> </w:t>
      </w:r>
      <w:r>
        <w:rPr>
          <w:rFonts w:ascii="Arial" w:cs="Arial" w:eastAsia="Arial" w:hAnsi="Arial"/>
          <w:sz w:val="15"/>
          <w:szCs w:val="15"/>
          <w:color w:val="auto"/>
        </w:rPr>
        <w:t>a purchase price of $4.50 per share, for net aggregate consideration of approximately $14.3 million.</w:t>
      </w:r>
    </w:p>
    <w:p>
      <w:pPr>
        <w:spacing w:after="0" w:line="151" w:lineRule="exact"/>
        <w:rPr>
          <w:sz w:val="20"/>
          <w:szCs w:val="20"/>
          <w:color w:val="auto"/>
        </w:rPr>
      </w:pPr>
    </w:p>
    <w:p>
      <w:pPr>
        <w:jc w:val="both"/>
        <w:ind w:right="180"/>
        <w:spacing w:after="0" w:line="297" w:lineRule="auto"/>
        <w:rPr>
          <w:sz w:val="20"/>
          <w:szCs w:val="20"/>
          <w:color w:val="auto"/>
        </w:rPr>
      </w:pPr>
      <w:r>
        <w:rPr>
          <w:rFonts w:ascii="Arial" w:cs="Arial" w:eastAsia="Arial" w:hAnsi="Arial"/>
          <w:sz w:val="14"/>
          <w:szCs w:val="14"/>
          <w:i w:val="1"/>
          <w:iCs w:val="1"/>
          <w:color w:val="auto"/>
        </w:rPr>
        <w:t xml:space="preserve">Convertible Notes Financing. </w:t>
      </w:r>
      <w:r>
        <w:rPr>
          <w:rFonts w:ascii="Arial" w:cs="Arial" w:eastAsia="Arial" w:hAnsi="Arial"/>
          <w:sz w:val="14"/>
          <w:szCs w:val="14"/>
          <w:color w:val="auto"/>
        </w:rPr>
        <w:t>On April 10, 2015 and June 23, 2015, we sold to investors in private placements an aggregate of $7.1 million of convertible promissory notes, or the 2015</w:t>
      </w:r>
      <w:r>
        <w:rPr>
          <w:rFonts w:ascii="Arial" w:cs="Arial" w:eastAsia="Arial" w:hAnsi="Arial"/>
          <w:sz w:val="14"/>
          <w:szCs w:val="14"/>
          <w:i w:val="1"/>
          <w:iCs w:val="1"/>
          <w:color w:val="auto"/>
        </w:rPr>
        <w:t xml:space="preserve"> </w:t>
      </w:r>
      <w:r>
        <w:rPr>
          <w:rFonts w:ascii="Arial" w:cs="Arial" w:eastAsia="Arial" w:hAnsi="Arial"/>
          <w:sz w:val="14"/>
          <w:szCs w:val="14"/>
          <w:color w:val="auto"/>
        </w:rPr>
        <w:t>notes. The 2015 notes accrued at an interest rate of 8%, compounding monthly. In connection with the series E preferred stock financing described below, the principal amount of the 2015 notes and accrued interest thereon was automatically converted into an aggregate of 1,619,550 shares of our series E preferred stock in August 2015.</w:t>
      </w:r>
    </w:p>
    <w:p>
      <w:pPr>
        <w:spacing w:after="0" w:line="144"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i w:val="1"/>
          <w:iCs w:val="1"/>
          <w:color w:val="auto"/>
        </w:rPr>
        <w:t xml:space="preserve">Series E Preferred Stock Financing. </w:t>
      </w:r>
      <w:r>
        <w:rPr>
          <w:rFonts w:ascii="Arial" w:cs="Arial" w:eastAsia="Arial" w:hAnsi="Arial"/>
          <w:sz w:val="15"/>
          <w:szCs w:val="15"/>
          <w:color w:val="auto"/>
        </w:rPr>
        <w:t>On August 27, 2015, September 3, 2015 and September 17, 2015, we issued and sold to investors in private placements an aggregate 8,888,888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series E preferred stock at a purchase price of $4.50 per share, for aggregate consideration of approximately $40 million, including approximately $7.3 million in principal and accrued interest under the 2015 notes that converted into shares of series E preferred stock.</w:t>
      </w:r>
    </w:p>
    <w:p>
      <w:pPr>
        <w:spacing w:after="0" w:line="159" w:lineRule="exact"/>
        <w:rPr>
          <w:sz w:val="20"/>
          <w:szCs w:val="20"/>
          <w:color w:val="auto"/>
        </w:rPr>
      </w:pPr>
    </w:p>
    <w:p>
      <w:pPr>
        <w:jc w:val="both"/>
        <w:ind w:right="60"/>
        <w:spacing w:after="0" w:line="319" w:lineRule="auto"/>
        <w:rPr>
          <w:sz w:val="20"/>
          <w:szCs w:val="20"/>
          <w:color w:val="auto"/>
        </w:rPr>
      </w:pPr>
      <w:r>
        <w:rPr>
          <w:rFonts w:ascii="Arial" w:cs="Arial" w:eastAsia="Arial" w:hAnsi="Arial"/>
          <w:sz w:val="13"/>
          <w:szCs w:val="13"/>
          <w:color w:val="auto"/>
        </w:rPr>
        <w:t>The following table sets forth the aggregate number of shares of our capital stock acquired by beneficial owners of more than 5% of our capital stock in the financing transactions described above. Each share of our series D preferred stock identified in the following table will convert into 0.2683 shares of common stock upon the closing of this offering. 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is $14.00 per share.</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360" w:type="dxa"/>
            <w:vAlign w:val="bottom"/>
          </w:tcPr>
          <w:p>
            <w:pPr>
              <w:jc w:val="right"/>
              <w:ind w:right="248"/>
              <w:spacing w:after="0"/>
              <w:rPr>
                <w:sz w:val="20"/>
                <w:szCs w:val="20"/>
                <w:color w:val="auto"/>
              </w:rPr>
            </w:pPr>
            <w:r>
              <w:rPr>
                <w:rFonts w:ascii="Arial" w:cs="Arial" w:eastAsia="Arial" w:hAnsi="Arial"/>
                <w:sz w:val="12"/>
                <w:szCs w:val="12"/>
                <w:b w:val="1"/>
                <w:bCs w:val="1"/>
                <w:color w:val="auto"/>
              </w:rPr>
              <w:t>Series D</w:t>
            </w:r>
          </w:p>
        </w:tc>
        <w:tc>
          <w:tcPr>
            <w:tcW w:w="13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Series E</w:t>
            </w:r>
          </w:p>
        </w:tc>
      </w:tr>
      <w:tr>
        <w:trPr>
          <w:trHeight w:val="149"/>
        </w:trPr>
        <w:tc>
          <w:tcPr>
            <w:tcW w:w="5440" w:type="dxa"/>
            <w:vAlign w:val="bottom"/>
            <w:gridSpan w:val="3"/>
          </w:tcPr>
          <w:p>
            <w:pPr>
              <w:spacing w:after="0"/>
              <w:rPr>
                <w:sz w:val="20"/>
                <w:szCs w:val="20"/>
                <w:color w:val="auto"/>
              </w:rPr>
            </w:pPr>
            <w:r>
              <w:rPr>
                <w:rFonts w:ascii="Arial" w:cs="Arial" w:eastAsia="Arial" w:hAnsi="Arial"/>
                <w:sz w:val="12"/>
                <w:szCs w:val="12"/>
                <w:b w:val="1"/>
                <w:bCs w:val="1"/>
                <w:color w:val="auto"/>
              </w:rPr>
              <w:t>Participants</w:t>
            </w:r>
          </w:p>
        </w:tc>
        <w:tc>
          <w:tcPr>
            <w:tcW w:w="2360" w:type="dxa"/>
            <w:vAlign w:val="bottom"/>
          </w:tcPr>
          <w:p>
            <w:pPr>
              <w:jc w:val="right"/>
              <w:ind w:right="68"/>
              <w:spacing w:after="0"/>
              <w:rPr>
                <w:sz w:val="20"/>
                <w:szCs w:val="20"/>
                <w:color w:val="auto"/>
              </w:rPr>
            </w:pPr>
            <w:r>
              <w:rPr>
                <w:rFonts w:ascii="Arial" w:cs="Arial" w:eastAsia="Arial" w:hAnsi="Arial"/>
                <w:sz w:val="12"/>
                <w:szCs w:val="12"/>
                <w:b w:val="1"/>
                <w:bCs w:val="1"/>
                <w:color w:val="auto"/>
              </w:rPr>
              <w:t>preferred stock</w:t>
            </w:r>
          </w:p>
        </w:tc>
        <w:tc>
          <w:tcPr>
            <w:tcW w:w="13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preferred stock</w:t>
            </w:r>
          </w:p>
        </w:tc>
      </w:tr>
      <w:tr>
        <w:trPr>
          <w:trHeight w:val="177"/>
        </w:trPr>
        <w:tc>
          <w:tcPr>
            <w:tcW w:w="20" w:type="dxa"/>
            <w:vAlign w:val="bottom"/>
          </w:tcPr>
          <w:p>
            <w:pPr>
              <w:spacing w:after="0"/>
              <w:rPr>
                <w:sz w:val="15"/>
                <w:szCs w:val="15"/>
                <w:color w:val="auto"/>
              </w:rPr>
            </w:pPr>
          </w:p>
        </w:tc>
        <w:tc>
          <w:tcPr>
            <w:tcW w:w="5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5% or Greater Stockholders</w:t>
            </w:r>
            <w:r>
              <w:rPr>
                <w:rFonts w:ascii="Arial" w:cs="Arial" w:eastAsia="Arial" w:hAnsi="Arial"/>
                <w:sz w:val="15"/>
                <w:szCs w:val="15"/>
                <w:color w:val="auto"/>
              </w:rPr>
              <w:t>(1)</w:t>
            </w:r>
          </w:p>
        </w:tc>
        <w:tc>
          <w:tcPr>
            <w:tcW w:w="23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Partners(2)</w:t>
            </w:r>
          </w:p>
        </w:tc>
        <w:tc>
          <w:tcPr>
            <w:tcW w:w="2360" w:type="dxa"/>
            <w:vAlign w:val="bottom"/>
          </w:tcPr>
          <w:p>
            <w:pPr>
              <w:jc w:val="right"/>
              <w:ind w:right="8"/>
              <w:spacing w:after="0"/>
              <w:rPr>
                <w:sz w:val="20"/>
                <w:szCs w:val="20"/>
                <w:color w:val="auto"/>
              </w:rPr>
            </w:pPr>
            <w:r>
              <w:rPr>
                <w:rFonts w:ascii="Arial" w:cs="Arial" w:eastAsia="Arial" w:hAnsi="Arial"/>
                <w:sz w:val="15"/>
                <w:szCs w:val="15"/>
                <w:color w:val="auto"/>
              </w:rPr>
              <w:t>472,276</w:t>
            </w:r>
          </w:p>
        </w:tc>
        <w:tc>
          <w:tcPr>
            <w:tcW w:w="1340" w:type="dxa"/>
            <w:vAlign w:val="bottom"/>
            <w:gridSpan w:val="2"/>
          </w:tcPr>
          <w:p>
            <w:pPr>
              <w:jc w:val="right"/>
              <w:ind w:right="120"/>
              <w:spacing w:after="0"/>
              <w:rPr>
                <w:sz w:val="20"/>
                <w:szCs w:val="20"/>
                <w:color w:val="auto"/>
              </w:rPr>
            </w:pPr>
            <w:r>
              <w:rPr>
                <w:rFonts w:ascii="Arial" w:cs="Arial" w:eastAsia="Arial" w:hAnsi="Arial"/>
                <w:sz w:val="15"/>
                <w:szCs w:val="15"/>
                <w:color w:val="auto"/>
              </w:rPr>
              <w:t>638,420(4)</w:t>
            </w:r>
          </w:p>
        </w:tc>
      </w:tr>
      <w:tr>
        <w:trPr>
          <w:trHeight w:val="185"/>
        </w:trPr>
        <w:tc>
          <w:tcPr>
            <w:tcW w:w="20" w:type="dxa"/>
            <w:vAlign w:val="bottom"/>
          </w:tcPr>
          <w:p>
            <w:pPr>
              <w:spacing w:after="0"/>
              <w:rPr>
                <w:sz w:val="16"/>
                <w:szCs w:val="16"/>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461,922</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487,532(5)</w:t>
            </w:r>
          </w:p>
        </w:tc>
      </w:tr>
      <w:tr>
        <w:trPr>
          <w:trHeight w:val="185"/>
        </w:trPr>
        <w:tc>
          <w:tcPr>
            <w:tcW w:w="2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Arial" w:cs="Arial" w:eastAsia="Arial" w:hAnsi="Arial"/>
                <w:sz w:val="15"/>
                <w:szCs w:val="15"/>
                <w:color w:val="auto"/>
              </w:rPr>
              <w:t>RUSNANO</w:t>
            </w:r>
          </w:p>
        </w:tc>
        <w:tc>
          <w:tcPr>
            <w:tcW w:w="2360" w:type="dxa"/>
            <w:vAlign w:val="bottom"/>
          </w:tcPr>
          <w:p>
            <w:pPr>
              <w:jc w:val="right"/>
              <w:ind w:right="8"/>
              <w:spacing w:after="0"/>
              <w:rPr>
                <w:sz w:val="20"/>
                <w:szCs w:val="20"/>
                <w:color w:val="auto"/>
              </w:rPr>
            </w:pPr>
            <w:r>
              <w:rPr>
                <w:rFonts w:ascii="Arial" w:cs="Arial" w:eastAsia="Arial" w:hAnsi="Arial"/>
                <w:sz w:val="15"/>
                <w:szCs w:val="15"/>
                <w:color w:val="auto"/>
              </w:rPr>
              <w:t>314,353</w:t>
            </w:r>
          </w:p>
        </w:tc>
        <w:tc>
          <w:tcPr>
            <w:tcW w:w="1340" w:type="dxa"/>
            <w:vAlign w:val="bottom"/>
            <w:gridSpan w:val="2"/>
          </w:tcPr>
          <w:p>
            <w:pPr>
              <w:jc w:val="right"/>
              <w:ind w:right="120"/>
              <w:spacing w:after="0"/>
              <w:rPr>
                <w:sz w:val="20"/>
                <w:szCs w:val="20"/>
                <w:color w:val="auto"/>
              </w:rPr>
            </w:pPr>
            <w:r>
              <w:rPr>
                <w:rFonts w:ascii="Arial" w:cs="Arial" w:eastAsia="Arial" w:hAnsi="Arial"/>
                <w:sz w:val="15"/>
                <w:szCs w:val="15"/>
                <w:color w:val="auto"/>
              </w:rPr>
              <w:t>781,322(6)</w:t>
            </w:r>
          </w:p>
        </w:tc>
      </w:tr>
      <w:tr>
        <w:trPr>
          <w:trHeight w:val="185"/>
        </w:trPr>
        <w:tc>
          <w:tcPr>
            <w:tcW w:w="20" w:type="dxa"/>
            <w:vAlign w:val="bottom"/>
          </w:tcPr>
          <w:p>
            <w:pPr>
              <w:spacing w:after="0"/>
              <w:rPr>
                <w:sz w:val="16"/>
                <w:szCs w:val="16"/>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LLC(3)</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149,894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1,798,762(7)</w:t>
            </w:r>
          </w:p>
        </w:tc>
      </w:tr>
      <w:tr>
        <w:trPr>
          <w:trHeight w:val="185"/>
        </w:trPr>
        <w:tc>
          <w:tcPr>
            <w:tcW w:w="2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Arial" w:cs="Arial" w:eastAsia="Arial" w:hAnsi="Arial"/>
                <w:sz w:val="15"/>
                <w:szCs w:val="15"/>
                <w:color w:val="auto"/>
              </w:rPr>
              <w:t>NanoDimension L.P.</w:t>
            </w:r>
          </w:p>
        </w:tc>
        <w:tc>
          <w:tcPr>
            <w:tcW w:w="2360" w:type="dxa"/>
            <w:vAlign w:val="bottom"/>
          </w:tcPr>
          <w:p>
            <w:pPr>
              <w:jc w:val="right"/>
              <w:ind w:right="8"/>
              <w:spacing w:after="0"/>
              <w:rPr>
                <w:sz w:val="20"/>
                <w:szCs w:val="20"/>
                <w:color w:val="auto"/>
              </w:rPr>
            </w:pPr>
            <w:r>
              <w:rPr>
                <w:rFonts w:ascii="Arial" w:cs="Arial" w:eastAsia="Arial" w:hAnsi="Arial"/>
                <w:sz w:val="15"/>
                <w:szCs w:val="15"/>
                <w:color w:val="auto"/>
              </w:rPr>
              <w:t>159,752</w:t>
            </w:r>
          </w:p>
        </w:tc>
        <w:tc>
          <w:tcPr>
            <w:tcW w:w="1340" w:type="dxa"/>
            <w:vAlign w:val="bottom"/>
            <w:gridSpan w:val="2"/>
          </w:tcPr>
          <w:p>
            <w:pPr>
              <w:jc w:val="right"/>
              <w:ind w:right="120"/>
              <w:spacing w:after="0"/>
              <w:rPr>
                <w:sz w:val="20"/>
                <w:szCs w:val="20"/>
                <w:color w:val="auto"/>
              </w:rPr>
            </w:pPr>
            <w:r>
              <w:rPr>
                <w:rFonts w:ascii="Arial" w:cs="Arial" w:eastAsia="Arial" w:hAnsi="Arial"/>
                <w:sz w:val="15"/>
                <w:szCs w:val="15"/>
                <w:color w:val="auto"/>
              </w:rPr>
              <w:t>363,006(8)</w:t>
            </w:r>
          </w:p>
        </w:tc>
      </w:tr>
      <w:tr>
        <w:trPr>
          <w:trHeight w:val="185"/>
        </w:trPr>
        <w:tc>
          <w:tcPr>
            <w:tcW w:w="20" w:type="dxa"/>
            <w:vAlign w:val="bottom"/>
          </w:tcPr>
          <w:p>
            <w:pPr>
              <w:spacing w:after="0"/>
              <w:rPr>
                <w:sz w:val="16"/>
                <w:szCs w:val="16"/>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Investments LP, as affiliated entities</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219,580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637,952(9)</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Additional details regarding these stockholders and their equity holdings are provided in this prospectus under the caption "Principal stockholders."</w:t>
      </w:r>
    </w:p>
    <w:p>
      <w:pPr>
        <w:spacing w:after="0" w:line="105" w:lineRule="exact"/>
        <w:rPr>
          <w:rFonts w:ascii="Arial" w:cs="Arial" w:eastAsia="Arial" w:hAnsi="Arial"/>
          <w:sz w:val="12"/>
          <w:szCs w:val="12"/>
          <w:color w:val="auto"/>
        </w:rPr>
      </w:pPr>
    </w:p>
    <w:p>
      <w:pPr>
        <w:ind w:left="1600" w:right="360" w:hanging="463"/>
        <w:spacing w:after="0" w:line="238" w:lineRule="auto"/>
        <w:tabs>
          <w:tab w:leader="none" w:pos="16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Represents securities acquired by Polaris Venture Partners V, L.P., Polaris Venture Partners Entrepreneurs' Fund V, L.P., Polaris Venture Partners Founders' Fund V, L.P. and Polaris Venture Partners Special Founders'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8" w:name="page199"/>
    <w:bookmarkEnd w:id="19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6" w:lineRule="exact"/>
        <w:rPr>
          <w:sz w:val="20"/>
          <w:szCs w:val="20"/>
          <w:color w:val="auto"/>
        </w:rPr>
      </w:pPr>
    </w:p>
    <w:p>
      <w:pPr>
        <w:ind w:left="1600" w:hanging="463"/>
        <w:spacing w:after="0"/>
        <w:tabs>
          <w:tab w:leader="none" w:pos="16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Represents securities acquired by OrbiMed Private Investments III, LP and OrbiMed Associates III, LP.</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Includes 416,198 shares of series E preferred stock issued upon conversion of an aggregate amount of $1.9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Includes 407,076 shares of series E preferred stock issued upon conversion of an aggregate amount of $1.8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Includes 259,100 shares of series E preferred stock issued upon conversion of an aggregate amount of $1.2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Includes 132,096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Includes 140,784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Includes 193,509 shares of series E preferred stock issued upon conversion of an aggregate amount of $0.9 million in principal and accrued interest of the 2015 notes.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Some of our directors and our director nominee are associated with our principal stockholders as indicated in the table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80" w:type="dxa"/>
            <w:vAlign w:val="bottom"/>
            <w:gridSpan w:val="3"/>
          </w:tcPr>
          <w:p>
            <w:pPr>
              <w:spacing w:after="0"/>
              <w:rPr>
                <w:sz w:val="20"/>
                <w:szCs w:val="20"/>
                <w:color w:val="auto"/>
              </w:rPr>
            </w:pPr>
            <w:r>
              <w:rPr>
                <w:rFonts w:ascii="Arial" w:cs="Arial" w:eastAsia="Arial" w:hAnsi="Arial"/>
                <w:sz w:val="12"/>
                <w:szCs w:val="12"/>
                <w:b w:val="1"/>
                <w:bCs w:val="1"/>
                <w:color w:val="auto"/>
              </w:rPr>
              <w:t>Director or director nominee</w:t>
            </w:r>
          </w:p>
        </w:tc>
        <w:tc>
          <w:tcPr>
            <w:tcW w:w="7060" w:type="dxa"/>
            <w:vAlign w:val="bottom"/>
          </w:tcPr>
          <w:p>
            <w:pPr>
              <w:ind w:left="3000"/>
              <w:spacing w:after="0"/>
              <w:rPr>
                <w:sz w:val="20"/>
                <w:szCs w:val="20"/>
                <w:color w:val="auto"/>
              </w:rPr>
            </w:pPr>
            <w:r>
              <w:rPr>
                <w:rFonts w:ascii="Arial" w:cs="Arial" w:eastAsia="Arial" w:hAnsi="Arial"/>
                <w:sz w:val="12"/>
                <w:szCs w:val="12"/>
                <w:b w:val="1"/>
                <w:bCs w:val="1"/>
                <w:color w:val="auto"/>
              </w:rPr>
              <w:t>Principal stockholder</w:t>
            </w:r>
          </w:p>
        </w:tc>
      </w:tr>
      <w:tr>
        <w:trPr>
          <w:trHeight w:val="177"/>
        </w:trPr>
        <w:tc>
          <w:tcPr>
            <w:tcW w:w="20" w:type="dxa"/>
            <w:vAlign w:val="bottom"/>
          </w:tcPr>
          <w:p>
            <w:pPr>
              <w:spacing w:after="0"/>
              <w:rPr>
                <w:sz w:val="15"/>
                <w:szCs w:val="15"/>
                <w:color w:val="auto"/>
              </w:rPr>
            </w:pPr>
          </w:p>
        </w:tc>
        <w:tc>
          <w:tcPr>
            <w:tcW w:w="2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70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Entities affiliated with Polaris Venture Partners</w:t>
            </w:r>
          </w:p>
        </w:tc>
      </w:tr>
      <w:tr>
        <w:trPr>
          <w:trHeight w:val="185"/>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7060" w:type="dxa"/>
            <w:vAlign w:val="bottom"/>
          </w:tcPr>
          <w:p>
            <w:pPr>
              <w:ind w:left="220"/>
              <w:spacing w:after="0"/>
              <w:rPr>
                <w:sz w:val="20"/>
                <w:szCs w:val="20"/>
                <w:color w:val="auto"/>
              </w:rPr>
            </w:pPr>
            <w:r>
              <w:rPr>
                <w:rFonts w:ascii="Arial" w:cs="Arial" w:eastAsia="Arial" w:hAnsi="Arial"/>
                <w:sz w:val="15"/>
                <w:szCs w:val="15"/>
                <w:color w:val="auto"/>
              </w:rPr>
              <w:t>Flagship Ventures Fund 2007, L.P.</w:t>
            </w:r>
          </w:p>
        </w:tc>
      </w:tr>
      <w:tr>
        <w:trPr>
          <w:trHeight w:val="185"/>
        </w:trPr>
        <w:tc>
          <w:tcPr>
            <w:tcW w:w="20" w:type="dxa"/>
            <w:vAlign w:val="bottom"/>
          </w:tcPr>
          <w:p>
            <w:pPr>
              <w:spacing w:after="0"/>
              <w:rPr>
                <w:sz w:val="16"/>
                <w:szCs w:val="16"/>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Leysan Shaydullina, M.D.(1)</w:t>
            </w:r>
          </w:p>
        </w:tc>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RUSNANO</w:t>
            </w:r>
          </w:p>
        </w:tc>
      </w:tr>
      <w:tr>
        <w:trPr>
          <w:trHeight w:val="185"/>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7060" w:type="dxa"/>
            <w:vAlign w:val="bottom"/>
          </w:tcPr>
          <w:p>
            <w:pPr>
              <w:ind w:left="220"/>
              <w:spacing w:after="0"/>
              <w:rPr>
                <w:sz w:val="20"/>
                <w:szCs w:val="20"/>
                <w:color w:val="auto"/>
              </w:rPr>
            </w:pPr>
            <w:r>
              <w:rPr>
                <w:rFonts w:ascii="Arial" w:cs="Arial" w:eastAsia="Arial" w:hAnsi="Arial"/>
                <w:sz w:val="15"/>
                <w:szCs w:val="15"/>
                <w:color w:val="auto"/>
              </w:rPr>
              <w:t>Entities affiliated with OrbiMed Advisors LLC</w:t>
            </w:r>
          </w:p>
        </w:tc>
      </w:tr>
      <w:tr>
        <w:trPr>
          <w:trHeight w:val="185"/>
        </w:trPr>
        <w:tc>
          <w:tcPr>
            <w:tcW w:w="20" w:type="dxa"/>
            <w:vAlign w:val="bottom"/>
          </w:tcPr>
          <w:p>
            <w:pPr>
              <w:spacing w:after="0"/>
              <w:rPr>
                <w:sz w:val="16"/>
                <w:szCs w:val="16"/>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NanoDimension L.P.</w:t>
            </w:r>
          </w:p>
        </w:tc>
      </w:tr>
      <w:tr>
        <w:trPr>
          <w:trHeight w:val="190"/>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Timothy A. Springer, Ph.D.(2)</w:t>
            </w:r>
          </w:p>
        </w:tc>
        <w:tc>
          <w:tcPr>
            <w:tcW w:w="7060" w:type="dxa"/>
            <w:vAlign w:val="bottom"/>
          </w:tcPr>
          <w:p>
            <w:pPr>
              <w:ind w:left="220"/>
              <w:spacing w:after="0"/>
              <w:rPr>
                <w:sz w:val="20"/>
                <w:szCs w:val="20"/>
                <w:color w:val="auto"/>
              </w:rPr>
            </w:pPr>
            <w:r>
              <w:rPr>
                <w:rFonts w:ascii="Arial" w:cs="Arial" w:eastAsia="Arial" w:hAnsi="Arial"/>
                <w:sz w:val="15"/>
                <w:szCs w:val="15"/>
                <w:color w:val="auto"/>
              </w:rPr>
              <w:t>TAS Partners, LLC and Leukon Investments, LP, as affiliated entities</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7060" w:type="dxa"/>
            <w:vAlign w:val="bottom"/>
          </w:tcPr>
          <w:p>
            <w:pPr>
              <w:spacing w:after="0"/>
              <w:rPr>
                <w:sz w:val="7"/>
                <w:szCs w:val="7"/>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Dr. Shaydullina will resign from our board of directors contingent upon, and effective immediately prior to, the closing of this offering.</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Dr. Springer was elected to our board of directors effective upon the effectiveness of the registration statement of which this prospectus forms a part.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entered into an amended and restated investors' rights agreement in April 2014, which was further amended in July 2014, August 2015 and June 2016 with our directors Omid Farokhzad and Robert S. Langer, the holders of our preferred stock, including entities in which certain other of our directors are related, Ulrich von Andrian, a prior beneficial owner of 5% of our capital stock, and certain other stockholders. The agreement provides for certain rights relating to the registration of such holders' common stock, including shares issuable upon conversion of preferred stock, and a right of first refusal to purchase future securities sold by us. See "Description of capital stock—Registration rights"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AGREEMENT</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We entered into an amended and restated voting agreement in August 2015, by and among us and certain of our stockholders, pursuant to which the following directors were elected to serve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as members on our board of directors: Amir Nashat Sc.D; Edwin M. Kania Jr.; Aymeric Sallin; Carl L. Gordon, Ph.D.; Leysan Shaydullina; Robert S. Langer, Jr., Sc.D.; Omid</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Farokhzad, M.D.; Werner Cautreels, Ph.D.; Peter Barton Hutt; and George Siber, M.D. Pursuant to the voting agreement, Drs. Farokhzad, and Langer were initially selected to serve on our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as representatives of holders of our common stock, as designated by a majority of our founders. Dr. Cautreels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9" w:name="page200"/>
    <w:bookmarkEnd w:id="19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0"/>
        <w:spacing w:after="0" w:line="266" w:lineRule="auto"/>
        <w:rPr>
          <w:sz w:val="20"/>
          <w:szCs w:val="20"/>
          <w:color w:val="auto"/>
        </w:rPr>
      </w:pPr>
      <w:r>
        <w:rPr>
          <w:rFonts w:ascii="Arial" w:cs="Arial" w:eastAsia="Arial" w:hAnsi="Arial"/>
          <w:sz w:val="15"/>
          <w:szCs w:val="15"/>
          <w:color w:val="auto"/>
        </w:rPr>
        <w:t>initially selected to serve on our board of directors in his capacity as our Chief Executive Officer. Drs. Nashat and Gordon, Messrs. Kania and Sallin, and Dr. Shaydullina were initially selected to serve on our board of directors as representatives of holders of our preferred stock, as designated by Polaris Venture Partners IV, L.P., OrbiMed Private Investments III, LP, Flagship Ventures, NanoDimension L.P. and RUSNANO, respectively. Mr. Hutt and Dr. Siber were initially selected to serve on our board of directors as independent directors, as designated by a majority of the other directors.</w:t>
      </w:r>
    </w:p>
    <w:p>
      <w:pPr>
        <w:spacing w:after="0" w:line="162" w:lineRule="exact"/>
        <w:rPr>
          <w:sz w:val="20"/>
          <w:szCs w:val="20"/>
          <w:color w:val="auto"/>
        </w:rPr>
      </w:pPr>
    </w:p>
    <w:p>
      <w:pPr>
        <w:jc w:val="both"/>
        <w:ind w:right="40"/>
        <w:spacing w:after="0" w:line="300" w:lineRule="auto"/>
        <w:rPr>
          <w:sz w:val="20"/>
          <w:szCs w:val="20"/>
          <w:color w:val="auto"/>
        </w:rPr>
      </w:pPr>
      <w:r>
        <w:rPr>
          <w:rFonts w:ascii="Arial" w:cs="Arial" w:eastAsia="Arial" w:hAnsi="Arial"/>
          <w:sz w:val="13"/>
          <w:szCs w:val="13"/>
          <w:color w:val="auto"/>
        </w:rPr>
        <w:t>In addition, pursuant to the voting agreement, we, as the sole equity holder of our Russian subsidiary, Selecta RUS, elected the following directors of Selecta RUS who, as of the date of this prospectus, continue to so serve: Leysan Shaydullina, M.D., Alexander Korchevskiy, Werner Cautreels, Ph.D., Lloyd Johnston, Ph.D. and Dmitry Ovchinnokov, Ph.D. Pursuant to the voting agreement, Drs. Werner Cautreels, Lloyd Johnston and Dmitry Ovchinnokov were selected to serve on the Selecta RUS board of directors, as designated by our board of directors.</w:t>
      </w:r>
    </w:p>
    <w:p>
      <w:pPr>
        <w:ind w:right="280"/>
        <w:spacing w:after="0" w:line="312" w:lineRule="auto"/>
        <w:rPr>
          <w:sz w:val="20"/>
          <w:szCs w:val="20"/>
          <w:color w:val="auto"/>
        </w:rPr>
      </w:pPr>
      <w:r>
        <w:rPr>
          <w:rFonts w:ascii="Arial" w:cs="Arial" w:eastAsia="Arial" w:hAnsi="Arial"/>
          <w:sz w:val="14"/>
          <w:szCs w:val="14"/>
          <w:color w:val="auto"/>
        </w:rPr>
        <w:t>Mr. Korchevskiy was selected to serve on the Selecta RUS board of directors, as designated by VTB Capital I2BF Netherlands B.V., a Dutch limited company, and Selecta RKFN Ltd., a Russian limited liability company, or collectively I2BF. Dr. Shaydullina was selected to serve on the Selecta RUS board of directors, as designated by RUSNANO.</w:t>
      </w:r>
    </w:p>
    <w:p>
      <w:pPr>
        <w:spacing w:after="0" w:line="132" w:lineRule="exact"/>
        <w:rPr>
          <w:sz w:val="20"/>
          <w:szCs w:val="20"/>
          <w:color w:val="auto"/>
        </w:rPr>
      </w:pPr>
    </w:p>
    <w:p>
      <w:pPr>
        <w:ind w:right="780"/>
        <w:spacing w:after="0" w:line="282" w:lineRule="auto"/>
        <w:rPr>
          <w:sz w:val="20"/>
          <w:szCs w:val="20"/>
          <w:color w:val="auto"/>
        </w:rPr>
      </w:pPr>
      <w:r>
        <w:rPr>
          <w:rFonts w:ascii="Arial" w:cs="Arial" w:eastAsia="Arial" w:hAnsi="Arial"/>
          <w:sz w:val="15"/>
          <w:szCs w:val="15"/>
          <w:color w:val="auto"/>
        </w:rPr>
        <w:t>The voting agreement will terminate in its entirety in connection with this offering. The composition of our board of directors after this offering is described in more detail under "Management—Board composition and election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We have entered into employment agreements or offer letters with our named executive officers. For more information regarding the agreements with our named executive officers, see "Executive and director compensation—Executive compensation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CONSULTING AGREEMENTS</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We entered into consulting agreements with directors Omid Farokhzad, Robert Langer and George Siber and Ulrich von Andrian. Each of Drs. Langer and Siber resigned from our board of directors effective immediately prior to the effectiveness of the registration statement of which this prospectus forms a part.</w:t>
      </w:r>
    </w:p>
    <w:p>
      <w:pPr>
        <w:spacing w:after="0" w:line="151" w:lineRule="exact"/>
        <w:rPr>
          <w:sz w:val="20"/>
          <w:szCs w:val="20"/>
          <w:color w:val="auto"/>
        </w:rPr>
      </w:pPr>
    </w:p>
    <w:p>
      <w:pPr>
        <w:ind w:right="160"/>
        <w:spacing w:after="0" w:line="330" w:lineRule="auto"/>
        <w:rPr>
          <w:sz w:val="20"/>
          <w:szCs w:val="20"/>
          <w:color w:val="auto"/>
        </w:rPr>
      </w:pPr>
      <w:r>
        <w:rPr>
          <w:rFonts w:ascii="Arial" w:cs="Arial" w:eastAsia="Arial" w:hAnsi="Arial"/>
          <w:sz w:val="13"/>
          <w:szCs w:val="13"/>
          <w:color w:val="auto"/>
        </w:rPr>
        <w:t>The consulting agreements provide for annual payments of $75,000 for each of Drs. Farokhzad, Langer and von Andrian and $36,000 for Dr. Siber. Dr. Siber also received stock options to purchase up to 123,140 shares of common stock at an exercise price equal to fair market value on the date of grant. We also pay Dr. Farokhzad $72,000 per year in addition to the annual $75,000 payment under his consulting agreement, but have agreed with Dr. Farokhzad to discontinue this additional $72,000 per year payment upon the closing of this offering.</w:t>
      </w:r>
    </w:p>
    <w:p>
      <w:pPr>
        <w:spacing w:after="0" w:line="125"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The consulting agreements for each of Drs. Farokhzad, Langer and von Andrian provide that we may terminate the agreements at any time, but must deposit with an escrow agent the consulting fees for the prior 90 days which would then be payable to the consulting party post-termination. The agreements may also be terminated without penalty by both parties upon mutual consent or by the consulting party with 30 days' prior written notice. The consulting agreement for Dr. Siber provides that the agreement may be terminated by mutual consent of the parties or by either party upon 30 days' prior written notice. Each agreement contains provisions regarding intellectual property assignment, confidentiality, noncompetition and nonsolicitation. Our existing consulting agreement with Dr. Siber will terminate upon the closing of this offering. We expect to enter into a consulting agreement with Dr. Siber after this offering regarding his continued service on our scientific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0" w:name="page201"/>
    <w:bookmarkEnd w:id="20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regarding compensation that we have paid to each of Drs. Farokhzad, Langer and Siber, see "Executive and director compensation—Director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GRANTS TO EXECUTIVE OFFICERS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granted stock options to our executive officers and certain of our directors as more fully described in the section entitled "Executive and director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PARTICIPATION IN THIS OFFERING</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as amended, or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1" w:name="page202"/>
    <w:bookmarkEnd w:id="201"/>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0910" cy="7620"/>
                    </a:xfrm>
                    <a:prstGeom prst="rect">
                      <a:avLst/>
                    </a:prstGeom>
                    <a:noFill/>
                  </pic:spPr>
                </pic:pic>
              </a:graphicData>
            </a:graphic>
          </wp:anchor>
        </w:drawing>
        <w:t>Principal stockholders</w:t>
      </w:r>
    </w:p>
    <w:p>
      <w:pPr>
        <w:spacing w:after="0" w:line="183" w:lineRule="exact"/>
        <w:rPr>
          <w:sz w:val="20"/>
          <w:szCs w:val="20"/>
          <w:color w:val="auto"/>
        </w:rPr>
      </w:pPr>
    </w:p>
    <w:p>
      <w:pPr>
        <w:ind w:left="7" w:right="40"/>
        <w:spacing w:after="0" w:line="282" w:lineRule="auto"/>
        <w:rPr>
          <w:sz w:val="20"/>
          <w:szCs w:val="20"/>
          <w:color w:val="auto"/>
        </w:rPr>
      </w:pPr>
      <w:r>
        <w:rPr>
          <w:rFonts w:ascii="Arial" w:cs="Arial" w:eastAsia="Arial" w:hAnsi="Arial"/>
          <w:sz w:val="15"/>
          <w:szCs w:val="15"/>
          <w:color w:val="auto"/>
        </w:rPr>
        <w:t>The following table sets forth information with respect to the beneficial ownership of our common stock, as of May 31, 2016, and as adjusted to reflect the sale of shares of common stock in this offering, by:</w:t>
      </w:r>
    </w:p>
    <w:p>
      <w:pPr>
        <w:spacing w:after="0" w:line="162" w:lineRule="exact"/>
        <w:rPr>
          <w:sz w:val="20"/>
          <w:szCs w:val="20"/>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common stock;</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each of our directors and our director nominee;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all of our executive officers, directors and our director nominee as a group.</w:t>
      </w:r>
    </w:p>
    <w:p>
      <w:pPr>
        <w:spacing w:after="0" w:line="198"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The number of shares beneficially owned by each stockholder is determined under rules issued by the Securities and Exchange Commission. Under these rules, beneficial ownership includes any shares as to which the individual or entity has sole or shared voting power or investment power. Applicable percentage ownership information is based on 12,899,586 shares of common stock outstanding as of May 31, 2016, which assumes the conversion of the outstanding shares of our preferred stock into common stock, which will automatically occur upon completion of this offering.</w:t>
      </w:r>
    </w:p>
    <w:p>
      <w:pPr>
        <w:spacing w:after="0" w:line="162" w:lineRule="exact"/>
        <w:rPr>
          <w:sz w:val="20"/>
          <w:szCs w:val="20"/>
          <w:color w:val="auto"/>
        </w:rPr>
      </w:pPr>
    </w:p>
    <w:p>
      <w:pPr>
        <w:ind w:left="7" w:right="160"/>
        <w:spacing w:after="0" w:line="263" w:lineRule="auto"/>
        <w:rPr>
          <w:sz w:val="20"/>
          <w:szCs w:val="20"/>
          <w:color w:val="auto"/>
        </w:rPr>
      </w:pPr>
      <w:r>
        <w:rPr>
          <w:rFonts w:ascii="Arial" w:cs="Arial" w:eastAsia="Arial" w:hAnsi="Arial"/>
          <w:sz w:val="15"/>
          <w:szCs w:val="15"/>
          <w:color w:val="auto"/>
        </w:rPr>
        <w:t>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May 31, 2016 are considered outstanding, although these shares are not considered outstanding for purposes of computing the percentage ownership of any other person. Unless noted otherwise, the address of all listed stockholders is 480 Arsenal Street, Building One, Watertown, Massachusetts 02472. Each of the stockholders listed has sole voting and investment power with respect to the shares beneficially owned by the stockholder unless noted otherwise, subject to community property laws where applicable.</w:t>
      </w:r>
    </w:p>
    <w:p>
      <w:pPr>
        <w:spacing w:after="0" w:line="167"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333" w:right="219" w:bottom="1440" w:gutter="0" w:footer="0" w:header="0"/>
        </w:sectPr>
      </w:pPr>
    </w:p>
    <w:bookmarkStart w:id="202" w:name="page203"/>
    <w:bookmarkEnd w:id="20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any other shares sold to the public in this offering. The information set forth in the table below does not reflect any potential purchase of any shares in this offering by such parties.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9"/>
              </w:rPr>
              <w:t>Shares</w:t>
            </w:r>
          </w:p>
        </w:tc>
        <w:tc>
          <w:tcPr>
            <w:tcW w:w="1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beneficially owned</w:t>
            </w:r>
          </w:p>
        </w:tc>
        <w:tc>
          <w:tcPr>
            <w:tcW w:w="1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 beneficial owner</w:t>
            </w:r>
          </w:p>
        </w:tc>
        <w:tc>
          <w:tcPr>
            <w:tcW w:w="1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prior to offering</w:t>
            </w:r>
          </w:p>
        </w:tc>
        <w:tc>
          <w:tcPr>
            <w:tcW w:w="1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after offering</w:t>
            </w:r>
          </w:p>
        </w:tc>
        <w:tc>
          <w:tcPr>
            <w:tcW w:w="0" w:type="dxa"/>
            <w:vAlign w:val="bottom"/>
          </w:tcPr>
          <w:p>
            <w:pPr>
              <w:spacing w:after="0"/>
              <w:rPr>
                <w:sz w:val="1"/>
                <w:szCs w:val="1"/>
                <w:color w:val="auto"/>
              </w:rPr>
            </w:pPr>
          </w:p>
        </w:tc>
      </w:tr>
      <w:tr>
        <w:trPr>
          <w:trHeight w:val="131"/>
        </w:trPr>
        <w:tc>
          <w:tcPr>
            <w:tcW w:w="5580" w:type="dxa"/>
            <w:vAlign w:val="bottom"/>
            <w:gridSpan w:val="3"/>
            <w:vMerge w:val="continue"/>
          </w:tcPr>
          <w:p>
            <w:pPr>
              <w:spacing w:after="0"/>
              <w:rPr>
                <w:sz w:val="11"/>
                <w:szCs w:val="11"/>
                <w:color w:val="auto"/>
              </w:rPr>
            </w:pPr>
          </w:p>
        </w:tc>
        <w:tc>
          <w:tcPr>
            <w:tcW w:w="860" w:type="dxa"/>
            <w:vAlign w:val="bottom"/>
            <w:tcBorders>
              <w:top w:val="single" w:sz="8" w:color="auto"/>
            </w:tcBorders>
          </w:tcPr>
          <w:p>
            <w:pPr>
              <w:jc w:val="right"/>
              <w:ind w:right="187"/>
              <w:spacing w:after="0" w:line="131" w:lineRule="exact"/>
              <w:rPr>
                <w:sz w:val="20"/>
                <w:szCs w:val="20"/>
                <w:color w:val="auto"/>
              </w:rPr>
            </w:pPr>
            <w:r>
              <w:rPr>
                <w:rFonts w:ascii="Arial" w:cs="Arial" w:eastAsia="Arial" w:hAnsi="Arial"/>
                <w:sz w:val="12"/>
                <w:szCs w:val="12"/>
                <w:b w:val="1"/>
                <w:bCs w:val="1"/>
                <w:color w:val="auto"/>
              </w:rPr>
              <w:t>Number</w:t>
            </w: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860" w:type="dxa"/>
            <w:vAlign w:val="bottom"/>
            <w:tcBorders>
              <w:top w:val="single" w:sz="8" w:color="auto"/>
            </w:tcBorders>
          </w:tcPr>
          <w:p>
            <w:pPr>
              <w:jc w:val="right"/>
              <w:ind w:right="187"/>
              <w:spacing w:after="0" w:line="131" w:lineRule="exact"/>
              <w:rPr>
                <w:sz w:val="20"/>
                <w:szCs w:val="20"/>
                <w:color w:val="auto"/>
              </w:rPr>
            </w:pPr>
            <w:r>
              <w:rPr>
                <w:rFonts w:ascii="Arial" w:cs="Arial" w:eastAsia="Arial" w:hAnsi="Arial"/>
                <w:sz w:val="12"/>
                <w:szCs w:val="12"/>
                <w:b w:val="1"/>
                <w:bCs w:val="1"/>
                <w:color w:val="auto"/>
              </w:rPr>
              <w:t>Number</w:t>
            </w: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5% or Greater Stockholders</w:t>
            </w:r>
          </w:p>
        </w:tc>
        <w:tc>
          <w:tcPr>
            <w:tcW w:w="8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Partners(1)</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1,774,151</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13.7%</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1,774,151</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1,672,124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1,672,124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RUSNANO(3)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1,382,137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10.7%</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1,382,137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LLC(4)</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1,299,371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1,299,371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TAS Partners, LLC and Leukon Investments LP, as affiliated entities(5)</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982,234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7.6%</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982,234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NanoDimension L.P.(6)</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667,964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667,964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368"/>
        </w:trPr>
        <w:tc>
          <w:tcPr>
            <w:tcW w:w="55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Named Executive Officers, Directors and Director Nominee</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Werner Cautreels, Ph.D.(7)</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412,097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412,097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Takashi Kei Kishimoto, Ph.D.(8)</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108,172</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108,172</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M.D.(9)</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25,640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25,640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Omid Farokhzad, M.D.(10)</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421,333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421,333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Ph.D.(4)</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1,299,371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1,299,371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Peter Barton Hutt(11)</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36,324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36,324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 Jr.(2)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1,672,124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1,672,124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Robert Langer, Jr., Sc. D.(12)</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534,793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4.1%</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534,793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1,774,151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1,774,151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Aymeric Sallin, M.S.(6)</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Leysan Shaydullina(3)</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George Siber, M.D.(13)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31,574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31,574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Timothy A. Springer, Ph.D.(5)</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982,234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982,234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All executive officers, directors and director nominee as a group (17 persons)(14)</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7,692,146</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59.5%</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7,692,146</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05" w:lineRule="exact"/>
        <w:rPr>
          <w:sz w:val="20"/>
          <w:szCs w:val="20"/>
          <w:color w:val="auto"/>
        </w:rPr>
      </w:pPr>
    </w:p>
    <w:p>
      <w:pPr>
        <w:ind w:left="1600" w:right="120" w:hanging="463"/>
        <w:spacing w:after="0" w:line="276" w:lineRule="auto"/>
        <w:tabs>
          <w:tab w:leader="none" w:pos="1600" w:val="left"/>
        </w:tabs>
        <w:numPr>
          <w:ilvl w:val="0"/>
          <w:numId w:val="122"/>
        </w:numPr>
        <w:rPr>
          <w:rFonts w:ascii="Arial" w:cs="Arial" w:eastAsia="Arial" w:hAnsi="Arial"/>
          <w:sz w:val="10"/>
          <w:szCs w:val="10"/>
          <w:color w:val="auto"/>
        </w:rPr>
      </w:pPr>
      <w:r>
        <w:rPr>
          <w:rFonts w:ascii="Arial" w:cs="Arial" w:eastAsia="Arial" w:hAnsi="Arial"/>
          <w:sz w:val="10"/>
          <w:szCs w:val="10"/>
          <w:color w:val="auto"/>
        </w:rPr>
        <w:t>Consists of (i) 1,691,963 shares of common stock held by Polaris Venture Partners V, L.P., or Polaris V, (ii) 19,990 shares of common stock underlying warrants exercisable within 60 days of May 31, 2016 held by Polaris V, (iii) 32,972 shares of common stock held by Polaris Venture Partners Entrepreneurs' Fund V, L.P., or Polaris EFund V, (iv) 389 shares of common stock underlying warrants exercisable within</w:t>
      </w:r>
    </w:p>
    <w:p>
      <w:pPr>
        <w:ind w:left="1600"/>
        <w:spacing w:after="0" w:line="271" w:lineRule="auto"/>
        <w:rPr>
          <w:rFonts w:ascii="Arial" w:cs="Arial" w:eastAsia="Arial" w:hAnsi="Arial"/>
          <w:sz w:val="10"/>
          <w:szCs w:val="10"/>
          <w:color w:val="auto"/>
        </w:rPr>
      </w:pPr>
      <w:r>
        <w:rPr>
          <w:rFonts w:ascii="Arial" w:cs="Arial" w:eastAsia="Arial" w:hAnsi="Arial"/>
          <w:sz w:val="10"/>
          <w:szCs w:val="10"/>
          <w:color w:val="auto"/>
        </w:rPr>
        <w:t>60 days of May 31, 2016 held by Polaris EFund V, (v) 11,586 shares of common stock held by Polaris Venture Partners Founders' Fund V, L.P., or Polaris FFund V, (vi) 136 shares of common stock underlying warrants exercisable within 60 days of May 31, 2016 held by Polaris FFund V, (vii) 16,916 shares of common stock held by Polaris Venture Partners Special Founders' Fund V, L.P., or Polaris SFFund V, and (viii) 199 shares of common stock underlying warrants exercisable within 60 days of May 31, 2016 held by Polaris SFFund V. The general partner of each of the Funds is Polaris Venture Management Co., V, L.L.C., or the General Partner. The General Partner may be deemed to have sole voting and investment power with respect to the shares held by the Funds, and disclaims beneficial ownership of all the shares held by the Funds except to the extent of its proportionate pecuniary interest therein. The members of North Star Venture Management 2000, LLC are also members of the General Partner. As members of North Star Venture Management 2000, LLC and the General Partner, such members, or the Management Members, may be deemed to share voting and investment powers for the shares held by the Funds. The Management Members disclaim beneficial ownership of all such shares held by the funds except to the extent of their proportionate pecuniary interests therein. Dr. Amir Nashat, our director, is a member of the General Partner. To the extent that he is deemed to share voting and investment powers with respect to the shares held by the Funds, Dr. Nashat disclaims beneficial ownership of his proportionate pecuniary interest therein. The address of the beneficial owner is c/o Polaris Venture Partners, 1000 Winter Street, Suite 3350, Waltham, MA 02451.</w:t>
      </w:r>
    </w:p>
    <w:p>
      <w:pPr>
        <w:spacing w:after="0" w:line="83" w:lineRule="exact"/>
        <w:rPr>
          <w:rFonts w:ascii="Arial" w:cs="Arial" w:eastAsia="Arial" w:hAnsi="Arial"/>
          <w:sz w:val="10"/>
          <w:szCs w:val="10"/>
          <w:color w:val="auto"/>
        </w:rPr>
      </w:pPr>
    </w:p>
    <w:p>
      <w:pPr>
        <w:ind w:left="1600" w:right="60" w:hanging="463"/>
        <w:spacing w:after="0" w:line="238" w:lineRule="auto"/>
        <w:tabs>
          <w:tab w:leader="none" w:pos="16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Consists of (i) 1,651,862 shares of common stock held of record by Flagship Ventures Fund 2007, L.P., or Flagship Ventures 2007, and (ii) 20,262 shares of common stock underlying warrants exercisable within 60 days of May 31, 2016 held of record by Flagship Ventures 2007. Flagship Ventures 2007 General Partner, LLC, or Flagship 2007 LLC,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0"/>
          <w:szCs w:val="20"/>
          <w:color w:val="auto"/>
        </w:rPr>
      </w:pPr>
    </w:p>
    <w:p>
      <w:pPr>
        <w:ind w:left="1600" w:right="40"/>
        <w:spacing w:after="0" w:line="299" w:lineRule="auto"/>
        <w:rPr>
          <w:sz w:val="20"/>
          <w:szCs w:val="20"/>
          <w:color w:val="auto"/>
        </w:rPr>
      </w:pPr>
      <w:r>
        <w:rPr>
          <w:rFonts w:ascii="Arial" w:cs="Arial" w:eastAsia="Arial" w:hAnsi="Arial"/>
          <w:sz w:val="10"/>
          <w:szCs w:val="10"/>
          <w:color w:val="auto"/>
        </w:rPr>
        <w:t>general partner of Flagship Ventures 2007 and Noubar B. Afeyan Ph.D. and Edwin M. Kania, Jr. are the managers of Flagship 2007 LLC. Flagship 2007 LLC, Dr. Afeyan and Mr. Kania may be deemed to share voting and investment power with respect to all shares held by Flagship Ventures 2007. Flagship 2007 LLC, Dr. Afeyan and Mr. Kania expressly disclaim beneficial ownership of the securities listed above except to the extent of any pecuniary interest therein. The address for Flagship Ventures 2007 is One Memorial Drive, 7th Floor, Cambridge, MA 02142.</w:t>
      </w:r>
    </w:p>
    <w:p>
      <w:pPr>
        <w:spacing w:after="0" w:line="126" w:lineRule="exact"/>
        <w:rPr>
          <w:sz w:val="20"/>
          <w:szCs w:val="20"/>
          <w:color w:val="auto"/>
        </w:rPr>
      </w:pPr>
    </w:p>
    <w:p>
      <w:pPr>
        <w:ind w:left="1600" w:hanging="463"/>
        <w:spacing w:after="0" w:line="268" w:lineRule="auto"/>
        <w:tabs>
          <w:tab w:leader="none" w:pos="1600" w:val="left"/>
        </w:tabs>
        <w:numPr>
          <w:ilvl w:val="0"/>
          <w:numId w:val="123"/>
        </w:numPr>
        <w:rPr>
          <w:rFonts w:ascii="Arial" w:cs="Arial" w:eastAsia="Arial" w:hAnsi="Arial"/>
          <w:sz w:val="10"/>
          <w:szCs w:val="10"/>
          <w:color w:val="auto"/>
        </w:rPr>
      </w:pPr>
      <w:r>
        <w:rPr>
          <w:rFonts w:ascii="Arial" w:cs="Arial" w:eastAsia="Arial" w:hAnsi="Arial"/>
          <w:sz w:val="10"/>
          <w:szCs w:val="10"/>
          <w:color w:val="auto"/>
        </w:rPr>
        <w:t>Consists of (i) 1,369,034 shares of common stock held by RUSNANO and (ii) 13,103 shares of common stock underlying warrants exercisable within 60 days of May 31, 2016 held by RUSNANO. RUSNANO is a joint stock company organized under the laws of the Russian Federation. The Russian Federation owns 100% of RUSNANO. RUSNANO is managed by RUSNANO Management Company LLC, the Executive Board of which has the power to vote and dispose of the securities held directly by RUSNANO below a certain amount, and is supervised by the Board of Directors of RUSNANO, which, along with the Executive Board of RUSNANO Management Company LLC, has the power to dispose of the securities held directly by RUSNANO above a certain amount. Anatoly Chubais, Vladimir Avetissian, German Pikhoya, Oleg Kiselev, Boris Podolsky and Yury Udaltsov, as the members of the Executive Board of RUSNANO Management Company LLC, and Arkadiy Dvorkovich, Anatoly Chubais, Igor Agamirzyan, Mikhail Alfimov, Oleg Fomichev, Andrey Ivanov, Denis Manturov, Vladislav Putilin, Pavel Teplukhin, Viktor Vekselberg and Ilya Yuzhanov, as the members of the Board of Directors of RUSNANO, may be deemed to have or share beneficial ownership of these securities. Each of them disclaims any such beneficial ownership. The address of each of RUSNANO and RUSNANO Management Company LLC is</w:t>
      </w:r>
    </w:p>
    <w:p>
      <w:pPr>
        <w:spacing w:after="0" w:line="2" w:lineRule="exact"/>
        <w:rPr>
          <w:rFonts w:ascii="Arial" w:cs="Arial" w:eastAsia="Arial" w:hAnsi="Arial"/>
          <w:sz w:val="10"/>
          <w:szCs w:val="10"/>
          <w:color w:val="auto"/>
        </w:rPr>
      </w:pPr>
    </w:p>
    <w:p>
      <w:pPr>
        <w:ind w:left="1600"/>
        <w:spacing w:after="0"/>
        <w:rPr>
          <w:rFonts w:ascii="Arial" w:cs="Arial" w:eastAsia="Arial" w:hAnsi="Arial"/>
          <w:sz w:val="10"/>
          <w:szCs w:val="10"/>
          <w:color w:val="auto"/>
        </w:rPr>
      </w:pPr>
      <w:r>
        <w:rPr>
          <w:rFonts w:ascii="Arial" w:cs="Arial" w:eastAsia="Arial" w:hAnsi="Arial"/>
          <w:sz w:val="12"/>
          <w:szCs w:val="12"/>
          <w:color w:val="auto"/>
        </w:rPr>
        <w:t>10A prospect 60-letiya Oktyabrya, Moscow, Russia 117036.</w:t>
      </w:r>
    </w:p>
    <w:p>
      <w:pPr>
        <w:spacing w:after="0" w:line="95" w:lineRule="exact"/>
        <w:rPr>
          <w:rFonts w:ascii="Arial" w:cs="Arial" w:eastAsia="Arial" w:hAnsi="Arial"/>
          <w:sz w:val="10"/>
          <w:szCs w:val="10"/>
          <w:color w:val="auto"/>
        </w:rPr>
      </w:pPr>
    </w:p>
    <w:p>
      <w:pPr>
        <w:ind w:left="1600" w:right="20" w:hanging="463"/>
        <w:spacing w:after="0" w:line="276" w:lineRule="auto"/>
        <w:tabs>
          <w:tab w:leader="none" w:pos="1600" w:val="left"/>
        </w:tabs>
        <w:numPr>
          <w:ilvl w:val="0"/>
          <w:numId w:val="123"/>
        </w:numPr>
        <w:rPr>
          <w:rFonts w:ascii="Arial" w:cs="Arial" w:eastAsia="Arial" w:hAnsi="Arial"/>
          <w:sz w:val="10"/>
          <w:szCs w:val="10"/>
          <w:color w:val="auto"/>
        </w:rPr>
      </w:pPr>
      <w:r>
        <w:rPr>
          <w:rFonts w:ascii="Arial" w:cs="Arial" w:eastAsia="Arial" w:hAnsi="Arial"/>
          <w:sz w:val="10"/>
          <w:szCs w:val="10"/>
          <w:color w:val="auto"/>
        </w:rPr>
        <w:t>Consists of (i) 1,280,604 shares of common stock held by OrbiMed Private Investments III, LP, or OrbiMed Private, (ii) 6,513 shares of common stock underlying warrants exercisable within 60 days of May 31, 2016 held by OrbiMed Private, (iii) 12,193 shares of common stock held by OrbiMed Associates III, LP, or OrbiMed Associates and, together with OrbiMed Private, the OrbiMed Funds, and (iv) 61 shares of common stock underlying warrants exercisable within 60 days of May 31, 2016 held by OrbiMed Associates. OrbiMed Capital GP III LLC, or GP III, is the general partner of OrbiMed Private and OrbiMed Advisors LLC, or OrbiMed Advisors, is the managing member of GP III and the general partner of OrbiMed Associates. Mr. Samuel D. Isaly is the managing member of and owner of a controlling interest in OrbiMed Advisors. By virtue of such relationships, GP III, OrbiMed Advisors and Mr. Isaly may be deemed to have voting and investment power over the securities held by the OrbiMed Funds and as a result may be deemed to have beneficial ownership over such securities. Dr. Carl Gordon, one of our directors, is a member of OrbiMed Advisors. Each of GP III, OrbiMed Advisors, Mr. Isaly and Dr. Gordon disclaims beneficial ownership of all the shares held by the OrbiMed Funds except to the extent of its or his proportionate pecuniary interest therein. The mailing address of the beneficial owner is 601 Lexington Avenue, New York, NY 10022.</w:t>
      </w:r>
    </w:p>
    <w:p>
      <w:pPr>
        <w:spacing w:after="0" w:line="209" w:lineRule="exact"/>
        <w:rPr>
          <w:rFonts w:ascii="Arial" w:cs="Arial" w:eastAsia="Arial" w:hAnsi="Arial"/>
          <w:sz w:val="10"/>
          <w:szCs w:val="10"/>
          <w:color w:val="auto"/>
        </w:rPr>
      </w:pPr>
    </w:p>
    <w:p>
      <w:pPr>
        <w:ind w:left="1600" w:right="20" w:hanging="463"/>
        <w:spacing w:after="0" w:line="228" w:lineRule="auto"/>
        <w:tabs>
          <w:tab w:leader="none" w:pos="160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Consists of (i) 445,576 shares of common stock held by TAS Partners, LLC, or TAS, (ii) 4,304 shares of common stock underlying warrants exercisable within 60 days of May 31, 2016 held by TAS, (iii) 527,028 shares of common stock held by Leukon Investments LP, or Leukon, and (iv) 5,326 shares of common stock underlying warrants exercisable within 60 days of May 31, 2016. LKST, Inc. is the general partner of Leukon. Timothy Springer, our director nominee, is the president of LKST, Inc. and is also the manager of TAS. Mr. Springer disclaims beneficial ownership of the shares held by TAS and Leukon except to the extent of his pecuniary interest therein. Each of TAS and Leukon disclaim beneficial ownership of the shares held by the other except to the extent of their pecuniary interest therein. The address of TAS and Leukon is 36 Woodman Road, Chestnut Hill, MA 02467.</w:t>
      </w:r>
    </w:p>
    <w:p>
      <w:pPr>
        <w:spacing w:after="0" w:line="97" w:lineRule="exact"/>
        <w:rPr>
          <w:rFonts w:ascii="Arial" w:cs="Arial" w:eastAsia="Arial" w:hAnsi="Arial"/>
          <w:sz w:val="12"/>
          <w:szCs w:val="12"/>
          <w:color w:val="auto"/>
        </w:rPr>
      </w:pPr>
    </w:p>
    <w:p>
      <w:pPr>
        <w:ind w:left="1600" w:right="60" w:hanging="463"/>
        <w:spacing w:after="0" w:line="279" w:lineRule="auto"/>
        <w:tabs>
          <w:tab w:leader="none" w:pos="1600" w:val="left"/>
        </w:tabs>
        <w:numPr>
          <w:ilvl w:val="0"/>
          <w:numId w:val="123"/>
        </w:numPr>
        <w:rPr>
          <w:rFonts w:ascii="Arial" w:cs="Arial" w:eastAsia="Arial" w:hAnsi="Arial"/>
          <w:sz w:val="10"/>
          <w:szCs w:val="10"/>
          <w:color w:val="auto"/>
        </w:rPr>
      </w:pPr>
      <w:r>
        <w:rPr>
          <w:rFonts w:ascii="Arial" w:cs="Arial" w:eastAsia="Arial" w:hAnsi="Arial"/>
          <w:sz w:val="10"/>
          <w:szCs w:val="10"/>
          <w:color w:val="auto"/>
        </w:rPr>
        <w:t>Consists of (i) 660,957 shares of common stock held by NanoDimension L.P., or ND LP, and (ii) 7,007 shares of common stock underlying warrants exercisable within 60 days of May 31, 2016 held by ND LP. NanoDimension Management Ltd., or ND GP, serves as the general partner of ND LP and possesses power to direct the voting and disposition of the shares owned by ND LP and may be deemed to have indirect beneficial ownership of the shares held by ND LP. ND GP disclaims beneficial ownership of such shares, except to the extent of its pecuniary interest therein. The ND GP owns no securities of the issuer directly. Jonathan Nicholson and Richard Coles are the members of the board of directors of ND GP and share voting and dispositive power over the shares held by ND LP. Aymeric Sallin is a member of the investment advisory committee of NDGP that provide investment recommendation to NDGP. Each such person disclaims beneficial ownership of the shares reported herein, except to the extent of his respective pecuniary interest therein. The address for NanoDimension Limited Partnership is Governor's Square, Unit 3-213-6, 23 Lime Tree Bay Ave, Grand Cayman, Cayman Islands KY1-1302.</w:t>
      </w:r>
    </w:p>
    <w:p>
      <w:pPr>
        <w:spacing w:after="0" w:line="78" w:lineRule="exact"/>
        <w:rPr>
          <w:rFonts w:ascii="Arial" w:cs="Arial" w:eastAsia="Arial" w:hAnsi="Arial"/>
          <w:sz w:val="10"/>
          <w:szCs w:val="10"/>
          <w:color w:val="auto"/>
        </w:rPr>
      </w:pPr>
    </w:p>
    <w:p>
      <w:pPr>
        <w:ind w:left="1600" w:hanging="463"/>
        <w:spacing w:after="0"/>
        <w:tabs>
          <w:tab w:leader="none" w:pos="160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Includes 110,894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Includes 108,172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Includes 25,640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3"/>
        </w:numPr>
        <w:rPr>
          <w:rFonts w:ascii="Arial" w:cs="Arial" w:eastAsia="Arial" w:hAnsi="Arial"/>
          <w:sz w:val="10"/>
          <w:szCs w:val="10"/>
          <w:color w:val="auto"/>
        </w:rPr>
      </w:pPr>
      <w:r>
        <w:rPr>
          <w:rFonts w:ascii="Arial" w:cs="Arial" w:eastAsia="Arial" w:hAnsi="Arial"/>
          <w:sz w:val="10"/>
          <w:szCs w:val="10"/>
          <w:color w:val="auto"/>
        </w:rPr>
        <w:t>Includes (i) 65,652 shares of common stock underlying outstanding stock options exercisable within 60 days of May 31, 2016; (ii) 202,051 shares of common stock held by a family trust for which</w:t>
      </w:r>
    </w:p>
    <w:p>
      <w:pPr>
        <w:spacing w:after="0" w:line="22" w:lineRule="exact"/>
        <w:rPr>
          <w:rFonts w:ascii="Arial" w:cs="Arial" w:eastAsia="Arial" w:hAnsi="Arial"/>
          <w:sz w:val="10"/>
          <w:szCs w:val="10"/>
          <w:color w:val="auto"/>
        </w:rPr>
      </w:pPr>
    </w:p>
    <w:p>
      <w:pPr>
        <w:ind w:left="1600" w:right="180"/>
        <w:spacing w:after="0" w:line="230" w:lineRule="auto"/>
        <w:rPr>
          <w:rFonts w:ascii="Arial" w:cs="Arial" w:eastAsia="Arial" w:hAnsi="Arial"/>
          <w:sz w:val="10"/>
          <w:szCs w:val="10"/>
          <w:color w:val="auto"/>
        </w:rPr>
      </w:pPr>
      <w:r>
        <w:rPr>
          <w:rFonts w:ascii="Arial" w:cs="Arial" w:eastAsia="Arial" w:hAnsi="Arial"/>
          <w:sz w:val="12"/>
          <w:szCs w:val="12"/>
          <w:color w:val="auto"/>
        </w:rPr>
        <w:t>Dr. Farokhzad's wife serves as trustee; and (iii) 25,626 shares of common stock held by BioDynamics Core, L.P., which is managed by BioDynamics, LLC, of which Dr. Farokhzad is a member. Dr. Farokhzad disclaims beneficial ownership over the shares held by the family trust and BioDynamics Core, L.P. except to the extent of any pecuniary interest therein.</w:t>
      </w:r>
    </w:p>
    <w:p>
      <w:pPr>
        <w:spacing w:after="0" w:line="96" w:lineRule="exact"/>
        <w:rPr>
          <w:rFonts w:ascii="Arial" w:cs="Arial" w:eastAsia="Arial" w:hAnsi="Arial"/>
          <w:sz w:val="10"/>
          <w:szCs w:val="10"/>
          <w:color w:val="auto"/>
        </w:rPr>
      </w:pPr>
    </w:p>
    <w:p>
      <w:pPr>
        <w:ind w:left="1600" w:hanging="463"/>
        <w:spacing w:after="0"/>
        <w:tabs>
          <w:tab w:leader="none" w:pos="160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Includes 36,324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Includes 77,190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Includes 31,574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3"/>
        </w:numPr>
        <w:rPr>
          <w:rFonts w:ascii="Arial" w:cs="Arial" w:eastAsia="Arial" w:hAnsi="Arial"/>
          <w:sz w:val="10"/>
          <w:szCs w:val="10"/>
          <w:color w:val="auto"/>
        </w:rPr>
      </w:pPr>
      <w:r>
        <w:rPr>
          <w:rFonts w:ascii="Arial" w:cs="Arial" w:eastAsia="Arial" w:hAnsi="Arial"/>
          <w:sz w:val="10"/>
          <w:szCs w:val="10"/>
          <w:color w:val="auto"/>
        </w:rPr>
        <w:t>Includes (i) 833,558 shares of common stock underlying outstanding stock options and (ii) 57,180 shares of common stock underlying warrants exercisable within 60 days of May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6305"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4" w:name="page205"/>
    <w:bookmarkEnd w:id="20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Description of capital stock</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right="80"/>
        <w:spacing w:after="0" w:line="313" w:lineRule="auto"/>
        <w:rPr>
          <w:sz w:val="20"/>
          <w:szCs w:val="20"/>
          <w:color w:val="auto"/>
        </w:rPr>
      </w:pPr>
      <w:r>
        <w:rPr>
          <w:rFonts w:ascii="Arial" w:cs="Arial" w:eastAsia="Arial" w:hAnsi="Arial"/>
          <w:sz w:val="13"/>
          <w:szCs w:val="13"/>
          <w:color w:val="auto"/>
        </w:rPr>
        <w:t>The following description summarizes some of the terms of our restated certificate of incorporation and restated bylaws that will become effective upon the closing of this offering, our outstanding warrants, the investors' rights agreement and of the General Corporation Law of the State of Delaware. Because it is only a summary, it does not contain all the information that may be important to you. For a complete description, you should refer to our restated certificate of incorporation, restated bylaws, warrants and investors' rights agreement, copies of which have been or will be filed as exhibits to the registration statement of which this prospectus is a part, as well as the relevant provisions of the General Corporation Law of the State of Delaware. The description of our common stock and preferred stock reflects changes to our capital structure that will occur upon the closing of this offering.</w:t>
      </w:r>
    </w:p>
    <w:p>
      <w:pPr>
        <w:spacing w:after="0" w:line="137"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Following the closing of this offering, our authorized capital stock will consist of 200,000,000 shares of common stock, par value $0.0001 per share, and 10,000,000 shares of preferred stock, par value $0.0001 per share.</w:t>
      </w:r>
    </w:p>
    <w:p>
      <w:pPr>
        <w:spacing w:after="0" w:line="151" w:lineRule="exact"/>
        <w:rPr>
          <w:sz w:val="20"/>
          <w:szCs w:val="20"/>
          <w:color w:val="auto"/>
        </w:rPr>
      </w:pPr>
    </w:p>
    <w:p>
      <w:pPr>
        <w:jc w:val="both"/>
        <w:ind w:right="220"/>
        <w:spacing w:after="0" w:line="270" w:lineRule="auto"/>
        <w:rPr>
          <w:sz w:val="20"/>
          <w:szCs w:val="20"/>
          <w:color w:val="auto"/>
        </w:rPr>
      </w:pPr>
      <w:r>
        <w:rPr>
          <w:rFonts w:ascii="Arial" w:cs="Arial" w:eastAsia="Arial" w:hAnsi="Arial"/>
          <w:sz w:val="15"/>
          <w:szCs w:val="15"/>
          <w:color w:val="auto"/>
        </w:rPr>
        <w:t>On May 31, 2016, there were 2,773,468 shares of common stock outstanding, including 4,415 shares of unvested restricted common stock subject to repurchase by us, held of record by 80 stockholders. This amount does not include shares of common stock to be issued upon the conversion of outstanding shares of preferred stock that will convert automatically upon the closing of this offering.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"—Anti-takeover effects of Delaware law and our certificate of incorporation and bylaws" and "—Amendment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5" w:name="page206"/>
    <w:bookmarkEnd w:id="20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Under the terms of our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9"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OPTIONS</w:t>
      </w:r>
    </w:p>
    <w:p>
      <w:pPr>
        <w:spacing w:after="0" w:line="195"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As of May 31, 2016, options to purchase 1,723,704 shares of our common stock were outstanding under our 2008 plan, of which 677,324 had not vested and 1,046,380 had vested as of that date, excluding 390,796 shares of common stock issuable upon the exercise of options to be granted in connection with this offering under our 2016 Plan, which will become effective in connection with this offering, to some of our executive officers and employees, at an exercise price per share equal to the initial public offering price in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jc w:val="both"/>
        <w:ind w:right="380"/>
        <w:spacing w:after="0" w:line="297" w:lineRule="auto"/>
        <w:rPr>
          <w:sz w:val="20"/>
          <w:szCs w:val="20"/>
          <w:color w:val="auto"/>
        </w:rPr>
      </w:pPr>
      <w:r>
        <w:rPr>
          <w:rFonts w:ascii="Arial" w:cs="Arial" w:eastAsia="Arial" w:hAnsi="Arial"/>
          <w:sz w:val="14"/>
          <w:szCs w:val="14"/>
          <w:color w:val="auto"/>
        </w:rPr>
        <w:t>In connection with our credit facility, on August 9, 2013 and July 25 2014, we issued warrants to Oxford and Pacific Western Bank exercisable for an aggregate of 66,668 shares of our series D preferred stock. Upon conversion of the series D preferred stock into common stock in connection with this offering, the warrants will become exercisable for 17,888 shares of common stock at a weighted average exercise price of $16.77. If unexercised, the warrants will expire on August 9, 2023 and July 25, 2024.</w:t>
      </w:r>
    </w:p>
    <w:p>
      <w:pPr>
        <w:spacing w:after="0" w:line="144"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On July 24, 2015, we issued warrants to investors in a previous convertible note financing exercisable for an aggregate of 80,813 shares of common stock at an exercise price of $17.55 per share. If unexercised, the warrants will expire on July 24, 2018.</w:t>
      </w:r>
    </w:p>
    <w:p>
      <w:pPr>
        <w:spacing w:after="0" w:line="151"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On August 27, 2015, September 3, 2015 and September 17, 2015, we issued series E common warrants to the investors in our series E preferred stock financing exercisable for an aggregate of 569,791 shares of common stock at an exercise price of $0.04 per share. Upon the filing of the registration statement of which this prospectus forms a part, the warrants were automatically exercised on a cashless basis for an aggregate of 567,306 shares of common stock.</w:t>
      </w:r>
    </w:p>
    <w:p>
      <w:pPr>
        <w:spacing w:after="0" w:line="159"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In connection with our credit facility, on December 31, 2015, we issued warrants to Oxford and Pacific Western Bank exercisable for an aggregate of 37,978 shares of our series E preferred stock. Upon conversion of the series E preferred stock into common stock in connection with this offering, the warrants will become exercisable for 15,094 shares of common stock at a weighted average exercise price of $11.32 per share of common stock based on the initial public offering price of $14.00 per share. If unexercised, the warrants will expire on December 31, 2025.</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As of May 31, 2016, upon the closing of this offering, holders of approximately 12,251,700 shares of our common stock, including shares issuable upon the exercise of warrants, or their transferees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6" w:name="page207"/>
    <w:bookmarkEnd w:id="20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entitled to the following rights with respect to the registration of such shares for public resale under the Securities Act, pursuant to an amended and restated investors' rights agreement by and among us and certain of our stockholders,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registration rights</w:t>
      </w:r>
    </w:p>
    <w:p>
      <w:pPr>
        <w:spacing w:after="0" w:line="195"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If at any time beginning 180 days after the closing date of this offering the holders of at least 50% of the registrable securities request in writing that we effect a registration with respect to all or part of such registrable securities then outstanding, we may be required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Piggyback registration rights</w:t>
      </w:r>
    </w:p>
    <w:p>
      <w:pPr>
        <w:spacing w:after="0" w:line="195"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 S-3 registration rights</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If, at any time after we become entitled under the Securities Act to register our shares on a registration statement on Form S-3, the holders of the registrable securities request in writing that we effect a registration with respect to registrable securities at an aggregate price to the public in the offering of at least $2,000,000, we will be required to effect such registration; provided, however, that we will not be required to effect such a registration if, within a given calendar year, we have already effected two registrations on Form S-3 for the holders of registrable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 sky fees and expenses.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registration rights</w:t>
      </w:r>
    </w:p>
    <w:p>
      <w:pPr>
        <w:spacing w:after="0" w:line="195" w:lineRule="exact"/>
        <w:rPr>
          <w:sz w:val="20"/>
          <w:szCs w:val="20"/>
          <w:color w:val="auto"/>
        </w:rPr>
      </w:pPr>
    </w:p>
    <w:p>
      <w:pPr>
        <w:ind w:right="100"/>
        <w:spacing w:after="0" w:line="319" w:lineRule="auto"/>
        <w:rPr>
          <w:sz w:val="20"/>
          <w:szCs w:val="20"/>
          <w:color w:val="auto"/>
        </w:rPr>
      </w:pPr>
      <w:r>
        <w:rPr>
          <w:rFonts w:ascii="Arial" w:cs="Arial" w:eastAsia="Arial" w:hAnsi="Arial"/>
          <w:sz w:val="14"/>
          <w:szCs w:val="14"/>
          <w:color w:val="auto"/>
        </w:rPr>
        <w:t>The registration rights terminate upon the earlier of five years after the effective date of the registration statement of which this prospectus is a part, or, with respect to the registration rights of an individual holder, when the holder can sell all of such holder's registrable securities in a 90-day period without restriction under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07" w:name="page208"/>
    <w:bookmarkEnd w:id="20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DELAWARE LAW AND OUR CERTIFICATE OF INCORPORATION AND BYLAWS</w:t>
      </w:r>
    </w:p>
    <w:p>
      <w:pPr>
        <w:spacing w:after="0" w:line="195"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Some provisions of Delaware law, our restated certificate of incorporation and our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2"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Undesignated preferred stock</w:t>
      </w:r>
    </w:p>
    <w:p>
      <w:pPr>
        <w:spacing w:after="0" w:line="195" w:lineRule="exact"/>
        <w:rPr>
          <w:sz w:val="20"/>
          <w:szCs w:val="20"/>
          <w:color w:val="auto"/>
        </w:rPr>
      </w:pPr>
    </w:p>
    <w:p>
      <w:pPr>
        <w:jc w:val="both"/>
        <w:ind w:right="240"/>
        <w:spacing w:after="0" w:line="270" w:lineRule="auto"/>
        <w:rPr>
          <w:sz w:val="20"/>
          <w:szCs w:val="20"/>
          <w:color w:val="auto"/>
        </w:rPr>
      </w:pPr>
      <w:r>
        <w:rPr>
          <w:rFonts w:ascii="Arial" w:cs="Arial" w:eastAsia="Arial" w:hAnsi="Arial"/>
          <w:sz w:val="15"/>
          <w:szCs w:val="15"/>
          <w:color w:val="auto"/>
        </w:rPr>
        <w:t>The ability of our board of directors, without action by the stockholders, to issue shares of undesignated preferred stock under our restated certificate of incorporation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meetings</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Our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Requirements for advance notification of stockholder nominations and proposals</w:t>
      </w:r>
    </w:p>
    <w:p>
      <w:pPr>
        <w:spacing w:after="0" w:line="195"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Elimination of stockholder action by written consent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restated certificate of incorporation eliminates the right of stockholders to act by written consent without a meeting.</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Staggered board</w:t>
      </w:r>
    </w:p>
    <w:p>
      <w:pPr>
        <w:spacing w:after="0" w:line="195"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Our board of directors is divided into three classes. The directors in each class will serve for a three-year term,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8" w:name="page209"/>
    <w:bookmarkEnd w:id="20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Removal of directors</w:t>
      </w:r>
    </w:p>
    <w:p>
      <w:pPr>
        <w:spacing w:after="0" w:line="195" w:lineRule="exact"/>
        <w:rPr>
          <w:sz w:val="20"/>
          <w:szCs w:val="20"/>
          <w:color w:val="auto"/>
        </w:rPr>
      </w:pPr>
    </w:p>
    <w:p>
      <w:pPr>
        <w:ind w:right="280"/>
        <w:spacing w:after="0" w:line="319" w:lineRule="auto"/>
        <w:rPr>
          <w:sz w:val="20"/>
          <w:szCs w:val="20"/>
          <w:color w:val="auto"/>
        </w:rPr>
      </w:pPr>
      <w:r>
        <w:rPr>
          <w:rFonts w:ascii="Arial" w:cs="Arial" w:eastAsia="Arial" w:hAnsi="Arial"/>
          <w:sz w:val="14"/>
          <w:szCs w:val="14"/>
          <w:color w:val="auto"/>
        </w:rPr>
        <w:t>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not entitled to cumulative voting</w:t>
      </w:r>
    </w:p>
    <w:p>
      <w:pPr>
        <w:spacing w:after="0" w:line="195"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anti-takeover statute</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Choice of forum</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charter provisions</w:t>
      </w:r>
    </w:p>
    <w:p>
      <w:pPr>
        <w:spacing w:after="0" w:line="195" w:lineRule="exact"/>
        <w:rPr>
          <w:sz w:val="20"/>
          <w:szCs w:val="20"/>
          <w:color w:val="auto"/>
        </w:rPr>
      </w:pPr>
    </w:p>
    <w:p>
      <w:pPr>
        <w:ind w:right="460"/>
        <w:spacing w:after="0" w:line="282" w:lineRule="auto"/>
        <w:rPr>
          <w:sz w:val="20"/>
          <w:szCs w:val="20"/>
          <w:color w:val="auto"/>
        </w:rPr>
      </w:pPr>
      <w:r>
        <w:rPr>
          <w:rFonts w:ascii="Arial" w:cs="Arial" w:eastAsia="Arial" w:hAnsi="Arial"/>
          <w:sz w:val="15"/>
          <w:szCs w:val="15"/>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51"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is American Stock Transfer &amp; Trust Company, LLC.</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EXCHANGE LISTING</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common stock has been approved for listing on The NASDAQ Global Market under the symbol "SELB."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0" w:name="page211"/>
    <w:bookmarkEnd w:id="21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Shares eligible for future sale</w:t>
      </w:r>
    </w:p>
    <w:p>
      <w:pPr>
        <w:spacing w:after="0" w:line="183"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w:t>
      </w:r>
    </w:p>
    <w:p>
      <w:pPr>
        <w:spacing w:after="0" w:line="151"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Upon the closing of this offering, we will have outstanding an aggregate of 17,899,586 shares of common stock, assuming the issuance of 5,000,000 shares of common stock offered by us in this offering, after giving effect to the assumptions described under "Prospectus summary—The offering," and assuming no exercise of options or warrants after May 31, 2016.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32"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remaining 12,899,586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Additionally, any shares purchased in this offering by participants in our directed share program who purchase more than $1,000,000 of shares will be subject to a 25-day lock-up period and any shares purchased in this offering by our existing stockholders that are required to file reports pursuant to Section 16 of the Exchange Act will be subject to a 180-day lock-up period, in each case, unless the lock-up period is waived by UBS Securities LLC and Stifel, Nicolaus &amp; Company, Incorporated on behalf of the underwriters. Upon expiration of the lock-up period, we estimate that 12,899,586 shares will be available for sale in the public market, subject in some cases to applicable volume limitations under Rule 144.</w:t>
      </w:r>
    </w:p>
    <w:p>
      <w:pPr>
        <w:spacing w:after="0" w:line="154" w:lineRule="exact"/>
        <w:rPr>
          <w:sz w:val="20"/>
          <w:szCs w:val="20"/>
          <w:color w:val="auto"/>
        </w:rPr>
      </w:pPr>
    </w:p>
    <w:p>
      <w:pPr>
        <w:ind w:right="260"/>
        <w:spacing w:after="0" w:line="362" w:lineRule="auto"/>
        <w:rPr>
          <w:sz w:val="20"/>
          <w:szCs w:val="20"/>
          <w:color w:val="auto"/>
        </w:rPr>
      </w:pPr>
      <w:r>
        <w:rPr>
          <w:rFonts w:ascii="Arial" w:cs="Arial" w:eastAsia="Arial" w:hAnsi="Arial"/>
          <w:sz w:val="13"/>
          <w:szCs w:val="13"/>
          <w:color w:val="auto"/>
        </w:rPr>
        <w:t>In addition, of the 1,723,704 shares of our common stock that were subject to stock options outstanding as of May 31, 2016, options to purchase 1,046,380 shares of common stock were vested as of May 31, 2016 and, upon exercise, these shares will be eligible for sale subject to the lock-up agreements described below and Rules 144 and 701 under the Securities Act.</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and each of our directors and executive officers and holders of substantially all of our outstanding capital stock, have agreed that, without the prior written consent of UBS</w:t>
      </w:r>
    </w:p>
    <w:p>
      <w:pPr>
        <w:spacing w:after="0" w:line="29"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Securities LLC and Stifel, Nicolaus &amp; Company, Incorporated on behalf of the underwriters, we and they will not, subject to certain exceptions, during the period ending 180 days after the date of this prospectus:</w:t>
      </w:r>
    </w:p>
    <w:p>
      <w:pPr>
        <w:spacing w:after="0" w:line="167" w:lineRule="exact"/>
        <w:rPr>
          <w:sz w:val="20"/>
          <w:szCs w:val="20"/>
          <w:color w:val="auto"/>
        </w:rPr>
      </w:pPr>
    </w:p>
    <w:p>
      <w:pPr>
        <w:ind w:left="1380" w:right="100" w:hanging="461"/>
        <w:spacing w:after="0" w:line="270" w:lineRule="auto"/>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w:t>
      </w:r>
    </w:p>
    <w:p>
      <w:pPr>
        <w:spacing w:after="0" w:line="182" w:lineRule="exact"/>
        <w:rPr>
          <w:rFonts w:ascii="Arial" w:cs="Arial" w:eastAsia="Arial" w:hAnsi="Arial"/>
          <w:sz w:val="15"/>
          <w:szCs w:val="15"/>
          <w:color w:val="auto"/>
        </w:rPr>
      </w:pPr>
    </w:p>
    <w:p>
      <w:pPr>
        <w:ind w:right="560" w:firstLine="919"/>
        <w:spacing w:after="0" w:line="540" w:lineRule="auto"/>
        <w:tabs>
          <w:tab w:leader="none" w:pos="139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266305"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11" w:name="page212"/>
    <w:bookmarkEnd w:id="2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 For a further description of these lock-up agreements, please see "Underwriting."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 resales of restricted securities</w:t>
      </w:r>
    </w:p>
    <w:p>
      <w:pPr>
        <w:spacing w:after="0" w:line="195"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171" w:lineRule="exact"/>
        <w:rPr>
          <w:sz w:val="20"/>
          <w:szCs w:val="20"/>
          <w:color w:val="auto"/>
        </w:rPr>
      </w:pPr>
    </w:p>
    <w:p>
      <w:pPr>
        <w:ind w:left="1380" w:hanging="461"/>
        <w:spacing w:after="0"/>
        <w:tabs>
          <w:tab w:leader="none" w:pos="13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1% of the number of shares of our common stock then outstanding, which will equal approximately 178,996 shares immediately after this offering; or</w:t>
      </w:r>
    </w:p>
    <w:p>
      <w:pPr>
        <w:spacing w:after="0" w:line="221" w:lineRule="exact"/>
        <w:rPr>
          <w:rFonts w:ascii="Arial" w:cs="Arial" w:eastAsia="Arial" w:hAnsi="Arial"/>
          <w:sz w:val="15"/>
          <w:szCs w:val="15"/>
          <w:color w:val="auto"/>
        </w:rPr>
      </w:pPr>
    </w:p>
    <w:p>
      <w:pPr>
        <w:ind w:left="1380" w:right="600" w:hanging="461"/>
        <w:spacing w:after="0" w:line="282" w:lineRule="auto"/>
        <w:tabs>
          <w:tab w:leader="none" w:pos="13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average weekly trading volume in our common stock on The NASDAQ Global Market during the four calendar weeks preceding the filing of a notice on Form 144 with respect to such sale.</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Market concurrently with either the placing of a sale order with the broker or the execution directly with a market maker.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Non-affiliate resales of restricted securities</w:t>
      </w:r>
    </w:p>
    <w:p>
      <w:pPr>
        <w:spacing w:after="0" w:line="195"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19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2" w:name="page213"/>
    <w:bookmarkEnd w:id="21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20"/>
        <w:spacing w:after="0" w:line="319" w:lineRule="auto"/>
        <w:rPr>
          <w:sz w:val="20"/>
          <w:szCs w:val="20"/>
          <w:color w:val="auto"/>
        </w:rPr>
      </w:pPr>
      <w:r>
        <w:rPr>
          <w:rFonts w:ascii="Arial" w:cs="Arial" w:eastAsia="Arial" w:hAnsi="Arial"/>
          <w:sz w:val="14"/>
          <w:szCs w:val="14"/>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PLANS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Holders of shares of our common stock, including shares issuable upon the exercise of warrants, or their transferees will be entitled to registration rights with respect to such shares for public resale under the Securities Act. See "Description of capital stock—Registration rights" for additional information. Shares covered by a registration statement will be eligible for sale in the public market upon the expiration or release from the terms of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3" w:name="page214"/>
    <w:bookmarkEnd w:id="213"/>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0910" cy="7620"/>
                    </a:xfrm>
                    <a:prstGeom prst="rect">
                      <a:avLst/>
                    </a:prstGeom>
                    <a:noFill/>
                  </pic:spPr>
                </pic:pic>
              </a:graphicData>
            </a:graphic>
          </wp:anchor>
        </w:drawing>
        <w:t>Material U.S. federal income tax consequences to non-U.S. holders</w:t>
      </w:r>
    </w:p>
    <w:p>
      <w:pPr>
        <w:spacing w:after="0" w:line="183" w:lineRule="exact"/>
        <w:rPr>
          <w:sz w:val="20"/>
          <w:szCs w:val="20"/>
          <w:color w:val="auto"/>
        </w:rPr>
      </w:pPr>
    </w:p>
    <w:p>
      <w:pPr>
        <w:ind w:right="100"/>
        <w:spacing w:after="0" w:line="308" w:lineRule="auto"/>
        <w:rPr>
          <w:sz w:val="20"/>
          <w:szCs w:val="20"/>
          <w:color w:val="auto"/>
        </w:rPr>
      </w:pPr>
      <w:r>
        <w:rPr>
          <w:rFonts w:ascii="Arial" w:cs="Arial" w:eastAsia="Arial" w:hAnsi="Arial"/>
          <w:sz w:val="13"/>
          <w:szCs w:val="13"/>
          <w:color w:val="auto"/>
        </w:rPr>
        <w:t>The following discussion is a summary of certain material U.S. federal income tax consequences to non-U.S. holders (as defined below) of the purchase, ownership and disposition of our common stock issued pursuant to this offering, but does not purport to be a complete analysis of all potential tax consequences. The consequences of other U.S. federal tax laws, such as estate and gift tax laws, and any applicable state, local, or non-U.S. tax laws are not discussed. This discussion is based on the United States Internal Revenue Code of 1986, as amended, or the Code, Treasury Regulations promulgated thereunder, judicial decisions, and published rulings and administrative pronouncements of the United States Internal Revenue Service, or the IRS, in effect as of the date of this offering. These authorities may change or be subject to differing interpretations. Any such change or differing interpretation may be applied retroactively in a manner that could adversely affect a non-U.S. holder of our common stock. We have not sought and do not intend to seek any rulings from the IRS regarding the matters discussed below. There can be no assurance the IRS or a court will not take a contrary position regarding the tax consequences of the purchase, ownership, and disposition of our common stock.</w:t>
      </w:r>
    </w:p>
    <w:p>
      <w:pPr>
        <w:spacing w:after="0" w:line="139"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This discussion is limited to non-U.S. holders that hold our common stock as a "capital asset" within the meaning of Section 1221 of the Code (generally, property held for investment). This discussion does not address all U.S. federal income tax consequences that may be relevant to a non-U.S. holder in light of such non-U.S. holder's particular circumstances, including the impact of the Medicare contribution tax on net investment income. In addition, it does not address consequences relevant to non-U.S. holders subject to particular rules, including, without limitation:</w:t>
      </w:r>
    </w:p>
    <w:p>
      <w:pPr>
        <w:spacing w:after="0" w:line="173" w:lineRule="exact"/>
        <w:rPr>
          <w:sz w:val="20"/>
          <w:szCs w:val="20"/>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persons holding our common stock as part of a hedge, straddle, or other risk reduction strategy or as part of a conversion transaction or other integrated investment;</w:t>
      </w:r>
    </w:p>
    <w:p>
      <w:pPr>
        <w:spacing w:after="0" w:line="232" w:lineRule="exact"/>
        <w:rPr>
          <w:rFonts w:ascii="Arial" w:cs="Arial" w:eastAsia="Arial" w:hAnsi="Arial"/>
          <w:sz w:val="13"/>
          <w:szCs w:val="13"/>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brokers, dealers, or traders in securities or currencies;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S corporations, partnerships, or other entities or arrangements treated as partnerships for U.S. federal income tax purposes, or investors in any such entities;</w:t>
      </w:r>
    </w:p>
    <w:p>
      <w:pPr>
        <w:spacing w:after="0" w:line="221" w:lineRule="exact"/>
        <w:rPr>
          <w:rFonts w:ascii="Arial" w:cs="Arial" w:eastAsia="Arial" w:hAnsi="Arial"/>
          <w:sz w:val="14"/>
          <w:szCs w:val="14"/>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tax-exempt or governmental organizations;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persons for whom our stock constitutes "qualified small business stock" within the meaning of Section 1202 of the Code; and</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tax-qualified retirement plans.</w:t>
      </w:r>
    </w:p>
    <w:p>
      <w:pPr>
        <w:spacing w:after="0" w:line="198"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If a partnership (or other entity treated as a partnership for U.S. federal income tax purposes) holds our common stock, the tax treatment of a partner in the partnership will depend on the status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14" w:name="page215"/>
    <w:bookmarkEnd w:id="2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20"/>
        <w:spacing w:after="0" w:line="319" w:lineRule="auto"/>
        <w:rPr>
          <w:sz w:val="20"/>
          <w:szCs w:val="20"/>
          <w:color w:val="auto"/>
        </w:rPr>
      </w:pPr>
      <w:r>
        <w:rPr>
          <w:rFonts w:ascii="Arial" w:cs="Arial" w:eastAsia="Arial" w:hAnsi="Arial"/>
          <w:sz w:val="14"/>
          <w:szCs w:val="14"/>
          <w:color w:val="auto"/>
        </w:rPr>
        <w:t>partner, the activities of the partnership, and certain determinations made at the partner level. Partnerships holding our common stock and the partners in such partnerships should consult their tax advisors regarding the U.S. federal income tax consequences to them of the purchase, ownership, and disposition of our common stock.</w:t>
      </w:r>
    </w:p>
    <w:p>
      <w:pPr>
        <w:spacing w:after="0" w:line="124"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b w:val="1"/>
          <w:bCs w:val="1"/>
          <w:color w:val="auto"/>
        </w:rPr>
        <w:t>THIS DISCUSSION IS FOR INFORMATION PURPOSES ONLY AND IS NOT INTENDED AS, LEGAL OR TAX ADVICE. INVESTORS SHOULD CONSULT THEIR TAX ADVISORS WITH RESPECT TO THE APPLICATION OF THE U.S. FEDERAL INCOME TAX LAWS TO THEIR PARTICULAR SITUATIONS AS WELL AS ANY TAX CONSEQUENCES OF THE PURCHASE, OWNERSHIP, AND DISPOSITION OF OUR COMMON STOCK ARISING UNDER OTHER U.S. FEDERAL TAX LAWS OR UNDER THE LAWS OF ANY STATE, LOCAL, OR NON-U.S. TAXING JURISDICTION, OR UNDER ANY APPLICABLE INCOME TAX TREATY.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OF A NON-U.S. HOLDER</w:t>
      </w:r>
    </w:p>
    <w:p>
      <w:pPr>
        <w:spacing w:after="0" w:line="195" w:lineRule="exact"/>
        <w:rPr>
          <w:sz w:val="20"/>
          <w:szCs w:val="20"/>
          <w:color w:val="auto"/>
        </w:rPr>
      </w:pPr>
    </w:p>
    <w:p>
      <w:pPr>
        <w:ind w:right="340"/>
        <w:spacing w:after="0" w:line="319"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not a "U.S. person," a partnership, or an entity disregarded as separate from its owner, each for U.S. federal income tax purposes. A U.S. person is any person that, for U.S. federal income tax purposes, is or is treated as any of the following:</w:t>
      </w:r>
    </w:p>
    <w:p>
      <w:pPr>
        <w:spacing w:after="0" w:line="140" w:lineRule="exact"/>
        <w:rPr>
          <w:sz w:val="20"/>
          <w:szCs w:val="20"/>
          <w:color w:val="auto"/>
        </w:rPr>
      </w:pPr>
    </w:p>
    <w:p>
      <w:pPr>
        <w:ind w:left="1380" w:hanging="461"/>
        <w:spacing w:after="0"/>
        <w:tabs>
          <w:tab w:leader="none" w:pos="13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221" w:lineRule="exact"/>
        <w:rPr>
          <w:rFonts w:ascii="Arial" w:cs="Arial" w:eastAsia="Arial" w:hAnsi="Arial"/>
          <w:sz w:val="15"/>
          <w:szCs w:val="15"/>
          <w:color w:val="auto"/>
        </w:rPr>
      </w:pPr>
    </w:p>
    <w:p>
      <w:pPr>
        <w:ind w:left="1380" w:hanging="461"/>
        <w:spacing w:after="0" w:line="282" w:lineRule="auto"/>
        <w:tabs>
          <w:tab w:leader="none" w:pos="13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under the laws of the United States, any state thereof, or the District of Columbia;</w:t>
      </w:r>
    </w:p>
    <w:p>
      <w:pPr>
        <w:spacing w:after="0" w:line="162" w:lineRule="exact"/>
        <w:rPr>
          <w:rFonts w:ascii="Arial" w:cs="Arial" w:eastAsia="Arial" w:hAnsi="Arial"/>
          <w:sz w:val="15"/>
          <w:szCs w:val="15"/>
          <w:color w:val="auto"/>
        </w:rPr>
      </w:pPr>
    </w:p>
    <w:p>
      <w:pPr>
        <w:ind w:left="1380" w:hanging="461"/>
        <w:spacing w:after="0"/>
        <w:tabs>
          <w:tab w:leader="none" w:pos="13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209" w:lineRule="exact"/>
        <w:rPr>
          <w:rFonts w:ascii="Arial" w:cs="Arial" w:eastAsia="Arial" w:hAnsi="Arial"/>
          <w:sz w:val="15"/>
          <w:szCs w:val="15"/>
          <w:color w:val="auto"/>
        </w:rPr>
      </w:pPr>
    </w:p>
    <w:p>
      <w:pPr>
        <w:ind w:left="1380" w:right="300" w:hanging="461"/>
        <w:spacing w:after="0" w:line="282" w:lineRule="auto"/>
        <w:tabs>
          <w:tab w:leader="none" w:pos="13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As described in the section entitled "Dividend policy," we do not expect to declare or pay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5" w:name="page216"/>
    <w:bookmarkEnd w:id="215"/>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140"/>
        <w:spacing w:after="0" w:line="266"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62"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Any such effectively connected dividends will be subject to U.S. federal income tax on a net basis at regular graduated rates. A non-U.S. holder that is a corporation also may be subject to a branch profits taxed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SALE OR OTHER TAXABLE DISPOSITION</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non-U.S. holder will not be subject to U.S. federal income tax on any gain realized upon the sale or other taxable disposition of our common stock unless:</w:t>
      </w:r>
    </w:p>
    <w:p>
      <w:pPr>
        <w:spacing w:after="0" w:line="210" w:lineRule="exact"/>
        <w:rPr>
          <w:sz w:val="20"/>
          <w:szCs w:val="20"/>
          <w:color w:val="auto"/>
        </w:rPr>
      </w:pPr>
    </w:p>
    <w:p>
      <w:pPr>
        <w:ind w:left="1387" w:right="20" w:hanging="461"/>
        <w:spacing w:after="0" w:line="282" w:lineRule="auto"/>
        <w:tabs>
          <w:tab w:leader="none" w:pos="138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3" w:lineRule="exact"/>
        <w:rPr>
          <w:rFonts w:ascii="Arial" w:cs="Arial" w:eastAsia="Arial" w:hAnsi="Arial"/>
          <w:sz w:val="15"/>
          <w:szCs w:val="15"/>
          <w:color w:val="auto"/>
        </w:rPr>
      </w:pPr>
    </w:p>
    <w:p>
      <w:pPr>
        <w:ind w:left="1387" w:right="360" w:hanging="461"/>
        <w:spacing w:after="0" w:line="282" w:lineRule="auto"/>
        <w:tabs>
          <w:tab w:leader="none" w:pos="138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162" w:lineRule="exact"/>
        <w:rPr>
          <w:rFonts w:ascii="Arial" w:cs="Arial" w:eastAsia="Arial" w:hAnsi="Arial"/>
          <w:sz w:val="15"/>
          <w:szCs w:val="15"/>
          <w:color w:val="auto"/>
        </w:rPr>
      </w:pPr>
    </w:p>
    <w:p>
      <w:pPr>
        <w:ind w:left="1387" w:right="360" w:hanging="461"/>
        <w:spacing w:after="0" w:line="282" w:lineRule="auto"/>
        <w:tabs>
          <w:tab w:leader="none" w:pos="138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or USRPI, by reason of our status as a U.S. real property holding corporation, or a USRPHC, for U.S. federal income tax purposes.</w:t>
      </w:r>
    </w:p>
    <w:p>
      <w:pPr>
        <w:spacing w:after="0" w:line="151"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Gain described in the first bullet point above will generally be subject to U.S. federal income tax on a net income basis at regular graduated U.S. federal income tax rates. A non-U.S. holder that is taxed as a corporation for U.S. federal income tax purposes also may be subject to a branch profits tax at a rate of 30% (or such lower rate specified by an applicable income tax treaty) on such effectively connected gain, as adjusted for certain items.</w:t>
      </w:r>
    </w:p>
    <w:p>
      <w:pPr>
        <w:spacing w:after="0" w:line="159" w:lineRule="exact"/>
        <w:rPr>
          <w:sz w:val="20"/>
          <w:szCs w:val="20"/>
          <w:color w:val="auto"/>
        </w:rPr>
      </w:pPr>
    </w:p>
    <w:p>
      <w:pPr>
        <w:jc w:val="both"/>
        <w:ind w:left="7" w:right="100"/>
        <w:spacing w:after="0" w:line="270"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59" w:lineRule="exact"/>
        <w:rPr>
          <w:sz w:val="20"/>
          <w:szCs w:val="20"/>
          <w:color w:val="auto"/>
        </w:rPr>
      </w:pPr>
    </w:p>
    <w:p>
      <w:pPr>
        <w:ind w:left="7" w:right="160"/>
        <w:spacing w:after="0" w:line="299" w:lineRule="auto"/>
        <w:rPr>
          <w:sz w:val="20"/>
          <w:szCs w:val="20"/>
          <w:color w:val="auto"/>
        </w:rPr>
      </w:pPr>
      <w:r>
        <w:rPr>
          <w:rFonts w:ascii="Arial" w:cs="Arial" w:eastAsia="Arial" w:hAnsi="Arial"/>
          <w:sz w:val="13"/>
          <w:szCs w:val="13"/>
          <w:color w:val="auto"/>
        </w:rPr>
        <w:t>With respect to the third bullet point above, we believe we are not currently and do not expect to become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(i) such class of stock is "regularly traded," as defined by applicable Treasury Regulations, on an established securities market, and</w:t>
      </w:r>
    </w:p>
    <w:p>
      <w:pPr>
        <w:spacing w:after="0" w:line="1" w:lineRule="exact"/>
        <w:rPr>
          <w:sz w:val="20"/>
          <w:szCs w:val="20"/>
          <w:color w:val="auto"/>
        </w:rPr>
      </w:pPr>
    </w:p>
    <w:p>
      <w:pPr>
        <w:ind w:left="7" w:right="560" w:hanging="7"/>
        <w:spacing w:after="0" w:line="312" w:lineRule="auto"/>
        <w:tabs>
          <w:tab w:leader="none" w:pos="229" w:val="left"/>
        </w:tabs>
        <w:numPr>
          <w:ilvl w:val="0"/>
          <w:numId w:val="129"/>
        </w:numPr>
        <w:rPr>
          <w:rFonts w:ascii="Arial" w:cs="Arial" w:eastAsia="Arial" w:hAnsi="Arial"/>
          <w:sz w:val="14"/>
          <w:szCs w:val="14"/>
          <w:color w:val="auto"/>
        </w:rPr>
      </w:pPr>
      <w:r>
        <w:rPr>
          <w:rFonts w:ascii="Arial" w:cs="Arial" w:eastAsia="Arial" w:hAnsi="Arial"/>
          <w:sz w:val="14"/>
          <w:szCs w:val="14"/>
          <w:color w:val="auto"/>
        </w:rPr>
        <w:t>such non-U.S. holder owned, actually or constructively, 5% or less of such class of our stock throughout the shorter of the five-year period ending on the date of the sale or other disposition or the non-U.S. holder's holding period for such stock. If the foregoing exception does not apply, and if we are or were to become a USRPHC,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66305"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16" w:name="page217"/>
    <w:bookmarkEnd w:id="2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purchaser may be required to withhold 15%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Payments of dividends on our common stock will not generally be subject to backup withholding provided the applicable withholding agent does not have actual knowledge or reason to know such holder is a U.S. person and the holder either certifies its non-U.S. status, such as by providing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54"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Copies of these information returns that are filed with the IRS may also be made available under the provisions of a specific treaty or agreement to the tax authorities of the country in which the non-U.S. holder resides or is established.</w:t>
      </w:r>
    </w:p>
    <w:p>
      <w:pPr>
        <w:spacing w:after="0" w:line="151"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WITHHOLDING TAX ON PAYMENTS MADE TO FOREIGN ACCOUNTS</w:t>
      </w:r>
    </w:p>
    <w:p>
      <w:pPr>
        <w:spacing w:after="0" w:line="19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Withholding taxes may be imposed under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IRS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7" w:lineRule="exact"/>
        <w:rPr>
          <w:sz w:val="20"/>
          <w:szCs w:val="20"/>
          <w:color w:val="auto"/>
        </w:rPr>
      </w:pPr>
    </w:p>
    <w:p>
      <w:pPr>
        <w:ind w:right="360"/>
        <w:spacing w:after="0" w:line="270" w:lineRule="auto"/>
        <w:rPr>
          <w:sz w:val="20"/>
          <w:szCs w:val="20"/>
          <w:color w:val="auto"/>
        </w:rPr>
      </w:pPr>
      <w:r>
        <w:rPr>
          <w:rFonts w:ascii="Arial" w:cs="Arial" w:eastAsia="Arial" w:hAnsi="Arial"/>
          <w:sz w:val="15"/>
          <w:szCs w:val="15"/>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 Prospective investors should consult their tax advisors regarding the potential application of these withholding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7" w:name="page218"/>
    <w:bookmarkEnd w:id="217"/>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Underwriting</w:t>
      </w:r>
    </w:p>
    <w:p>
      <w:pPr>
        <w:spacing w:after="0" w:line="183" w:lineRule="exact"/>
        <w:rPr>
          <w:sz w:val="20"/>
          <w:szCs w:val="20"/>
          <w:color w:val="auto"/>
        </w:rPr>
      </w:pPr>
    </w:p>
    <w:p>
      <w:pPr>
        <w:ind w:left="7" w:right="100"/>
        <w:spacing w:after="0" w:line="266" w:lineRule="auto"/>
        <w:rPr>
          <w:sz w:val="20"/>
          <w:szCs w:val="20"/>
          <w:color w:val="auto"/>
        </w:rPr>
      </w:pPr>
      <w:r>
        <w:rPr>
          <w:rFonts w:ascii="Arial" w:cs="Arial" w:eastAsia="Arial" w:hAnsi="Arial"/>
          <w:sz w:val="15"/>
          <w:szCs w:val="15"/>
          <w:color w:val="auto"/>
        </w:rPr>
        <w:t>We are offering the shares of our common stock described in this prospectus through the underwriters named below. UBS Securities LLC and Stifel, Nicolaus &amp; Company, Incorporated are acting as joint book-running managers of this offering and as representatives of the underwriters. We have entered into an underwriting agreement with the representatives. Subject to the terms and conditions of the underwriting agreement, each of the underwriters has severally agreed to purchase, and we have agreed to sell to the underwriters, the number of shares of common stock listed next to its name in the following table.</w:t>
      </w:r>
    </w:p>
    <w:p>
      <w:pPr>
        <w:spacing w:after="0" w:line="159"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Number</w:t>
            </w:r>
          </w:p>
        </w:tc>
      </w:tr>
      <w:tr>
        <w:trPr>
          <w:trHeight w:val="149"/>
        </w:trPr>
        <w:tc>
          <w:tcPr>
            <w:tcW w:w="8240" w:type="dxa"/>
            <w:vAlign w:val="bottom"/>
            <w:gridSpan w:val="2"/>
          </w:tcPr>
          <w:p>
            <w:pPr>
              <w:spacing w:after="0"/>
              <w:rPr>
                <w:sz w:val="20"/>
                <w:szCs w:val="20"/>
                <w:color w:val="auto"/>
              </w:rPr>
            </w:pPr>
            <w:r>
              <w:rPr>
                <w:rFonts w:ascii="Arial" w:cs="Arial" w:eastAsia="Arial" w:hAnsi="Arial"/>
                <w:sz w:val="12"/>
                <w:szCs w:val="12"/>
                <w:b w:val="1"/>
                <w:bCs w:val="1"/>
                <w:color w:val="auto"/>
              </w:rPr>
              <w:t>Underwriters</w:t>
            </w: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of shares</w:t>
            </w:r>
          </w:p>
        </w:tc>
      </w:tr>
      <w:tr>
        <w:trPr>
          <w:trHeight w:val="177"/>
        </w:trPr>
        <w:tc>
          <w:tcPr>
            <w:tcW w:w="20" w:type="dxa"/>
            <w:vAlign w:val="bottom"/>
          </w:tcPr>
          <w:p>
            <w:pPr>
              <w:spacing w:after="0"/>
              <w:rPr>
                <w:sz w:val="15"/>
                <w:szCs w:val="15"/>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UBS Securities LLC</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2,000,000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8220" w:type="dxa"/>
            <w:vAlign w:val="bottom"/>
          </w:tcPr>
          <w:p>
            <w:pPr>
              <w:spacing w:after="0"/>
              <w:rPr>
                <w:sz w:val="20"/>
                <w:szCs w:val="20"/>
                <w:color w:val="auto"/>
              </w:rPr>
            </w:pPr>
            <w:r>
              <w:rPr>
                <w:rFonts w:ascii="Arial" w:cs="Arial" w:eastAsia="Arial" w:hAnsi="Arial"/>
                <w:sz w:val="15"/>
                <w:szCs w:val="15"/>
                <w:color w:val="auto"/>
              </w:rPr>
              <w:t>Stifel, Nicolaus &amp; Company, Incorporated</w:t>
            </w:r>
          </w:p>
        </w:tc>
        <w:tc>
          <w:tcPr>
            <w:tcW w:w="760" w:type="dxa"/>
            <w:vAlign w:val="bottom"/>
          </w:tcPr>
          <w:p>
            <w:pPr>
              <w:jc w:val="right"/>
              <w:spacing w:after="0"/>
              <w:rPr>
                <w:sz w:val="20"/>
                <w:szCs w:val="20"/>
                <w:color w:val="auto"/>
              </w:rPr>
            </w:pPr>
            <w:r>
              <w:rPr>
                <w:rFonts w:ascii="Arial" w:cs="Arial" w:eastAsia="Arial" w:hAnsi="Arial"/>
                <w:sz w:val="15"/>
                <w:szCs w:val="15"/>
                <w:color w:val="auto"/>
              </w:rPr>
              <w:t>1,750,000</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5"/>
                <w:szCs w:val="15"/>
                <w:color w:val="auto"/>
              </w:rPr>
              <w:t>Canaccord Genuity Inc.</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625,000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8220" w:type="dxa"/>
            <w:vAlign w:val="bottom"/>
          </w:tcPr>
          <w:p>
            <w:pPr>
              <w:spacing w:after="0"/>
              <w:rPr>
                <w:sz w:val="20"/>
                <w:szCs w:val="20"/>
                <w:color w:val="auto"/>
              </w:rPr>
            </w:pPr>
            <w:r>
              <w:rPr>
                <w:rFonts w:ascii="Arial" w:cs="Arial" w:eastAsia="Arial" w:hAnsi="Arial"/>
                <w:sz w:val="15"/>
                <w:szCs w:val="15"/>
                <w:color w:val="auto"/>
              </w:rPr>
              <w:t>Needham &amp; Company, LLC</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625,000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5,000,000</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The underwriting agreement provides that the underwriters must buy all of the shares of common stock if they buy any of them. However, the underwriters are not required to pay for the shares covered by the underwriters' option to purchase additional shares as described below.</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common stock is offered subject to a number of conditions, including:</w:t>
      </w:r>
    </w:p>
    <w:p>
      <w:pPr>
        <w:spacing w:after="0" w:line="210" w:lineRule="exact"/>
        <w:rPr>
          <w:sz w:val="20"/>
          <w:szCs w:val="20"/>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receipt and acceptance of our common stock by the underwriters;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underwriters' right to reject orders in whole or in part.</w:t>
      </w:r>
    </w:p>
    <w:p>
      <w:pPr>
        <w:spacing w:after="0" w:line="198"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We have been advised by the representatives that the underwriters intend to make a market in our common stock but that they are not obligated to do so and may discontinue making a market at any time without notice.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connection with this offering, certain of the underwriters or securities dealers may distribute prospectuses electronically.</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TO PURCHASE ADDITIONAL SHARES</w:t>
      </w:r>
    </w:p>
    <w:p>
      <w:pPr>
        <w:spacing w:after="0" w:line="195"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We have granted the underwriters an option to buy up to an aggregate of 750,000 additional shares of our common stock. The underwriters have 30 days from the date of this prospectus to exercise this option. If the underwriters exercise this option, they will each purchase additional shares of common stock approximately in proportion to the amounts specified in the table above.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 DISCOUNT</w:t>
      </w:r>
    </w:p>
    <w:p>
      <w:pPr>
        <w:spacing w:after="0" w:line="195"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Shares sold by the underwriters to the public will initially be offered at the initial offering price set forth on the cover of this prospectus. Any shares sold by the underwriters to securities dealers may be sold at a discount of up to $0.588 per share from the initial public offering price. Sales of shares made outside of the United States may be made by affiliates of the underwriters. If all the shares are not sold at the initial public offering price, the representatives may change the offering price and the other selling terms. Upon execution of the underwriting agreement, the underwriters will be obligated to purchase the shares at the prices and upon the terms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18" w:name="page219"/>
    <w:bookmarkEnd w:id="21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The following table shows the per share and total underwriting discount we will pay to the underwriters assuming both no exercise and full exercise of the underwriters' option to purchase up to 750,000 additional shares.</w:t>
      </w:r>
    </w:p>
    <w:p>
      <w:pPr>
        <w:spacing w:after="0" w:line="148"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60" w:type="dxa"/>
            <w:vAlign w:val="bottom"/>
            <w:gridSpan w:val="2"/>
          </w:tcPr>
          <w:p>
            <w:pPr>
              <w:jc w:val="right"/>
              <w:ind w:right="25"/>
              <w:spacing w:after="0"/>
              <w:rPr>
                <w:sz w:val="20"/>
                <w:szCs w:val="20"/>
                <w:color w:val="auto"/>
              </w:rPr>
            </w:pPr>
            <w:r>
              <w:rPr>
                <w:rFonts w:ascii="Arial" w:cs="Arial" w:eastAsia="Arial" w:hAnsi="Arial"/>
                <w:sz w:val="12"/>
                <w:szCs w:val="12"/>
                <w:b w:val="1"/>
                <w:bCs w:val="1"/>
                <w:color w:val="auto"/>
              </w:rPr>
              <w:t>No exercise</w:t>
            </w:r>
          </w:p>
        </w:tc>
        <w:tc>
          <w:tcPr>
            <w:tcW w:w="140" w:type="dxa"/>
            <w:vAlign w:val="bottom"/>
          </w:tcPr>
          <w:p>
            <w:pPr>
              <w:spacing w:after="0"/>
              <w:rPr>
                <w:sz w:val="12"/>
                <w:szCs w:val="12"/>
                <w:color w:val="auto"/>
              </w:rPr>
            </w:pP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Full exercise</w:t>
            </w:r>
          </w:p>
        </w:tc>
      </w:tr>
      <w:tr>
        <w:trPr>
          <w:trHeight w:val="177"/>
        </w:trPr>
        <w:tc>
          <w:tcPr>
            <w:tcW w:w="20" w:type="dxa"/>
            <w:vAlign w:val="bottom"/>
          </w:tcPr>
          <w:p>
            <w:pPr>
              <w:spacing w:after="0"/>
              <w:rPr>
                <w:sz w:val="15"/>
                <w:szCs w:val="15"/>
                <w:color w:val="auto"/>
              </w:rPr>
            </w:pPr>
          </w:p>
        </w:tc>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Per share</w:t>
            </w: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0.98</w:t>
            </w:r>
          </w:p>
        </w:tc>
        <w:tc>
          <w:tcPr>
            <w:tcW w:w="320" w:type="dxa"/>
            <w:vAlign w:val="bottom"/>
            <w:tcBorders>
              <w:top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0.98</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4,900,000</w:t>
            </w:r>
          </w:p>
        </w:tc>
        <w:tc>
          <w:tcPr>
            <w:tcW w:w="320" w:type="dxa"/>
            <w:vAlign w:val="bottom"/>
            <w:gridSpan w:val="2"/>
          </w:tcPr>
          <w:p>
            <w:pPr>
              <w:jc w:val="right"/>
              <w:ind w:right="38"/>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5,635,000</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estimate that the total expenses of the offering payable by us, not including the underwriting discount, will be approximately $3.9 million. We have agreed with the underwriters to pay certain fees and expenses related to the review and qualification of this offering by the Financial Industry Regulatory Authority, Inc. and "blue sky" expenses in an amount not to exceed $35,000.</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 SALES OF SIMILAR SECURITIES</w:t>
      </w:r>
    </w:p>
    <w:p>
      <w:pPr>
        <w:spacing w:after="0" w:line="195"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We, our executive officers and directors, and holders of substantially all of our common stock have entered into lock-up agreements with the underwriters. Under the lock-up agreements, subject to certain exceptions, we and each of these persons may not, without the prior written approval of UBS Securities LLC and Stifel, Nicolaus &amp; Company, Incorporated, offer, sell, contract to sell, pledge, or otherwise dispose of, directly or indirectly, or hedge our common stock or securities convertible into or exchangeable or exercisable for our common stock. These restrictions will be in effect for a period ending on and including the date that is 180 days after the date of this prospectus.</w:t>
      </w:r>
    </w:p>
    <w:p>
      <w:pPr>
        <w:spacing w:after="0" w:line="148"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UBS Securities LLC and Stifel, Nicolaus &amp; Company, Incorporated may, at any time and in their sole discretion, release some or all the securities from these lock-up agreements. If the restrictions under the lock-up agreements are waived, shares of our common stock may become available for resale into the market, subject to applicable law, which could reduce the market price of our common stock.</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INDEMNIFICATION</w:t>
      </w:r>
    </w:p>
    <w:p>
      <w:pPr>
        <w:spacing w:after="0" w:line="195" w:lineRule="exact"/>
        <w:rPr>
          <w:sz w:val="20"/>
          <w:szCs w:val="20"/>
          <w:color w:val="auto"/>
        </w:rPr>
      </w:pPr>
    </w:p>
    <w:p>
      <w:pPr>
        <w:ind w:left="7" w:right="240"/>
        <w:spacing w:after="0" w:line="282" w:lineRule="auto"/>
        <w:rPr>
          <w:sz w:val="20"/>
          <w:szCs w:val="20"/>
          <w:color w:val="auto"/>
        </w:rPr>
      </w:pPr>
      <w:r>
        <w:rPr>
          <w:rFonts w:ascii="Arial" w:cs="Arial" w:eastAsia="Arial" w:hAnsi="Arial"/>
          <w:sz w:val="15"/>
          <w:szCs w:val="15"/>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NASDAQ LISTING</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common stock has been approved for listing on The NASDAQ Global Market under the symbol "SELB."</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PRICE STABILIZATION, SHORT POSITIONS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connection with this offering, the underwriters may engage in activities that stabilize, maintain or otherwise affect the price of our common stock during and after this offering, including:</w:t>
      </w:r>
    </w:p>
    <w:p>
      <w:pPr>
        <w:spacing w:after="0" w:line="233" w:lineRule="exact"/>
        <w:rPr>
          <w:sz w:val="20"/>
          <w:szCs w:val="20"/>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stabilizing transactions;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purchases to cover positions created by 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imposition of penalty bids;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syndicate covering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3" w:right="279" w:bottom="1440" w:gutter="0" w:footer="0" w:header="0"/>
        </w:sectPr>
      </w:pPr>
    </w:p>
    <w:bookmarkStart w:id="219" w:name="page220"/>
    <w:bookmarkEnd w:id="219"/>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Stabilizing transactions consist of bids or purchases made for the purpose of preventing or retarding a decline in the market price of our common stock while this offering is in progress. Stabilization transactions permit bids to purchase the underlying security so long as the stabilizing bids do not exceed a specified maximum. These transactions may also include making short sales of our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49"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59" w:lineRule="exact"/>
        <w:rPr>
          <w:sz w:val="20"/>
          <w:szCs w:val="20"/>
          <w:color w:val="auto"/>
        </w:rPr>
      </w:pPr>
    </w:p>
    <w:p>
      <w:pPr>
        <w:jc w:val="both"/>
        <w:ind w:left="7" w:right="160"/>
        <w:spacing w:after="0" w:line="270" w:lineRule="auto"/>
        <w:rPr>
          <w:sz w:val="20"/>
          <w:szCs w:val="20"/>
          <w:color w:val="auto"/>
        </w:rPr>
      </w:pPr>
      <w:r>
        <w:rPr>
          <w:rFonts w:ascii="Arial" w:cs="Arial" w:eastAsia="Arial" w:hAnsi="Arial"/>
          <w:sz w:val="15"/>
          <w:szCs w:val="15"/>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59"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151" w:lineRule="exact"/>
        <w:rPr>
          <w:sz w:val="20"/>
          <w:szCs w:val="20"/>
          <w:color w:val="auto"/>
        </w:rPr>
      </w:pPr>
    </w:p>
    <w:p>
      <w:pPr>
        <w:ind w:left="7" w:right="40"/>
        <w:spacing w:after="0" w:line="262" w:lineRule="auto"/>
        <w:rPr>
          <w:sz w:val="20"/>
          <w:szCs w:val="20"/>
          <w:color w:val="auto"/>
        </w:rPr>
      </w:pPr>
      <w:r>
        <w:rPr>
          <w:rFonts w:ascii="Arial" w:cs="Arial" w:eastAsia="Arial" w:hAnsi="Arial"/>
          <w:sz w:val="15"/>
          <w:szCs w:val="15"/>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NASDAQ,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DETERMINATION OF OFFERING PRICE</w:t>
      </w:r>
    </w:p>
    <w:p>
      <w:pPr>
        <w:spacing w:after="0" w:line="195" w:lineRule="exact"/>
        <w:rPr>
          <w:sz w:val="20"/>
          <w:szCs w:val="20"/>
          <w:color w:val="auto"/>
        </w:rPr>
      </w:pPr>
    </w:p>
    <w:p>
      <w:pPr>
        <w:ind w:left="7" w:right="680"/>
        <w:spacing w:after="0" w:line="282" w:lineRule="auto"/>
        <w:rPr>
          <w:sz w:val="20"/>
          <w:szCs w:val="20"/>
          <w:color w:val="auto"/>
        </w:rPr>
      </w:pPr>
      <w:r>
        <w:rPr>
          <w:rFonts w:ascii="Arial" w:cs="Arial" w:eastAsia="Arial" w:hAnsi="Arial"/>
          <w:sz w:val="15"/>
          <w:szCs w:val="15"/>
          <w:color w:val="auto"/>
        </w:rPr>
        <w:t>Prior to this offering, there was no public market for our common stock. The initial public offering price will be determined by negotiation among us and the representatives of the underwriters. The principal factors to be considered in determining the initial public offering price include:</w:t>
      </w:r>
    </w:p>
    <w:p>
      <w:pPr>
        <w:spacing w:after="0" w:line="162" w:lineRule="exact"/>
        <w:rPr>
          <w:sz w:val="20"/>
          <w:szCs w:val="20"/>
          <w:color w:val="auto"/>
        </w:rPr>
      </w:pPr>
    </w:p>
    <w:p>
      <w:pPr>
        <w:ind w:left="467" w:hanging="467"/>
        <w:spacing w:after="0"/>
        <w:tabs>
          <w:tab w:leader="none" w:pos="46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our history and prospects and the history and prospects for the industry in which we compete;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our past and present financial performance;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our prospects for future earnings and the present state of our development;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general condition of the securities market at the time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20" w:name="page221"/>
    <w:bookmarkEnd w:id="22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recent market prices of, and demand for, publicly traded common stock of generally comparable companies;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other factors deemed relevant by the underwriters and us.</w:t>
      </w:r>
    </w:p>
    <w:p>
      <w:pPr>
        <w:spacing w:after="0" w:line="198"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common stock or that the common stock will trade in the public market at or above the initial public offering price.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At our request, the underwriters have reserved up to 5% of the common stock being offered by this prospectus for sale at the initial public offering price to our directors, officers, employees and other individuals associated with us and members of their families. The sales will be made by UBS Financial Services Inc., a selected dealer affiliated with UBS Securities LLC, an underwriter of this offering, through a directed share program. We do not know if these persons will choose to purchase all or any portion of these reserved shares, but any purchases they do make will reduce the number of shares available to the general public. Any reserved shares not so purchased will be offered by the underwriters to the general public on the same terms as the other shares of common stock. Participants in the directed share program who purchase more than $1,000,000 of shares shall be subject to a 25-day lock-up with respect to any shares sold to them pursuant to that program. This lock-up will have similar restrictions to the lock-up agreements described in "Shares eligible for future sale—Lock-up agreements." Any shares sold in the directed share program to our directors or executive officers shall be subject to the lock-up agreements described above.</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AFFILIATIONS</w:t>
      </w:r>
    </w:p>
    <w:p>
      <w:pPr>
        <w:spacing w:after="0" w:line="195" w:lineRule="exact"/>
        <w:rPr>
          <w:sz w:val="20"/>
          <w:szCs w:val="20"/>
          <w:color w:val="auto"/>
        </w:rPr>
      </w:pPr>
    </w:p>
    <w:p>
      <w:pPr>
        <w:ind w:left="7" w:right="20"/>
        <w:spacing w:after="0" w:line="308"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or instruments of us. The underwriters and their respective affiliates may also make investment recommendations or publish or express independent research views in respect of these securities or instruments and may at any time hold, or recommend to clients that they acquire, long or short positions in these securities and instruments.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ELECTRONIC DISTRIBUTION</w:t>
      </w:r>
    </w:p>
    <w:p>
      <w:pPr>
        <w:spacing w:after="0" w:line="195" w:lineRule="exact"/>
        <w:rPr>
          <w:sz w:val="20"/>
          <w:szCs w:val="20"/>
          <w:color w:val="auto"/>
        </w:rPr>
      </w:pPr>
    </w:p>
    <w:p>
      <w:pPr>
        <w:ind w:left="7" w:right="40"/>
        <w:spacing w:after="0" w:line="290" w:lineRule="auto"/>
        <w:rPr>
          <w:sz w:val="20"/>
          <w:szCs w:val="20"/>
          <w:color w:val="auto"/>
        </w:rPr>
      </w:pPr>
      <w:r>
        <w:rPr>
          <w:rFonts w:ascii="Arial" w:cs="Arial" w:eastAsia="Arial" w:hAnsi="Arial"/>
          <w:sz w:val="14"/>
          <w:szCs w:val="14"/>
          <w:color w:val="auto"/>
        </w:rPr>
        <w:t>A prospectus in electronic format may be made available on the internet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3" w:right="279" w:bottom="1440" w:gutter="0" w:footer="0" w:header="0"/>
        </w:sectPr>
      </w:pPr>
    </w:p>
    <w:bookmarkStart w:id="221" w:name="page222"/>
    <w:bookmarkEnd w:id="22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NOTICE TO PROSPECTIVE INVESTORS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European Economic Area</w:t>
      </w:r>
    </w:p>
    <w:p>
      <w:pPr>
        <w:spacing w:after="0" w:line="195"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an offer to the public of any shares of common stock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73" w:lineRule="exact"/>
        <w:rPr>
          <w:sz w:val="20"/>
          <w:szCs w:val="20"/>
          <w:color w:val="auto"/>
        </w:rPr>
      </w:pPr>
    </w:p>
    <w:p>
      <w:pPr>
        <w:ind w:left="467" w:hanging="467"/>
        <w:spacing w:after="0"/>
        <w:tabs>
          <w:tab w:leader="none" w:pos="467"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Directive;</w:t>
      </w:r>
    </w:p>
    <w:p>
      <w:pPr>
        <w:spacing w:after="0" w:line="221" w:lineRule="exact"/>
        <w:rPr>
          <w:rFonts w:ascii="Arial" w:cs="Arial" w:eastAsia="Arial" w:hAnsi="Arial"/>
          <w:sz w:val="15"/>
          <w:szCs w:val="15"/>
          <w:color w:val="auto"/>
        </w:rPr>
      </w:pPr>
    </w:p>
    <w:p>
      <w:pPr>
        <w:ind w:left="467" w:right="200" w:hanging="467"/>
        <w:spacing w:after="0" w:line="362" w:lineRule="auto"/>
        <w:tabs>
          <w:tab w:leader="none" w:pos="46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by the underwriters to fewer than 100, or, if the Relevant Member State has implemented the relevant provisions of the 2010 PD Amending Directive, 150, natural or legal persons (other than qualified investors as defined in the Prospectus Directive) subject to obtaining the prior consent of the representatives of the underwriters for any such offer; or</w:t>
      </w:r>
    </w:p>
    <w:p>
      <w:pPr>
        <w:spacing w:after="0" w:line="116" w:lineRule="exact"/>
        <w:rPr>
          <w:rFonts w:ascii="Arial" w:cs="Arial" w:eastAsia="Arial" w:hAnsi="Arial"/>
          <w:sz w:val="13"/>
          <w:szCs w:val="13"/>
          <w:color w:val="auto"/>
        </w:rPr>
      </w:pPr>
    </w:p>
    <w:p>
      <w:pPr>
        <w:ind w:left="467" w:right="20" w:hanging="467"/>
        <w:spacing w:after="0" w:line="282" w:lineRule="auto"/>
        <w:tabs>
          <w:tab w:leader="none" w:pos="467"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shall result in a requirement us or any underwriter to publish a prospectus pursuant to Article 3 of the Prospectus Directive or supplement a prospectus pursuant to Article 16 of the Prospectus Directive.</w:t>
      </w:r>
    </w:p>
    <w:p>
      <w:pPr>
        <w:spacing w:after="0" w:line="151"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EEA selling restriction is in addition to any other selling restrictions set out in this prospectus.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United Kingdom</w:t>
      </w:r>
    </w:p>
    <w:p>
      <w:pPr>
        <w:spacing w:after="0" w:line="195"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such shares will be engaged in only with, relevant persons. Any person who is not a relevant person should not act or rely on this prospectus or any of its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22" w:name="page223"/>
    <w:bookmarkEnd w:id="2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Australia</w:t>
      </w:r>
    </w:p>
    <w:p>
      <w:pPr>
        <w:spacing w:after="0" w:line="195" w:lineRule="exact"/>
        <w:rPr>
          <w:sz w:val="20"/>
          <w:szCs w:val="20"/>
          <w:color w:val="auto"/>
        </w:rPr>
      </w:pPr>
    </w:p>
    <w:p>
      <w:pPr>
        <w:ind w:right="200"/>
        <w:spacing w:after="0" w:line="266" w:lineRule="auto"/>
        <w:rPr>
          <w:sz w:val="20"/>
          <w:szCs w:val="20"/>
          <w:color w:val="auto"/>
        </w:rPr>
      </w:pPr>
      <w:r>
        <w:rPr>
          <w:rFonts w:ascii="Arial" w:cs="Arial" w:eastAsia="Arial" w:hAnsi="Arial"/>
          <w:sz w:val="15"/>
          <w:szCs w:val="15"/>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59"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our securities, you represent and warrant to us that you are a person who does not require disclosure under Part 6D.2 and who is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195" w:lineRule="exact"/>
        <w:rPr>
          <w:sz w:val="20"/>
          <w:szCs w:val="20"/>
          <w:color w:val="auto"/>
        </w:rPr>
      </w:pPr>
    </w:p>
    <w:p>
      <w:pPr>
        <w:ind w:right="20"/>
        <w:spacing w:after="0" w:line="306" w:lineRule="auto"/>
        <w:rPr>
          <w:sz w:val="20"/>
          <w:szCs w:val="20"/>
          <w:color w:val="auto"/>
        </w:rPr>
      </w:pPr>
      <w:r>
        <w:rPr>
          <w:rFonts w:ascii="Arial" w:cs="Arial" w:eastAsia="Arial" w:hAnsi="Arial"/>
          <w:sz w:val="13"/>
          <w:szCs w:val="13"/>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our securities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SFO and any rules made thereunder.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Japan</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Our securities have not been and will not be registered under the Financial Instruments and Exchange Law of Japan (the Financial Instruments and Exchange Law) and our securities will not be offered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23" w:name="page224"/>
    <w:bookmarkEnd w:id="223"/>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330" w:lineRule="auto"/>
        <w:rPr>
          <w:sz w:val="20"/>
          <w:szCs w:val="20"/>
          <w:color w:val="auto"/>
        </w:rPr>
      </w:pPr>
      <w:r>
        <w:rPr>
          <w:rFonts w:ascii="Arial" w:cs="Arial" w:eastAsia="Arial" w:hAnsi="Arial"/>
          <w:sz w:val="13"/>
          <w:szCs w:val="13"/>
          <w:color w:val="auto"/>
        </w:rPr>
        <w:t>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Singapore</w:t>
      </w:r>
    </w:p>
    <w:p>
      <w:pPr>
        <w:spacing w:after="0" w:line="195"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5"/>
          <w:szCs w:val="15"/>
          <w:color w:val="auto"/>
        </w:rPr>
        <w:t>Where our securities are subscribed or purchased under Section 275 by a relevant person which is:</w:t>
      </w:r>
    </w:p>
    <w:p>
      <w:pPr>
        <w:spacing w:after="0" w:line="210" w:lineRule="exact"/>
        <w:rPr>
          <w:sz w:val="20"/>
          <w:szCs w:val="20"/>
          <w:color w:val="auto"/>
        </w:rPr>
      </w:pPr>
    </w:p>
    <w:p>
      <w:pPr>
        <w:ind w:left="467" w:right="320" w:hanging="467"/>
        <w:spacing w:after="0" w:line="282" w:lineRule="auto"/>
        <w:tabs>
          <w:tab w:leader="none" w:pos="46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5"/>
          <w:szCs w:val="15"/>
          <w:color w:val="auto"/>
        </w:rPr>
      </w:pPr>
    </w:p>
    <w:p>
      <w:pPr>
        <w:ind w:left="467" w:right="220" w:hanging="467"/>
        <w:spacing w:after="0" w:line="270" w:lineRule="auto"/>
        <w:tabs>
          <w:tab w:leader="none" w:pos="46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our securities pursuant to an offer made under Section 275 except:</w:t>
      </w:r>
    </w:p>
    <w:p>
      <w:pPr>
        <w:spacing w:after="0" w:line="355" w:lineRule="exact"/>
        <w:rPr>
          <w:rFonts w:ascii="Arial" w:cs="Arial" w:eastAsia="Arial" w:hAnsi="Arial"/>
          <w:sz w:val="15"/>
          <w:szCs w:val="15"/>
          <w:color w:val="auto"/>
        </w:rPr>
      </w:pPr>
    </w:p>
    <w:p>
      <w:pPr>
        <w:ind w:left="927" w:right="20" w:hanging="464"/>
        <w:spacing w:after="0" w:line="282" w:lineRule="auto"/>
        <w:tabs>
          <w:tab w:leader="none" w:pos="927" w:val="left"/>
        </w:tabs>
        <w:numPr>
          <w:ilvl w:val="1"/>
          <w:numId w:val="135"/>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 (i)(B) of the SFA;</w:t>
      </w:r>
    </w:p>
    <w:p>
      <w:pPr>
        <w:spacing w:after="0" w:line="162" w:lineRule="exact"/>
        <w:rPr>
          <w:rFonts w:ascii="Arial" w:cs="Arial" w:eastAsia="Arial" w:hAnsi="Arial"/>
          <w:sz w:val="15"/>
          <w:szCs w:val="15"/>
          <w:color w:val="auto"/>
        </w:rPr>
      </w:pPr>
    </w:p>
    <w:p>
      <w:pPr>
        <w:ind w:left="927" w:hanging="464"/>
        <w:spacing w:after="0"/>
        <w:tabs>
          <w:tab w:leader="none" w:pos="927" w:val="left"/>
        </w:tabs>
        <w:numPr>
          <w:ilvl w:val="1"/>
          <w:numId w:val="135"/>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221" w:lineRule="exact"/>
        <w:rPr>
          <w:rFonts w:ascii="Arial" w:cs="Arial" w:eastAsia="Arial" w:hAnsi="Arial"/>
          <w:sz w:val="15"/>
          <w:szCs w:val="15"/>
          <w:color w:val="auto"/>
        </w:rPr>
      </w:pPr>
    </w:p>
    <w:p>
      <w:pPr>
        <w:ind w:left="927" w:hanging="464"/>
        <w:spacing w:after="0"/>
        <w:tabs>
          <w:tab w:leader="none" w:pos="927" w:val="left"/>
        </w:tabs>
        <w:numPr>
          <w:ilvl w:val="1"/>
          <w:numId w:val="135"/>
        </w:numPr>
        <w:rPr>
          <w:rFonts w:ascii="Arial" w:cs="Arial" w:eastAsia="Arial" w:hAnsi="Arial"/>
          <w:sz w:val="15"/>
          <w:szCs w:val="15"/>
          <w:color w:val="auto"/>
        </w:rPr>
      </w:pPr>
      <w:r>
        <w:rPr>
          <w:rFonts w:ascii="Arial" w:cs="Arial" w:eastAsia="Arial" w:hAnsi="Arial"/>
          <w:sz w:val="15"/>
          <w:szCs w:val="15"/>
          <w:color w:val="auto"/>
        </w:rPr>
        <w:t>where the transfer is by operation of law; or</w:t>
      </w:r>
    </w:p>
    <w:p>
      <w:pPr>
        <w:spacing w:after="0" w:line="209" w:lineRule="exact"/>
        <w:rPr>
          <w:rFonts w:ascii="Arial" w:cs="Arial" w:eastAsia="Arial" w:hAnsi="Arial"/>
          <w:sz w:val="15"/>
          <w:szCs w:val="15"/>
          <w:color w:val="auto"/>
        </w:rPr>
      </w:pPr>
    </w:p>
    <w:p>
      <w:pPr>
        <w:ind w:left="927" w:hanging="464"/>
        <w:spacing w:after="0"/>
        <w:tabs>
          <w:tab w:leader="none" w:pos="927" w:val="left"/>
        </w:tabs>
        <w:numPr>
          <w:ilvl w:val="1"/>
          <w:numId w:val="135"/>
        </w:numPr>
        <w:rPr>
          <w:rFonts w:ascii="Arial" w:cs="Arial" w:eastAsia="Arial" w:hAnsi="Arial"/>
          <w:sz w:val="15"/>
          <w:szCs w:val="15"/>
          <w:color w:val="auto"/>
        </w:rPr>
      </w:pPr>
      <w:r>
        <w:rPr>
          <w:rFonts w:ascii="Arial" w:cs="Arial" w:eastAsia="Arial" w:hAnsi="Arial"/>
          <w:sz w:val="15"/>
          <w:szCs w:val="15"/>
          <w:color w:val="auto"/>
        </w:rPr>
        <w:t>as specified in Section 276(7) of the SFA.</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Switzerland</w:t>
      </w:r>
    </w:p>
    <w:p>
      <w:pPr>
        <w:spacing w:after="0" w:line="195" w:lineRule="exact"/>
        <w:rPr>
          <w:sz w:val="20"/>
          <w:szCs w:val="20"/>
          <w:color w:val="auto"/>
        </w:rPr>
      </w:pPr>
    </w:p>
    <w:p>
      <w:pPr>
        <w:ind w:left="7" w:right="280"/>
        <w:spacing w:after="0" w:line="266" w:lineRule="auto"/>
        <w:rPr>
          <w:sz w:val="20"/>
          <w:szCs w:val="20"/>
          <w:color w:val="auto"/>
        </w:rPr>
      </w:pPr>
      <w:r>
        <w:rPr>
          <w:rFonts w:ascii="Arial" w:cs="Arial" w:eastAsia="Arial" w:hAnsi="Arial"/>
          <w:sz w:val="15"/>
          <w:szCs w:val="15"/>
          <w:color w:val="auto"/>
        </w:rPr>
        <w:t>This Prospectus does not constitute an issue prospectus pursuant to Article 652a or Article 1156 of the Swiss Code of Obligations (CO) and the shares will not be listed on the SIX Swiss Exchange. Therefore, the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24" w:name="page225"/>
    <w:bookmarkEnd w:id="22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Greece</w:t>
      </w:r>
    </w:p>
    <w:p>
      <w:pPr>
        <w:spacing w:after="0" w:line="195"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The securities have not been approved by the Hellenic Capital Markets Commission for distribution and marketing in Greece. This document and the information contained therein do not and shall not be deemed to constitute an invitation to the public in Greece to purchase the securities. The securities may not be advertised, distributed, offered or in any way sold in Greece except as permitted by Greek law.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Dubai International Finance Centre</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This prospectus relates to an Exempt Offer in accordance with the Markets Rules of the Dubai Financial Services Authority. This prospectus is intended for distribution only to Professional Clients who are not natural persons.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prospectus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5" w:name="page226"/>
    <w:bookmarkEnd w:id="225"/>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0910" cy="7620"/>
                    </a:xfrm>
                    <a:prstGeom prst="rect">
                      <a:avLst/>
                    </a:prstGeom>
                    <a:noFill/>
                  </pic:spPr>
                </pic:pic>
              </a:graphicData>
            </a:graphic>
          </wp:anchor>
        </w:drawing>
        <w:t>Legal matters</w:t>
      </w:r>
    </w:p>
    <w:p>
      <w:pPr>
        <w:spacing w:after="0" w:line="183" w:lineRule="exact"/>
        <w:rPr>
          <w:sz w:val="20"/>
          <w:szCs w:val="20"/>
          <w:color w:val="auto"/>
        </w:rPr>
      </w:pPr>
    </w:p>
    <w:p>
      <w:pPr>
        <w:ind w:right="660"/>
        <w:spacing w:after="0" w:line="282" w:lineRule="auto"/>
        <w:rPr>
          <w:sz w:val="20"/>
          <w:szCs w:val="20"/>
          <w:color w:val="auto"/>
        </w:rPr>
      </w:pPr>
      <w:r>
        <w:rPr>
          <w:rFonts w:ascii="Arial" w:cs="Arial" w:eastAsia="Arial" w:hAnsi="Arial"/>
          <w:sz w:val="15"/>
          <w:szCs w:val="15"/>
          <w:color w:val="auto"/>
        </w:rPr>
        <w:t>The validity of the shares of common stock offered hereby will be passed upon for us by Latham &amp; Watkins LLP. Certain legal matters will be passed upon for the underwriters by Cooley LLP.</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Experts</w: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Our consolidated financial statements as of December 31, 2014 and December 31, 2015, and for the years then ended, appearing in this prospectus and the related registration statement have been audited by Ernst &amp; Young LLP, independent registered public accounting firm, as set forth in their report thereon (which contains an explanatory paragraph describing conditions that raise substantial doubt about our ability to continue as a going concern as described in Note 1 to the consolidated financial statements) appearing elsewhere herein, and are included in reliance on such report given on the authority of such firm as experts in accounting and auditing.</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Where you can find more information</w:t>
      </w:r>
    </w:p>
    <w:p>
      <w:pPr>
        <w:spacing w:after="0" w:line="183"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Exchange Act. You may read and copy this information at the Public Reference Room of the SEC, 100 F Street, N.E., Room 1580, Washington, District of Columbia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site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26" w:name="page227"/>
    <w:bookmarkEnd w:id="22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28091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INDEX TO CONSOLIDATED FINANCIAL STATEMENTS</w:t>
      </w:r>
    </w:p>
    <w:p>
      <w:pPr>
        <w:spacing w:after="0" w:line="183" w:lineRule="exact"/>
        <w:rPr>
          <w:sz w:val="20"/>
          <w:szCs w:val="20"/>
          <w:color w:val="auto"/>
        </w:rPr>
      </w:pPr>
    </w:p>
    <w:p>
      <w:pPr>
        <w:ind w:left="1140"/>
        <w:spacing w:after="0"/>
        <w:rPr>
          <w:rFonts w:ascii="Arial" w:cs="Arial" w:eastAsia="Arial" w:hAnsi="Arial"/>
          <w:sz w:val="15"/>
          <w:szCs w:val="15"/>
          <w:u w:val="single" w:color="auto"/>
          <w:color w:val="0000EE"/>
        </w:rPr>
      </w:pPr>
      <w:hyperlink w:anchor="page228">
        <w:r>
          <w:rPr>
            <w:rFonts w:ascii="Arial" w:cs="Arial" w:eastAsia="Arial" w:hAnsi="Arial"/>
            <w:sz w:val="15"/>
            <w:szCs w:val="15"/>
            <w:u w:val="single" w:color="auto"/>
            <w:color w:val="0000EE"/>
          </w:rPr>
          <w:t>Report of Independent Registered Public Accounting Firm</w:t>
        </w:r>
      </w:hyperlink>
    </w:p>
    <w:p>
      <w:pPr>
        <w:spacing w:after="0" w:line="18" w:lineRule="exact"/>
        <w:rPr>
          <w:sz w:val="20"/>
          <w:szCs w:val="20"/>
          <w:color w:val="auto"/>
        </w:rPr>
      </w:pPr>
    </w:p>
    <w:p>
      <w:pPr>
        <w:ind w:left="1140" w:right="160"/>
        <w:spacing w:after="0" w:line="297" w:lineRule="auto"/>
        <w:rPr>
          <w:rFonts w:ascii="Arial" w:cs="Arial" w:eastAsia="Arial" w:hAnsi="Arial"/>
          <w:sz w:val="13"/>
          <w:szCs w:val="13"/>
          <w:u w:val="single" w:color="auto"/>
          <w:color w:val="0000EE"/>
        </w:rPr>
      </w:pPr>
      <w:hyperlink w:anchor="page229">
        <w:r>
          <w:rPr>
            <w:rFonts w:ascii="Arial" w:cs="Arial" w:eastAsia="Arial" w:hAnsi="Arial"/>
            <w:sz w:val="13"/>
            <w:szCs w:val="13"/>
            <w:u w:val="single" w:color="auto"/>
            <w:color w:val="0000EE"/>
          </w:rPr>
          <w:t>Consolidated Balance Sheets as of December 31, 2014 and 2015 and as of March 31, 2016 Actual and Pro Forma (unaudited)</w:t>
        </w:r>
      </w:hyperlink>
      <w:r>
        <w:rPr>
          <w:rFonts w:ascii="Arial" w:cs="Arial" w:eastAsia="Arial" w:hAnsi="Arial"/>
          <w:sz w:val="13"/>
          <w:szCs w:val="13"/>
          <w:u w:val="single" w:color="auto"/>
          <w:color w:val="0000EE"/>
        </w:rPr>
        <w:t xml:space="preserve"> </w:t>
      </w:r>
      <w:hyperlink w:anchor="page230">
        <w:r>
          <w:rPr>
            <w:rFonts w:ascii="Arial" w:cs="Arial" w:eastAsia="Arial" w:hAnsi="Arial"/>
            <w:sz w:val="13"/>
            <w:szCs w:val="13"/>
            <w:u w:val="single" w:color="auto"/>
            <w:color w:val="0000EE"/>
          </w:rPr>
          <w:t>Consolidated Statements of Operations and Comprehensive Loss for the years ended December 31, 2014 and 2015 and the three months</w:t>
        </w:r>
      </w:hyperlink>
    </w:p>
    <w:p>
      <w:pPr>
        <w:spacing w:after="0" w:line="1" w:lineRule="exact"/>
        <w:rPr>
          <w:sz w:val="20"/>
          <w:szCs w:val="20"/>
          <w:color w:val="auto"/>
        </w:rPr>
      </w:pPr>
    </w:p>
    <w:p>
      <w:pPr>
        <w:ind w:left="1300"/>
        <w:spacing w:after="0"/>
        <w:rPr>
          <w:rFonts w:ascii="Arial" w:cs="Arial" w:eastAsia="Arial" w:hAnsi="Arial"/>
          <w:sz w:val="15"/>
          <w:szCs w:val="15"/>
          <w:u w:val="single" w:color="auto"/>
          <w:color w:val="0000EE"/>
        </w:rPr>
      </w:pPr>
      <w:hyperlink w:anchor="page230">
        <w:r>
          <w:rPr>
            <w:rFonts w:ascii="Arial" w:cs="Arial" w:eastAsia="Arial" w:hAnsi="Arial"/>
            <w:sz w:val="15"/>
            <w:szCs w:val="15"/>
            <w:u w:val="single" w:color="auto"/>
            <w:color w:val="0000EE"/>
          </w:rPr>
          <w:t>ended March 31, 2015 and 2016 (unaudited)</w:t>
        </w:r>
      </w:hyperlink>
    </w:p>
    <w:p>
      <w:pPr>
        <w:spacing w:after="0" w:line="13" w:lineRule="exact"/>
        <w:rPr>
          <w:sz w:val="20"/>
          <w:szCs w:val="20"/>
          <w:color w:val="auto"/>
        </w:rPr>
      </w:pPr>
    </w:p>
    <w:p>
      <w:pPr>
        <w:ind w:left="1300" w:hanging="153"/>
        <w:spacing w:after="0" w:line="257" w:lineRule="auto"/>
        <w:rPr>
          <w:rFonts w:ascii="Arial" w:cs="Arial" w:eastAsia="Arial" w:hAnsi="Arial"/>
          <w:sz w:val="15"/>
          <w:szCs w:val="15"/>
          <w:u w:val="single" w:color="auto"/>
          <w:color w:val="0000EE"/>
        </w:rPr>
      </w:pPr>
      <w:hyperlink w:anchor="page231">
        <w:r>
          <w:rPr>
            <w:rFonts w:ascii="Arial" w:cs="Arial" w:eastAsia="Arial" w:hAnsi="Arial"/>
            <w:sz w:val="15"/>
            <w:szCs w:val="15"/>
            <w:u w:val="single" w:color="auto"/>
            <w:color w:val="0000EE"/>
          </w:rPr>
          <w:t>Consolidated Statements of Redeemable Convertible Preferred Stock and Stockholders' Deficit for the years ended December 31, 2014 and</w:t>
        </w:r>
      </w:hyperlink>
      <w:r>
        <w:rPr>
          <w:rFonts w:ascii="Arial" w:cs="Arial" w:eastAsia="Arial" w:hAnsi="Arial"/>
          <w:sz w:val="15"/>
          <w:szCs w:val="15"/>
          <w:u w:val="single" w:color="auto"/>
          <w:color w:val="0000EE"/>
        </w:rPr>
        <w:t xml:space="preserve"> </w:t>
      </w:r>
      <w:hyperlink w:anchor="page231">
        <w:r>
          <w:rPr>
            <w:rFonts w:ascii="Arial" w:cs="Arial" w:eastAsia="Arial" w:hAnsi="Arial"/>
            <w:sz w:val="15"/>
            <w:szCs w:val="15"/>
            <w:u w:val="single" w:color="auto"/>
            <w:color w:val="0000EE"/>
          </w:rPr>
          <w:t>2015 and the three months ended March 31, 2015 and 2016 (unaudited)</w:t>
        </w:r>
      </w:hyperlink>
    </w:p>
    <w:p>
      <w:pPr>
        <w:spacing w:after="0" w:line="1" w:lineRule="exact"/>
        <w:rPr>
          <w:sz w:val="20"/>
          <w:szCs w:val="20"/>
          <w:color w:val="auto"/>
        </w:rPr>
      </w:pPr>
    </w:p>
    <w:p>
      <w:pPr>
        <w:ind w:left="1300" w:right="40" w:hanging="153"/>
        <w:spacing w:after="0" w:line="257" w:lineRule="auto"/>
        <w:rPr>
          <w:rFonts w:ascii="Arial" w:cs="Arial" w:eastAsia="Arial" w:hAnsi="Arial"/>
          <w:sz w:val="15"/>
          <w:szCs w:val="15"/>
          <w:u w:val="single" w:color="auto"/>
          <w:color w:val="0000EE"/>
        </w:rPr>
      </w:pPr>
      <w:hyperlink w:anchor="page233">
        <w:r>
          <w:rPr>
            <w:rFonts w:ascii="Arial" w:cs="Arial" w:eastAsia="Arial" w:hAnsi="Arial"/>
            <w:sz w:val="15"/>
            <w:szCs w:val="15"/>
            <w:u w:val="single" w:color="auto"/>
            <w:color w:val="0000EE"/>
          </w:rPr>
          <w:t>Consolidated Statements of Cash Flows for the years ended December 31, 2014 and 2015 and the three months ended March 31, 2015 and</w:t>
        </w:r>
      </w:hyperlink>
      <w:r>
        <w:rPr>
          <w:rFonts w:ascii="Arial" w:cs="Arial" w:eastAsia="Arial" w:hAnsi="Arial"/>
          <w:sz w:val="15"/>
          <w:szCs w:val="15"/>
          <w:u w:val="single" w:color="auto"/>
          <w:color w:val="0000EE"/>
        </w:rPr>
        <w:t xml:space="preserve"> </w:t>
      </w:r>
      <w:hyperlink w:anchor="page233">
        <w:r>
          <w:rPr>
            <w:rFonts w:ascii="Arial" w:cs="Arial" w:eastAsia="Arial" w:hAnsi="Arial"/>
            <w:sz w:val="15"/>
            <w:szCs w:val="15"/>
            <w:u w:val="single" w:color="auto"/>
            <w:color w:val="0000EE"/>
          </w:rPr>
          <w:t>2016 (unaudited)</w:t>
        </w:r>
      </w:hyperlink>
    </w:p>
    <w:p>
      <w:pPr>
        <w:spacing w:after="0" w:line="1" w:lineRule="exact"/>
        <w:rPr>
          <w:sz w:val="20"/>
          <w:szCs w:val="20"/>
          <w:color w:val="auto"/>
        </w:rPr>
      </w:pPr>
    </w:p>
    <w:p>
      <w:pPr>
        <w:ind w:left="1140"/>
        <w:spacing w:after="0"/>
        <w:rPr>
          <w:rFonts w:ascii="Arial" w:cs="Arial" w:eastAsia="Arial" w:hAnsi="Arial"/>
          <w:sz w:val="15"/>
          <w:szCs w:val="15"/>
          <w:u w:val="single" w:color="auto"/>
          <w:color w:val="0000EE"/>
        </w:rPr>
      </w:pPr>
      <w:hyperlink w:anchor="page234">
        <w:r>
          <w:rPr>
            <w:rFonts w:ascii="Arial" w:cs="Arial" w:eastAsia="Arial" w:hAnsi="Arial"/>
            <w:sz w:val="15"/>
            <w:szCs w:val="15"/>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28">
        <w:r>
          <w:rPr>
            <w:rFonts w:ascii="Arial" w:cs="Arial" w:eastAsia="Arial" w:hAnsi="Arial"/>
            <w:sz w:val="14"/>
            <w:szCs w:val="14"/>
            <w:b w:val="1"/>
            <w:bCs w:val="1"/>
            <w:u w:val="single" w:color="auto"/>
            <w:color w:val="0000EE"/>
          </w:rPr>
          <w:t>F-2</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29">
        <w:r>
          <w:rPr>
            <w:rFonts w:ascii="Arial" w:cs="Arial" w:eastAsia="Arial" w:hAnsi="Arial"/>
            <w:sz w:val="14"/>
            <w:szCs w:val="14"/>
            <w:b w:val="1"/>
            <w:bCs w:val="1"/>
            <w:u w:val="single" w:color="auto"/>
            <w:color w:val="0000EE"/>
          </w:rPr>
          <w:t>F-3</w:t>
        </w:r>
      </w:hyperlink>
    </w:p>
    <w:p>
      <w:pPr>
        <w:spacing w:after="0" w:line="19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0">
        <w:r>
          <w:rPr>
            <w:rFonts w:ascii="Arial" w:cs="Arial" w:eastAsia="Arial" w:hAnsi="Arial"/>
            <w:sz w:val="14"/>
            <w:szCs w:val="14"/>
            <w:b w:val="1"/>
            <w:bCs w:val="1"/>
            <w:u w:val="single" w:color="auto"/>
            <w:color w:val="0000EE"/>
          </w:rPr>
          <w:t>F-4</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1">
        <w:r>
          <w:rPr>
            <w:rFonts w:ascii="Arial" w:cs="Arial" w:eastAsia="Arial" w:hAnsi="Arial"/>
            <w:sz w:val="14"/>
            <w:szCs w:val="14"/>
            <w:b w:val="1"/>
            <w:bCs w:val="1"/>
            <w:u w:val="single" w:color="auto"/>
            <w:color w:val="0000EE"/>
          </w:rPr>
          <w:t>F-5</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3">
        <w:r>
          <w:rPr>
            <w:rFonts w:ascii="Arial" w:cs="Arial" w:eastAsia="Arial" w:hAnsi="Arial"/>
            <w:sz w:val="14"/>
            <w:szCs w:val="14"/>
            <w:b w:val="1"/>
            <w:bCs w:val="1"/>
            <w:u w:val="single" w:color="auto"/>
            <w:color w:val="0000EE"/>
          </w:rPr>
          <w:t>F-6</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4">
        <w:r>
          <w:rPr>
            <w:rFonts w:ascii="Arial" w:cs="Arial" w:eastAsia="Arial" w:hAnsi="Arial"/>
            <w:sz w:val="14"/>
            <w:szCs w:val="14"/>
            <w:b w:val="1"/>
            <w:bCs w:val="1"/>
            <w:u w:val="single" w:color="auto"/>
            <w:color w:val="0000EE"/>
          </w:rPr>
          <w:t>F-7</w:t>
        </w:r>
      </w:hyperlink>
    </w:p>
    <w:p>
      <w:pPr>
        <w:spacing w:after="0" w:line="200" w:lineRule="exact"/>
        <w:rPr>
          <w:sz w:val="20"/>
          <w:szCs w:val="20"/>
          <w:color w:val="auto"/>
        </w:rPr>
      </w:pPr>
    </w:p>
    <w:p>
      <w:pPr>
        <w:sectPr>
          <w:pgSz w:w="11900" w:h="16838" w:orient="portrait"/>
          <w:cols w:equalWidth="0" w:num="2">
            <w:col w:w="9520" w:space="400"/>
            <w:col w:w="1520"/>
          </w:cols>
          <w:pgMar w:left="240" w:top="132" w:right="219" w:bottom="1440" w:gutter="0" w:footer="0" w:header="0"/>
          <w:type w:val="continuous"/>
        </w:sectPr>
      </w:pPr>
    </w:p>
    <w:p>
      <w:pPr>
        <w:spacing w:after="0" w:line="59"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27" w:name="page228"/>
    <w:bookmarkEnd w:id="22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 and Subsidiaries</w:t>
      </w:r>
    </w:p>
    <w:p>
      <w:pPr>
        <w:spacing w:after="0" w:line="193"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We have audited the accompanying consolidated balance sheets of Selecta Biosciences, Inc. and subsidiaries ("the Company") as of December 31, 2015 and 2014, and the related consolidated statements of comprehensive loss, redeemable convertible preferred stock and stockholders' deficit, and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4" w:lineRule="exact"/>
        <w:rPr>
          <w:sz w:val="20"/>
          <w:szCs w:val="20"/>
          <w:color w:val="auto"/>
        </w:rPr>
      </w:pPr>
    </w:p>
    <w:p>
      <w:pPr>
        <w:ind w:right="320"/>
        <w:spacing w:after="0" w:line="270"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Selecta Biosciences, Inc. and subsidiaries at December 31, 2015 and 2014, and the consolidated results of its operations and its cash flows for each of the two years in the period ended December 31, 2015, in conformity with U.S. generally accepted accounting principles.</w:t>
      </w:r>
    </w:p>
    <w:p>
      <w:pPr>
        <w:spacing w:after="0" w:line="15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recurring losses from operations and negative cash flows from operations and will require additional capital to fund planned operations.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March 30, 2016, except for Note 17(b), as to which the date is June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8" w:name="page229"/>
    <w:bookmarkEnd w:id="22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BALANCE SHEETS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Pro forma</w:t>
            </w:r>
          </w:p>
        </w:tc>
      </w:tr>
      <w:tr>
        <w:trPr>
          <w:trHeight w:val="14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March 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6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21"/>
        </w:trPr>
        <w:tc>
          <w:tcPr>
            <w:tcW w:w="6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0"/>
                <w:szCs w:val="10"/>
                <w:color w:val="auto"/>
              </w:rPr>
            </w:pPr>
          </w:p>
        </w:tc>
        <w:tc>
          <w:tcPr>
            <w:tcW w:w="68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auto"/>
                <w:w w:val="97"/>
              </w:rPr>
              <w:t>(unaudited)</w:t>
            </w:r>
          </w:p>
        </w:tc>
        <w:tc>
          <w:tcPr>
            <w:tcW w:w="140" w:type="dxa"/>
            <w:vAlign w:val="bottom"/>
          </w:tcPr>
          <w:p>
            <w:pPr>
              <w:spacing w:after="0"/>
              <w:rPr>
                <w:sz w:val="10"/>
                <w:szCs w:val="10"/>
                <w:color w:val="auto"/>
              </w:rPr>
            </w:pPr>
          </w:p>
        </w:tc>
      </w:tr>
      <w:tr>
        <w:trPr>
          <w:trHeight w:val="14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15"/>
          </w:tcPr>
          <w:p>
            <w:pPr>
              <w:spacing w:after="0"/>
              <w:rPr>
                <w:sz w:val="20"/>
                <w:szCs w:val="20"/>
                <w:color w:val="auto"/>
              </w:rPr>
            </w:pPr>
            <w:r>
              <w:rPr>
                <w:rFonts w:ascii="Arial" w:cs="Arial" w:eastAsia="Arial" w:hAnsi="Arial"/>
                <w:sz w:val="12"/>
                <w:szCs w:val="12"/>
                <w:b w:val="1"/>
                <w:bCs w:val="1"/>
                <w:color w:val="auto"/>
              </w:rPr>
              <w:t>(in thousands, except share and per share data)</w:t>
            </w: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17,051</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17,051</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Short term investments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4,125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8,928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8,928</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Restricted cash</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1,244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682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682</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Accounts receivable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674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824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1,627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1,627</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Prepaid expenses and other current assets</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602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1,494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1,598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1,598</w:t>
            </w:r>
          </w:p>
        </w:tc>
        <w:tc>
          <w:tcPr>
            <w:tcW w:w="140" w:type="dxa"/>
            <w:vAlign w:val="bottom"/>
            <w:shd w:val="clear" w:color="auto" w:fill="CCEEFF"/>
          </w:tcPr>
          <w:p>
            <w:pPr>
              <w:spacing w:after="0"/>
              <w:rPr>
                <w:sz w:val="11"/>
                <w:szCs w:val="11"/>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current assets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9" w:lineRule="exact"/>
              <w:rPr>
                <w:sz w:val="20"/>
                <w:szCs w:val="20"/>
                <w:color w:val="auto"/>
              </w:rPr>
            </w:pPr>
            <w:r>
              <w:rPr>
                <w:rFonts w:ascii="Arial" w:cs="Arial" w:eastAsia="Arial" w:hAnsi="Arial"/>
                <w:sz w:val="12"/>
                <w:szCs w:val="12"/>
                <w:color w:val="auto"/>
              </w:rPr>
              <w:t>19,112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2"/>
                <w:szCs w:val="12"/>
                <w:color w:val="auto"/>
              </w:rPr>
              <w:t>38,913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29,886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29,886</w:t>
            </w:r>
          </w:p>
        </w:tc>
        <w:tc>
          <w:tcPr>
            <w:tcW w:w="140" w:type="dxa"/>
            <w:vAlign w:val="bottom"/>
          </w:tcPr>
          <w:p>
            <w:pPr>
              <w:spacing w:after="0"/>
              <w:rPr>
                <w:sz w:val="10"/>
                <w:szCs w:val="10"/>
                <w:color w:val="auto"/>
              </w:rPr>
            </w:pPr>
          </w:p>
        </w:tc>
      </w:tr>
      <w:tr>
        <w:trPr>
          <w:trHeight w:val="255"/>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1,983</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w:t>
            </w:r>
          </w:p>
        </w:tc>
        <w:tc>
          <w:tcPr>
            <w:tcW w:w="140" w:type="dxa"/>
            <w:vAlign w:val="bottom"/>
            <w:shd w:val="clear" w:color="auto" w:fill="CCEEFF"/>
          </w:tcPr>
          <w:p>
            <w:pPr>
              <w:spacing w:after="0"/>
              <w:rPr>
                <w:sz w:val="22"/>
                <w:szCs w:val="22"/>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Restricted cash and other deposits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1,106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1,566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2,481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2,481</w:t>
            </w:r>
          </w:p>
        </w:tc>
        <w:tc>
          <w:tcPr>
            <w:tcW w:w="140" w:type="dxa"/>
            <w:vAlign w:val="bottom"/>
            <w:shd w:val="clear" w:color="auto" w:fill="CCEEFF"/>
          </w:tcPr>
          <w:p>
            <w:pPr>
              <w:spacing w:after="0"/>
              <w:rPr>
                <w:sz w:val="11"/>
                <w:szCs w:val="11"/>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assets</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22,228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34,723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34,723</w:t>
            </w:r>
          </w:p>
        </w:tc>
        <w:tc>
          <w:tcPr>
            <w:tcW w:w="140" w:type="dxa"/>
            <w:vAlign w:val="bottom"/>
          </w:tcPr>
          <w:p>
            <w:pPr>
              <w:spacing w:after="0"/>
              <w:rPr>
                <w:sz w:val="10"/>
                <w:szCs w:val="10"/>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612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Liabilities, redeemable convertible preferred stock, and stockholders' deficit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Accounts payable</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351</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2,179</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788</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788</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Accrued expenses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1,853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3,378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3,185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3,185</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Loans payable, current portion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2,578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673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673</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Deferred revenue, current portion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3,018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1,313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1,219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1,219</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1,431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420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452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452</w:t>
            </w:r>
          </w:p>
        </w:tc>
        <w:tc>
          <w:tcPr>
            <w:tcW w:w="140" w:type="dxa"/>
            <w:vAlign w:val="bottom"/>
            <w:shd w:val="clear" w:color="auto" w:fill="CCEEFF"/>
          </w:tcPr>
          <w:p>
            <w:pPr>
              <w:spacing w:after="0"/>
              <w:rPr>
                <w:sz w:val="11"/>
                <w:szCs w:val="11"/>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current liabilities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9" w:lineRule="exact"/>
              <w:rPr>
                <w:sz w:val="20"/>
                <w:szCs w:val="20"/>
                <w:color w:val="auto"/>
              </w:rPr>
            </w:pPr>
            <w:r>
              <w:rPr>
                <w:rFonts w:ascii="Arial" w:cs="Arial" w:eastAsia="Arial" w:hAnsi="Arial"/>
                <w:sz w:val="12"/>
                <w:szCs w:val="12"/>
                <w:color w:val="auto"/>
              </w:rPr>
              <w:t>9,231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2"/>
                <w:szCs w:val="12"/>
                <w:color w:val="auto"/>
              </w:rPr>
              <w:t>7,290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6,317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6,317</w:t>
            </w:r>
          </w:p>
        </w:tc>
        <w:tc>
          <w:tcPr>
            <w:tcW w:w="140" w:type="dxa"/>
            <w:vAlign w:val="bottom"/>
          </w:tcPr>
          <w:p>
            <w:pPr>
              <w:spacing w:after="0"/>
              <w:rPr>
                <w:sz w:val="10"/>
                <w:szCs w:val="10"/>
                <w:color w:val="auto"/>
              </w:rPr>
            </w:pPr>
          </w:p>
        </w:tc>
      </w:tr>
      <w:tr>
        <w:trPr>
          <w:trHeight w:val="255"/>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Deferred rent and lease incentive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274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105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 long-term</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Loans payable, net of current portion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4,824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11,855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11,169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11,169</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Deferred revenue, net of current portion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1,364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2,295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2,895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2,895</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Other long-term liabilities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257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290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19"/>
        </w:trPr>
        <w:tc>
          <w:tcPr>
            <w:tcW w:w="61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liabilities</w:t>
            </w:r>
          </w:p>
        </w:tc>
        <w:tc>
          <w:tcPr>
            <w:tcW w:w="8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15,950</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21,835</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20,691</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20,381</w:t>
            </w:r>
          </w:p>
        </w:tc>
        <w:tc>
          <w:tcPr>
            <w:tcW w:w="140" w:type="dxa"/>
            <w:vAlign w:val="bottom"/>
            <w:shd w:val="clear" w:color="auto" w:fill="CCEEFF"/>
          </w:tcPr>
          <w:p>
            <w:pPr>
              <w:spacing w:after="0"/>
              <w:rPr>
                <w:sz w:val="10"/>
                <w:szCs w:val="10"/>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Commitments and contingencies (Notes 7 and 12)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5"/>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Redeemable convertible preferred stock:</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93"/>
              </w:rPr>
              <w:t>Series A redeemable convertible preferred stock, $0.0001 par value; 2,589,868 shares authorized, issued, and outstanding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0"/>
              </w:rPr>
              <w:t>(liquidation preference of $3,500,151 at December 31, 2014, $3,650,104 at December 31, 2015 and $3,687,592 at March 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2016 (unaudited); none issued and outstanding pro forma)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3,493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3,644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3,682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3"/>
              </w:rPr>
              <w:t>Series B redeemable convertible preferred stock, $0.0001 par value; 7,437,325 shares authorized, issued, and outstanding</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7"/>
              </w:rPr>
              <w:t>(liquidation preference of $20,568,097 at December 31, 2014, $21,473,963 at December 31, 2015 and $21,700,429 at March 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12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2016 (unaudited); none issued and outstanding pro forma)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20,533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21,448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21,676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93"/>
              </w:rPr>
              <w:t>Series C redeemable convertible preferred stock, $0.0001 par value; 5,000,002 shares authorized, issued, and outstanding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87"/>
              </w:rPr>
              <w:t>(liquidation preference of $19,300,282 at December 31, 2014, $20,200,282 at December 31, 2015 and $20,425,282 at March 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2016 (unaudited); none issued and outstanding pro forma)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19,270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20,178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20,404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87"/>
              </w:rPr>
              <w:t>Series D redeemable convertible preferred stock, $0.0001 par value; 8,166,662 shares authorized at December 31, 2014 and 2015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7"/>
              </w:rPr>
              <w:t>and March 31, 2016 (unaudited); 8,099,994 shares issued and outstanding at December 31, 2014 and 2015 and March 31, 2016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8"/>
              </w:rPr>
              <w:t>(unaudited) (liquidation preference of $41,125,871 at December 31, 2014, $43,312,869 at December 31, 2015 and $43,859,619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12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at March 31, 2016 (unaudited); none issued and outstanding pro forma)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40,570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42,902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43,477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89"/>
              </w:rPr>
              <w:t>Series SRN redeemable convertible preferred stock, $0.0001 par value; 5,611,112 shares authorized at December 31, 2014 and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87"/>
              </w:rPr>
              <w:t>2015 and March 31, 2016 (unaudited); 2,111,109 shares issued and outstanding at December 31, 2014 and 2015 and March 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6"/>
              </w:rPr>
              <w:t>2016 (unaudited) (liquidation preference of $9,499,991 at December 31, 2014, $9,499,991 at December 31, 2015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$9,499,991 at March 31, 2016 (unaudited); none issued and outstanding pro forma)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10,167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12,082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12,541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1"/>
              </w:rPr>
              <w:t>Series E redeemable convertible preferred stock, $0.0001 par value; 9,030,654 shares authorized at December 31, 2015 and</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7"/>
              </w:rPr>
              <w:t>March 31, 2016 (unaudited); 8,888,888 shares issued and outstanding at December 31, 2015 and at March 31, 2016 (unaudited)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8"/>
              </w:rPr>
              <w:t>(liquidation preference of $40,802,658 at December 31, 2015 and $41,402,659 at March 31, 2016 (unaudited); none issued and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12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outstanding pro forma)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37,228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38,057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redeemable convertible preferred stock</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94,033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137,482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139,837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r>
      <w:tr>
        <w:trPr>
          <w:trHeight w:val="119"/>
        </w:trPr>
        <w:tc>
          <w:tcPr>
            <w:tcW w:w="61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Stockholders' equity (deficit):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87"/>
              </w:rPr>
              <w:t>Common stock, $0.0001 par value; 46,000,000, 62,164,377 and 62,164,377 shares authorized at December 31, 2014 and 2015 and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7"/>
              </w:rPr>
              <w:t>March 31, 2016 (unaudited) respectively; 2,139,262, 2,180,976 and 2,183,541 shares issued, 2,123,997, 2,173,399,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0"/>
              </w:rPr>
              <w:t>2,177,858 shares outstanding as of December 31, 2014 and 2015 and March 31, 2016 (unaudited), respectively. 12,876,940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issued and 12,871,261 outstanding pro forma (unaudited)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Additional paid in capital</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140,147</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Accumulated deficit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w w:val="98"/>
              </w:rPr>
              <w:t>(83,880)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w w:val="93"/>
              </w:rPr>
              <w:t>(111,508)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(121,051)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(121,051)</w:t>
            </w: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Accumulated other comprehensive loss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(3,876)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(4,986)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(4,755)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(4,755)</w:t>
            </w: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stockholders' equity (deficit)</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w w:val="89"/>
              </w:rPr>
              <w:t>(87,755)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w w:val="85"/>
              </w:rPr>
              <w:t>(116,493)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(125,805)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14,342</w:t>
            </w:r>
          </w:p>
        </w:tc>
        <w:tc>
          <w:tcPr>
            <w:tcW w:w="140" w:type="dxa"/>
            <w:vAlign w:val="bottom"/>
          </w:tcPr>
          <w:p>
            <w:pPr>
              <w:spacing w:after="0"/>
              <w:rPr>
                <w:sz w:val="10"/>
                <w:szCs w:val="10"/>
                <w:color w:val="auto"/>
              </w:rPr>
            </w:pPr>
          </w:p>
        </w:tc>
      </w:tr>
      <w:tr>
        <w:trPr>
          <w:trHeight w:val="119"/>
        </w:trPr>
        <w:tc>
          <w:tcPr>
            <w:tcW w:w="61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liabilities, redeemable convertible preferred stock and stockholders' equity (deficit)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22,228</w:t>
            </w:r>
          </w:p>
        </w:tc>
        <w:tc>
          <w:tcPr>
            <w:tcW w:w="10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42,824</w:t>
            </w:r>
          </w:p>
        </w:tc>
        <w:tc>
          <w:tcPr>
            <w:tcW w:w="10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34,723</w:t>
            </w:r>
          </w:p>
        </w:tc>
        <w:tc>
          <w:tcPr>
            <w:tcW w:w="10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34,723</w:t>
            </w:r>
          </w:p>
        </w:tc>
        <w:tc>
          <w:tcPr>
            <w:tcW w:w="140" w:type="dxa"/>
            <w:vAlign w:val="bottom"/>
            <w:shd w:val="clear" w:color="auto" w:fill="CCEEFF"/>
          </w:tcPr>
          <w:p>
            <w:pPr>
              <w:spacing w:after="0"/>
              <w:rPr>
                <w:sz w:val="10"/>
                <w:szCs w:val="10"/>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9" w:name="page230"/>
    <w:bookmarkEnd w:id="22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OPERATIONS AND COMPREHENSIVE LOSS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rPr>
              <w:t>Year ended 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w w:val="99"/>
              </w:rPr>
              <w:t>Three months ended March 31,</w:t>
            </w:r>
          </w:p>
        </w:tc>
      </w:tr>
      <w:tr>
        <w:trPr>
          <w:trHeight w:val="194"/>
        </w:trPr>
        <w:tc>
          <w:tcPr>
            <w:tcW w:w="4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6"/>
                <w:szCs w:val="16"/>
                <w:color w:val="auto"/>
              </w:rPr>
            </w:pPr>
          </w:p>
        </w:tc>
      </w:tr>
      <w:tr>
        <w:trPr>
          <w:trHeight w:val="194"/>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7"/>
              </w:rPr>
              <w:t>(unaudited)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(unaudited)</w:t>
            </w:r>
          </w:p>
        </w:tc>
      </w:tr>
      <w:tr>
        <w:trPr>
          <w:trHeight w:val="174"/>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60" w:type="dxa"/>
            <w:vAlign w:val="bottom"/>
            <w:gridSpan w:val="14"/>
          </w:tcPr>
          <w:p>
            <w:pPr>
              <w:jc w:val="right"/>
              <w:ind w:right="940"/>
              <w:spacing w:after="0"/>
              <w:rPr>
                <w:sz w:val="20"/>
                <w:szCs w:val="20"/>
                <w:color w:val="auto"/>
              </w:rPr>
            </w:pPr>
            <w:r>
              <w:rPr>
                <w:rFonts w:ascii="Arial" w:cs="Arial" w:eastAsia="Arial" w:hAnsi="Arial"/>
                <w:sz w:val="12"/>
                <w:szCs w:val="12"/>
                <w:b w:val="1"/>
                <w:bCs w:val="1"/>
                <w:color w:val="auto"/>
              </w:rPr>
              <w:t>(in thousands, except share and per share data)</w:t>
            </w:r>
          </w:p>
        </w:tc>
      </w:tr>
      <w:tr>
        <w:trPr>
          <w:trHeight w:val="185"/>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40" w:type="dxa"/>
            <w:vAlign w:val="bottom"/>
            <w:shd w:val="clear" w:color="auto" w:fill="CCEEFF"/>
          </w:tcPr>
          <w:p>
            <w:pPr>
              <w:spacing w:after="0"/>
              <w:rPr>
                <w:sz w:val="16"/>
                <w:szCs w:val="16"/>
                <w:color w:val="auto"/>
              </w:rPr>
            </w:pPr>
          </w:p>
        </w:tc>
      </w:tr>
      <w:tr>
        <w:trPr>
          <w:trHeight w:val="369"/>
        </w:trPr>
        <w:tc>
          <w:tcPr>
            <w:tcW w:w="4760" w:type="dxa"/>
            <w:vAlign w:val="bottom"/>
          </w:tcPr>
          <w:p>
            <w:pPr>
              <w:spacing w:after="0"/>
              <w:rPr>
                <w:sz w:val="20"/>
                <w:szCs w:val="20"/>
                <w:color w:val="auto"/>
              </w:rPr>
            </w:pPr>
            <w:r>
              <w:rPr>
                <w:rFonts w:ascii="Arial" w:cs="Arial" w:eastAsia="Arial" w:hAnsi="Arial"/>
                <w:sz w:val="15"/>
                <w:szCs w:val="15"/>
                <w:color w:val="auto"/>
              </w:rPr>
              <w:t>Operating expenses: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CEEFF"/>
          </w:tcPr>
          <w:p>
            <w:pPr>
              <w:spacing w:after="0"/>
              <w:rPr>
                <w:sz w:val="16"/>
                <w:szCs w:val="16"/>
                <w:color w:val="auto"/>
              </w:rPr>
            </w:pPr>
          </w:p>
        </w:tc>
      </w:tr>
      <w:tr>
        <w:trPr>
          <w:trHeight w:val="185"/>
        </w:trPr>
        <w:tc>
          <w:tcPr>
            <w:tcW w:w="476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w:t>
            </w:r>
          </w:p>
        </w:tc>
        <w:tc>
          <w:tcPr>
            <w:tcW w:w="140" w:type="dxa"/>
            <w:vAlign w:val="bottom"/>
          </w:tcPr>
          <w:p>
            <w:pPr>
              <w:spacing w:after="0"/>
              <w:rPr>
                <w:sz w:val="16"/>
                <w:szCs w:val="16"/>
                <w:color w:val="auto"/>
              </w:rPr>
            </w:pPr>
          </w:p>
        </w:tc>
      </w:tr>
      <w:tr>
        <w:trPr>
          <w:trHeight w:val="177"/>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9,029</w:t>
            </w:r>
          </w:p>
        </w:tc>
        <w:tc>
          <w:tcPr>
            <w:tcW w:w="140" w:type="dxa"/>
            <w:vAlign w:val="bottom"/>
            <w:shd w:val="clear" w:color="auto" w:fill="CCEEFF"/>
          </w:tcPr>
          <w:p>
            <w:pPr>
              <w:spacing w:after="0"/>
              <w:rPr>
                <w:sz w:val="15"/>
                <w:szCs w:val="15"/>
                <w:color w:val="auto"/>
              </w:rPr>
            </w:pPr>
          </w:p>
        </w:tc>
      </w:tr>
      <w:tr>
        <w:trPr>
          <w:trHeight w:val="177"/>
        </w:trPr>
        <w:tc>
          <w:tcPr>
            <w:tcW w:w="4760" w:type="dxa"/>
            <w:vAlign w:val="bottom"/>
          </w:tcPr>
          <w:p>
            <w:pPr>
              <w:spacing w:after="0"/>
              <w:rPr>
                <w:sz w:val="20"/>
                <w:szCs w:val="20"/>
                <w:color w:val="auto"/>
              </w:rPr>
            </w:pPr>
            <w:r>
              <w:rPr>
                <w:rFonts w:ascii="Arial" w:cs="Arial" w:eastAsia="Arial" w:hAnsi="Arial"/>
                <w:sz w:val="15"/>
                <w:szCs w:val="15"/>
                <w:color w:val="auto"/>
              </w:rPr>
              <w:t>Loss from operations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(15,399)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(25,304)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(6,941)</w:t>
            </w:r>
          </w:p>
        </w:tc>
        <w:tc>
          <w:tcPr>
            <w:tcW w:w="140" w:type="dxa"/>
            <w:vAlign w:val="bottom"/>
          </w:tcPr>
          <w:p>
            <w:pPr>
              <w:spacing w:after="0"/>
              <w:rPr>
                <w:sz w:val="15"/>
                <w:szCs w:val="15"/>
                <w:color w:val="auto"/>
              </w:rPr>
            </w:pPr>
          </w:p>
        </w:tc>
      </w:tr>
      <w:tr>
        <w:trPr>
          <w:trHeight w:val="371"/>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Investment income</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24"/>
                <w:szCs w:val="24"/>
                <w:color w:val="auto"/>
              </w:rPr>
            </w:pPr>
          </w:p>
        </w:tc>
      </w:tr>
      <w:tr>
        <w:trPr>
          <w:trHeight w:val="185"/>
        </w:trPr>
        <w:tc>
          <w:tcPr>
            <w:tcW w:w="4760" w:type="dxa"/>
            <w:vAlign w:val="bottom"/>
          </w:tcPr>
          <w:p>
            <w:pPr>
              <w:spacing w:after="0"/>
              <w:rPr>
                <w:sz w:val="20"/>
                <w:szCs w:val="20"/>
                <w:color w:val="auto"/>
              </w:rPr>
            </w:pPr>
            <w:r>
              <w:rPr>
                <w:rFonts w:ascii="Arial" w:cs="Arial" w:eastAsia="Arial" w:hAnsi="Arial"/>
                <w:sz w:val="15"/>
                <w:szCs w:val="15"/>
                <w:color w:val="auto"/>
              </w:rPr>
              <w:t>Foreign currency transaction gain (loss), net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3,004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933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(220)</w:t>
            </w:r>
          </w:p>
        </w:tc>
      </w:tr>
      <w:tr>
        <w:trPr>
          <w:trHeight w:val="185"/>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(310)</w:t>
            </w:r>
          </w:p>
        </w:tc>
      </w:tr>
      <w:tr>
        <w:trPr>
          <w:trHeight w:val="185"/>
        </w:trPr>
        <w:tc>
          <w:tcPr>
            <w:tcW w:w="4760" w:type="dxa"/>
            <w:vAlign w:val="bottom"/>
          </w:tcPr>
          <w:p>
            <w:pPr>
              <w:spacing w:after="0"/>
              <w:rPr>
                <w:sz w:val="20"/>
                <w:szCs w:val="20"/>
                <w:color w:val="auto"/>
              </w:rPr>
            </w:pPr>
            <w:r>
              <w:rPr>
                <w:rFonts w:ascii="Arial" w:cs="Arial" w:eastAsia="Arial" w:hAnsi="Arial"/>
                <w:sz w:val="15"/>
                <w:szCs w:val="15"/>
                <w:color w:val="auto"/>
              </w:rPr>
              <w:t>Other expense, net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(18)</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(25,174)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(7,476)</w:t>
            </w:r>
          </w:p>
        </w:tc>
      </w:tr>
      <w:tr>
        <w:trPr>
          <w:trHeight w:val="176"/>
        </w:trPr>
        <w:tc>
          <w:tcPr>
            <w:tcW w:w="476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(3,281)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(1,110)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40" w:type="dxa"/>
            <w:vAlign w:val="bottom"/>
            <w:shd w:val="clear" w:color="auto" w:fill="CCEEFF"/>
          </w:tcPr>
          <w:p>
            <w:pPr>
              <w:spacing w:after="0"/>
              <w:rPr>
                <w:sz w:val="16"/>
                <w:szCs w:val="16"/>
                <w:color w:val="auto"/>
              </w:rPr>
            </w:pPr>
          </w:p>
        </w:tc>
      </w:tr>
      <w:tr>
        <w:trPr>
          <w:trHeight w:val="177"/>
        </w:trPr>
        <w:tc>
          <w:tcPr>
            <w:tcW w:w="4760" w:type="dxa"/>
            <w:vAlign w:val="bottom"/>
          </w:tcPr>
          <w:p>
            <w:pPr>
              <w:spacing w:after="0"/>
              <w:rPr>
                <w:sz w:val="20"/>
                <w:szCs w:val="20"/>
                <w:color w:val="auto"/>
              </w:rPr>
            </w:pPr>
            <w:r>
              <w:rPr>
                <w:rFonts w:ascii="Arial" w:cs="Arial" w:eastAsia="Arial" w:hAnsi="Arial"/>
                <w:sz w:val="15"/>
                <w:szCs w:val="15"/>
                <w:color w:val="auto"/>
              </w:rPr>
              <w:t>Comprehensive loss</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(16,161)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(26,284)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(5,941)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(7,245)</w:t>
            </w:r>
          </w:p>
        </w:tc>
        <w:tc>
          <w:tcPr>
            <w:tcW w:w="140" w:type="dxa"/>
            <w:vAlign w:val="bottom"/>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5"/>
                <w:szCs w:val="15"/>
                <w:color w:val="auto"/>
              </w:rPr>
              <w:t>(25,174)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5"/>
                <w:szCs w:val="15"/>
                <w:color w:val="auto"/>
              </w:rPr>
              <w:t>(7,476)</w:t>
            </w:r>
          </w:p>
        </w:tc>
      </w:tr>
      <w:tr>
        <w:trPr>
          <w:trHeight w:val="185"/>
        </w:trPr>
        <w:tc>
          <w:tcPr>
            <w:tcW w:w="4760" w:type="dxa"/>
            <w:vAlign w:val="bottom"/>
          </w:tcPr>
          <w:p>
            <w:pPr>
              <w:ind w:left="300"/>
              <w:spacing w:after="0"/>
              <w:rPr>
                <w:sz w:val="20"/>
                <w:szCs w:val="20"/>
                <w:color w:val="auto"/>
              </w:rPr>
            </w:pPr>
            <w:r>
              <w:rPr>
                <w:rFonts w:ascii="Arial" w:cs="Arial" w:eastAsia="Arial" w:hAnsi="Arial"/>
                <w:sz w:val="15"/>
                <w:szCs w:val="15"/>
                <w:color w:val="auto"/>
              </w:rPr>
              <w:t>Accretion of redeemable convertible preferred 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(7,335)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(2,356)</w:t>
            </w:r>
          </w:p>
        </w:tc>
      </w:tr>
      <w:tr>
        <w:trPr>
          <w:trHeight w:val="178"/>
        </w:trPr>
        <w:tc>
          <w:tcPr>
            <w:tcW w:w="476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9"/>
              </w:rPr>
              <w:t>Net effect of extinguishment of Series SRN redeemable convertible</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47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preferred stock</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476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(9,832)</w:t>
            </w:r>
          </w:p>
        </w:tc>
        <w:tc>
          <w:tcPr>
            <w:tcW w:w="140" w:type="dxa"/>
            <w:vAlign w:val="bottom"/>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76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26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(7.84)</w:t>
            </w: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(15.13)</w:t>
            </w:r>
          </w:p>
        </w:tc>
        <w:tc>
          <w:tcPr>
            <w:tcW w:w="1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(3.43)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(4.52)</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76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2,090,677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tcPr>
          <w:p>
            <w:pPr>
              <w:spacing w:after="0"/>
              <w:rPr>
                <w:sz w:val="16"/>
                <w:szCs w:val="16"/>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w w:val="92"/>
              </w:rPr>
              <w:t>Pro forma net loss per share attributable to common stockholders (unaudited)</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76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(2.51)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(0.58)</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76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Pro forma weighted average common shares of common stock outstanding</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(unaudited)</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76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10,057,351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12,868,461</w:t>
            </w:r>
          </w:p>
        </w:tc>
        <w:tc>
          <w:tcPr>
            <w:tcW w:w="140" w:type="dxa"/>
            <w:vAlign w:val="bottom"/>
          </w:tcPr>
          <w:p>
            <w:pPr>
              <w:spacing w:after="0"/>
              <w:rPr>
                <w:sz w:val="16"/>
                <w:szCs w:val="16"/>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320"/>
          </w:cols>
          <w:pgMar w:left="240" w:top="132" w:right="1339" w:bottom="1440" w:gutter="0" w:footer="0" w:header="0"/>
        </w:sectPr>
      </w:pPr>
    </w:p>
    <w:bookmarkStart w:id="230" w:name="page231"/>
    <w:bookmarkEnd w:id="23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ind w:right="680"/>
        <w:spacing w:after="0" w:line="250" w:lineRule="auto"/>
        <w:rPr>
          <w:sz w:val="20"/>
          <w:szCs w:val="20"/>
          <w:color w:val="auto"/>
        </w:rPr>
      </w:pPr>
      <w:r>
        <w:rPr>
          <w:rFonts w:ascii="Arial" w:cs="Arial" w:eastAsia="Arial" w:hAnsi="Arial"/>
          <w:sz w:val="21"/>
          <w:szCs w:val="21"/>
          <w:color w:val="auto"/>
        </w:rPr>
        <w:t>CONSOLIDATED STATEMENTS OF REDEEMABLE CONVERTIBLE PREFERRED STOCK AND STOCKHOLDERS' DEFICIT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760" w:type="dxa"/>
            <w:vAlign w:val="bottom"/>
            <w:gridSpan w:val="4"/>
          </w:tcPr>
          <w:p>
            <w:pPr>
              <w:jc w:val="center"/>
              <w:ind w:left="202"/>
              <w:spacing w:after="0"/>
              <w:rPr>
                <w:sz w:val="20"/>
                <w:szCs w:val="20"/>
                <w:color w:val="auto"/>
              </w:rPr>
            </w:pPr>
            <w:r>
              <w:rPr>
                <w:rFonts w:ascii="Arial" w:cs="Arial" w:eastAsia="Arial" w:hAnsi="Arial"/>
                <w:sz w:val="12"/>
                <w:szCs w:val="12"/>
                <w:b w:val="1"/>
                <w:bCs w:val="1"/>
                <w:color w:val="auto"/>
              </w:rPr>
              <w:t>Series A</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B</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C</w:t>
            </w:r>
          </w:p>
        </w:tc>
        <w:tc>
          <w:tcPr>
            <w:tcW w:w="40" w:type="dxa"/>
            <w:vAlign w:val="bottom"/>
          </w:tcPr>
          <w:p>
            <w:pPr>
              <w:spacing w:after="0"/>
              <w:rPr>
                <w:sz w:val="12"/>
                <w:szCs w:val="12"/>
                <w:color w:val="auto"/>
              </w:rPr>
            </w:pP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Series D</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Series SRN</w:t>
            </w:r>
          </w:p>
        </w:tc>
        <w:tc>
          <w:tcPr>
            <w:tcW w:w="110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Series 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1040" w:type="dxa"/>
            <w:vAlign w:val="bottom"/>
            <w:gridSpan w:val="6"/>
            <w:vMerge w:val="restart"/>
          </w:tcPr>
          <w:p>
            <w:pPr>
              <w:jc w:val="center"/>
              <w:ind w:right="20"/>
              <w:spacing w:after="0"/>
              <w:rPr>
                <w:sz w:val="20"/>
                <w:szCs w:val="20"/>
                <w:color w:val="auto"/>
              </w:rPr>
            </w:pPr>
            <w:r>
              <w:rPr>
                <w:rFonts w:ascii="Arial" w:cs="Arial" w:eastAsia="Arial" w:hAnsi="Arial"/>
                <w:sz w:val="12"/>
                <w:szCs w:val="12"/>
                <w:b w:val="1"/>
                <w:bCs w:val="1"/>
                <w:color w:val="auto"/>
              </w:rPr>
              <w:t>redeemable</w:t>
            </w:r>
          </w:p>
        </w:tc>
        <w:tc>
          <w:tcPr>
            <w:tcW w:w="10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8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1040" w:type="dxa"/>
            <w:vAlign w:val="bottom"/>
            <w:gridSpan w:val="6"/>
            <w:vMerge w:val="continue"/>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convertible</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convertible</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convertible</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convertible</w:t>
            </w: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w w:val="97"/>
              </w:rPr>
              <w:t>(in thousands,</w:t>
            </w: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preferred stock</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preferred stock</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preferred stock</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preferred stock</w:t>
            </w:r>
          </w:p>
        </w:tc>
        <w:tc>
          <w:tcPr>
            <w:tcW w:w="20" w:type="dxa"/>
            <w:vAlign w:val="bottom"/>
            <w:shd w:val="clear" w:color="auto" w:fill="000000"/>
          </w:tcPr>
          <w:p>
            <w:pPr>
              <w:spacing w:after="0"/>
              <w:rPr>
                <w:sz w:val="12"/>
                <w:szCs w:val="12"/>
                <w:color w:val="auto"/>
              </w:rPr>
            </w:pPr>
          </w:p>
        </w:tc>
        <w:tc>
          <w:tcPr>
            <w:tcW w:w="1040" w:type="dxa"/>
            <w:vAlign w:val="bottom"/>
            <w:gridSpan w:val="4"/>
          </w:tcPr>
          <w:p>
            <w:pPr>
              <w:jc w:val="right"/>
              <w:ind w:right="2"/>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820" w:type="dxa"/>
            <w:vAlign w:val="bottom"/>
            <w:vMerge w:val="continue"/>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except share</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4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104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Amount Shares</w:t>
            </w:r>
          </w:p>
        </w:tc>
        <w:tc>
          <w:tcPr>
            <w:tcW w:w="5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1"/>
                <w:szCs w:val="11"/>
                <w:color w:val="auto"/>
              </w:rPr>
            </w:pPr>
          </w:p>
        </w:tc>
        <w:tc>
          <w:tcPr>
            <w:tcW w:w="54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rPr>
              <w:t>Amount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rPr>
              <w:t>paid-In</w:t>
            </w:r>
          </w:p>
        </w:tc>
        <w:tc>
          <w:tcPr>
            <w:tcW w:w="2640" w:type="dxa"/>
            <w:vAlign w:val="bottom"/>
            <w:gridSpan w:val="9"/>
          </w:tcPr>
          <w:p>
            <w:pPr>
              <w:spacing w:after="0" w:line="129" w:lineRule="exact"/>
              <w:rPr>
                <w:sz w:val="20"/>
                <w:szCs w:val="20"/>
                <w:color w:val="auto"/>
              </w:rPr>
            </w:pPr>
            <w:r>
              <w:rPr>
                <w:rFonts w:ascii="Arial" w:cs="Arial" w:eastAsia="Arial" w:hAnsi="Arial"/>
                <w:sz w:val="12"/>
                <w:szCs w:val="12"/>
                <w:b w:val="1"/>
                <w:bCs w:val="1"/>
                <w:color w:val="auto"/>
              </w:rPr>
              <w:t>Accumulated comprehensive Stockholders'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20"/>
                <w:szCs w:val="20"/>
                <w:color w:val="auto"/>
              </w:rPr>
            </w:pPr>
            <w:r>
              <w:rPr>
                <w:rFonts w:ascii="Arial" w:cs="Arial" w:eastAsia="Arial" w:hAnsi="Arial"/>
                <w:sz w:val="12"/>
                <w:szCs w:val="12"/>
                <w:b w:val="1"/>
                <w:bCs w:val="1"/>
                <w:color w:val="auto"/>
              </w:rPr>
              <w:t>data)</w:t>
            </w:r>
          </w:p>
        </w:tc>
        <w:tc>
          <w:tcPr>
            <w:tcW w:w="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loss</w:t>
            </w:r>
          </w:p>
        </w:tc>
        <w:tc>
          <w:tcPr>
            <w:tcW w:w="14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77"/>
        </w:trPr>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right w:val="single" w:sz="8" w:color="CCEEFF"/>
            </w:tcBorders>
            <w:gridSpan w:val="9"/>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(in thousands, except share data)</w:t>
            </w:r>
          </w:p>
        </w:tc>
        <w:tc>
          <w:tcPr>
            <w:tcW w:w="20" w:type="dxa"/>
            <w:vAlign w:val="bottom"/>
            <w:tcBorders>
              <w:top w:val="single" w:sz="8" w:color="auto"/>
            </w:tcBorders>
            <w:shd w:val="clear" w:color="auto" w:fill="000000"/>
          </w:tcPr>
          <w:p>
            <w:pPr>
              <w:spacing w:after="0"/>
              <w:rPr>
                <w:sz w:val="15"/>
                <w:szCs w:val="15"/>
                <w:color w:val="auto"/>
              </w:rPr>
            </w:pPr>
          </w:p>
        </w:tc>
        <w:tc>
          <w:tcPr>
            <w:tcW w:w="54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Balance at</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79"/>
              </w:rPr>
              <w:t>3,350</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19,662</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5,000,002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18,381</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7"/>
              </w:rPr>
              <w:t>4,888,889</w:t>
            </w:r>
          </w:p>
        </w:tc>
        <w:tc>
          <w:tcPr>
            <w:tcW w:w="120" w:type="dxa"/>
            <w:vAlign w:val="bottom"/>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24,366</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777,777</w:t>
            </w:r>
          </w:p>
        </w:tc>
        <w:tc>
          <w:tcPr>
            <w:tcW w:w="120" w:type="dxa"/>
            <w:vAlign w:val="bottom"/>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4,643</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2,027,254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(68,869)</w:t>
            </w:r>
          </w:p>
        </w:tc>
        <w:tc>
          <w:tcPr>
            <w:tcW w:w="6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(595)</w:t>
            </w:r>
          </w:p>
        </w:tc>
        <w:tc>
          <w:tcPr>
            <w:tcW w:w="14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(69,463)</w:t>
            </w: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2013</w:t>
            </w: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$100,734</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3,211,105</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w w:val="92"/>
              </w:rPr>
              <w:t>14,349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Net effect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1"/>
              </w:rPr>
              <w:t>extinguishment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7"/>
              </w:rPr>
              <w:t>of Series SRN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(see Note 8)</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9"/>
              </w:rPr>
              <w:t>(1,459)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1,459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1,459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SRN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$209,587</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1,333,332</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5,790</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58,104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38,639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1,224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1,224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143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871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889</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1,855</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1,193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(2,820)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(2,131)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(4,951)</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79"/>
              </w:rPr>
              <w:t>3,493</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20,533</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5,000,002</w:t>
            </w:r>
          </w:p>
        </w:tc>
        <w:tc>
          <w:tcPr>
            <w:tcW w:w="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19,270</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7"/>
              </w:rPr>
              <w:t>8,099,994</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40,570</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2,111,109</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10,167</w:t>
            </w:r>
          </w:p>
        </w:tc>
        <w:tc>
          <w:tcPr>
            <w:tcW w:w="6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 $</w:t>
            </w:r>
          </w:p>
        </w:tc>
        <w:tc>
          <w:tcPr>
            <w:tcW w:w="4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2,123,997</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0</w:t>
            </w: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(83,880)</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(3,876)</w:t>
            </w: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(87,755)</w:t>
            </w: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2014</w:t>
            </w:r>
          </w:p>
        </w:tc>
        <w:tc>
          <w:tcPr>
            <w:tcW w:w="52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Issuance of</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$213,469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  8,888,888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w w:val="97"/>
              </w:rPr>
              <w:t>36,114</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Allocation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7"/>
              </w:rPr>
              <w:t>Issuance Cost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to Common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Warrants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warrants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7,688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41,714</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1,125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1,125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151</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915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908</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2,332</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1,915</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1,114</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(4,881)</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(2,454)</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(7,335)</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(1,110)</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(1,110)</w:t>
            </w: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(25,174)</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(25,174)</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79"/>
              </w:rPr>
              <w:t>3,644</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21,448</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5,000,002</w:t>
            </w:r>
          </w:p>
        </w:tc>
        <w:tc>
          <w:tcPr>
            <w:tcW w:w="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20,178</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7"/>
              </w:rPr>
              <w:t>8,099,994</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42,902</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2,111,109</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12,082</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8,888,888</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w w:val="97"/>
              </w:rPr>
              <w:t>37,228</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2,173,399</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0</w:t>
            </w: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(111,508)</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(4,986)</w:t>
            </w: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(116,493)</w:t>
            </w: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2015</w:t>
            </w:r>
          </w:p>
        </w:tc>
        <w:tc>
          <w:tcPr>
            <w:tcW w:w="52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Vesting of</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1,895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2,564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282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38</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228</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226</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575</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459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829</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(289)</w:t>
            </w:r>
          </w:p>
        </w:tc>
        <w:tc>
          <w:tcPr>
            <w:tcW w:w="120" w:type="dxa"/>
            <w:vAlign w:val="bottom"/>
          </w:tcPr>
          <w:p>
            <w:pPr>
              <w:spacing w:after="0"/>
              <w:rPr>
                <w:sz w:val="11"/>
                <w:szCs w:val="11"/>
                <w:color w:val="auto"/>
              </w:rPr>
            </w:pP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(2,067)</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(2,356)</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(7,476)</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(7,476)</w:t>
            </w: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lef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March 31,</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2016</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79"/>
              </w:rPr>
              <w:t>3,682</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21,676</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5,000,002</w:t>
            </w: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20,404</w:t>
            </w:r>
          </w:p>
        </w:tc>
        <w:tc>
          <w:tcPr>
            <w:tcW w:w="5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7"/>
              </w:rPr>
              <w:t>8,099,994</w:t>
            </w: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2"/>
              </w:rPr>
              <w:t>43,477</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2,111,109</w:t>
            </w: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2"/>
              </w:rPr>
              <w:t>12,541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8,888,888</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w w:val="97"/>
              </w:rPr>
              <w:t>38,057</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2,177,858</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0</w:t>
            </w:r>
          </w:p>
        </w:tc>
        <w:tc>
          <w:tcPr>
            <w:tcW w:w="10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(121,051)</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(4,755)</w:t>
            </w: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(125,805)</w:t>
            </w: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1">
            <w:col w:w="11520"/>
          </w:cols>
          <w:pgMar w:left="240" w:top="132" w:right="139" w:bottom="0" w:gutter="0" w:footer="0" w:header="0"/>
        </w:sectPr>
      </w:pPr>
    </w:p>
    <w:p>
      <w:pPr>
        <w:spacing w:after="0"/>
        <w:rPr>
          <w:sz w:val="20"/>
          <w:szCs w:val="20"/>
          <w:color w:val="auto"/>
        </w:rPr>
      </w:pPr>
      <w:r>
        <w:rPr>
          <w:rFonts w:ascii="Arial" w:cs="Arial" w:eastAsia="Arial" w:hAnsi="Arial"/>
          <w:sz w:val="13"/>
          <w:szCs w:val="13"/>
          <w:color w:val="auto"/>
        </w:rPr>
        <w:t>See accompanying notes.</w:t>
      </w:r>
    </w:p>
    <w:p>
      <w:pPr>
        <w:sectPr>
          <w:pgSz w:w="11900" w:h="16838" w:orient="portrait"/>
          <w:cols w:equalWidth="0" w:num="1">
            <w:col w:w="11520"/>
          </w:cols>
          <w:pgMar w:left="240" w:top="132" w:right="139" w:bottom="0" w:gutter="0" w:footer="0" w:header="0"/>
          <w:type w:val="continuous"/>
        </w:sectPr>
      </w:pPr>
    </w:p>
    <w:bookmarkStart w:id="231" w:name="page232"/>
    <w:bookmarkEnd w:id="231"/>
    <w:p>
      <w:pPr>
        <w:ind w:left="10060"/>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630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6305" cy="7620"/>
                    </a:xfrm>
                    <a:prstGeom prst="rect">
                      <a:avLst/>
                    </a:prstGeom>
                    <a:noFill/>
                  </pic:spPr>
                </pic:pic>
              </a:graphicData>
            </a:graphic>
          </wp:anchor>
        </w:drawing>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144780</wp:posOffset>
            </wp:positionV>
            <wp:extent cx="7271385" cy="203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40"/>
          </w:cols>
          <w:pgMar w:left="1440" w:top="198" w:right="219" w:bottom="1440" w:gutter="0" w:footer="0" w:header="0"/>
        </w:sectPr>
      </w:pPr>
    </w:p>
    <w:bookmarkStart w:id="232" w:name="page233"/>
    <w:bookmarkEnd w:id="23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CASH FLOWS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6"/>
          </w:tcPr>
          <w:p>
            <w:pPr>
              <w:ind w:left="8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right"/>
              <w:spacing w:after="0"/>
              <w:rPr>
                <w:sz w:val="20"/>
                <w:szCs w:val="20"/>
                <w:color w:val="auto"/>
              </w:rPr>
            </w:pPr>
            <w:r>
              <w:rPr>
                <w:rFonts w:ascii="Arial" w:cs="Arial" w:eastAsia="Arial" w:hAnsi="Arial"/>
                <w:sz w:val="12"/>
                <w:szCs w:val="12"/>
                <w:b w:val="1"/>
                <w:bCs w:val="1"/>
                <w:color w:val="auto"/>
              </w:rPr>
              <w:t>March 31,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w w:val="97"/>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jc w:val="right"/>
              <w:ind w:right="160"/>
              <w:spacing w:after="0" w:line="121"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0"/>
                <w:szCs w:val="10"/>
                <w:color w:val="auto"/>
              </w:rPr>
            </w:pPr>
          </w:p>
        </w:tc>
        <w:tc>
          <w:tcPr>
            <w:tcW w:w="760" w:type="dxa"/>
            <w:vAlign w:val="bottom"/>
            <w:gridSpan w:val="2"/>
          </w:tcPr>
          <w:p>
            <w:pPr>
              <w:jc w:val="right"/>
              <w:ind w:right="3"/>
              <w:spacing w:after="0" w:line="12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Operating activities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13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(12,880)</w:t>
            </w: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(25,174)</w:t>
            </w:r>
          </w:p>
        </w:tc>
        <w:tc>
          <w:tcPr>
            <w:tcW w:w="180" w:type="dxa"/>
            <w:vAlign w:val="bottom"/>
            <w:gridSpan w:val="2"/>
          </w:tcPr>
          <w:p>
            <w:pPr>
              <w:jc w:val="right"/>
              <w:ind w:right="25"/>
              <w:spacing w:after="0" w:line="128"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(5,733)</w:t>
            </w:r>
          </w:p>
        </w:tc>
        <w:tc>
          <w:tcPr>
            <w:tcW w:w="260" w:type="dxa"/>
            <w:vAlign w:val="bottom"/>
            <w:gridSpan w:val="2"/>
          </w:tcPr>
          <w:p>
            <w:pPr>
              <w:jc w:val="right"/>
              <w:ind w:right="103"/>
              <w:spacing w:after="0" w:line="128"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(7,476)</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Adjustments to reconcile net loss to net cash used in operating activities: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120"/>
              <w:spacing w:after="0" w:line="128" w:lineRule="exact"/>
              <w:rPr>
                <w:sz w:val="20"/>
                <w:szCs w:val="20"/>
                <w:color w:val="auto"/>
              </w:rPr>
            </w:pPr>
            <w:r>
              <w:rPr>
                <w:rFonts w:ascii="Arial" w:cs="Arial" w:eastAsia="Arial" w:hAnsi="Arial"/>
                <w:sz w:val="12"/>
                <w:szCs w:val="12"/>
                <w:color w:val="auto"/>
              </w:rPr>
              <w:t>Depreciation</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864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1,044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193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178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Stock-based compensation expense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1,224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1,125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120"/>
              <w:spacing w:after="0" w:line="128" w:lineRule="exact"/>
              <w:rPr>
                <w:sz w:val="20"/>
                <w:szCs w:val="20"/>
                <w:color w:val="auto"/>
              </w:rPr>
            </w:pPr>
            <w:r>
              <w:rPr>
                <w:rFonts w:ascii="Arial" w:cs="Arial" w:eastAsia="Arial" w:hAnsi="Arial"/>
                <w:sz w:val="12"/>
                <w:szCs w:val="12"/>
                <w:color w:val="auto"/>
              </w:rPr>
              <w:t>Non-cash interest expense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155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198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27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Change in fair value of redeemable convertible preferred stock warrant</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(83)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120"/>
              <w:spacing w:after="0" w:line="128" w:lineRule="exact"/>
              <w:rPr>
                <w:sz w:val="20"/>
                <w:szCs w:val="20"/>
                <w:color w:val="auto"/>
              </w:rPr>
            </w:pPr>
            <w:r>
              <w:rPr>
                <w:rFonts w:ascii="Arial" w:cs="Arial" w:eastAsia="Arial" w:hAnsi="Arial"/>
                <w:sz w:val="12"/>
                <w:szCs w:val="12"/>
                <w:color w:val="auto"/>
              </w:rPr>
              <w:t>Changes in operating assets and liabilities: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Accounts receivable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(514)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(153)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(805)</w:t>
            </w:r>
          </w:p>
        </w:tc>
        <w:tc>
          <w:tcPr>
            <w:tcW w:w="0" w:type="dxa"/>
            <w:vAlign w:val="bottom"/>
          </w:tcPr>
          <w:p>
            <w:pPr>
              <w:spacing w:after="0"/>
              <w:rPr>
                <w:sz w:val="1"/>
                <w:szCs w:val="1"/>
                <w:color w:val="auto"/>
              </w:rPr>
            </w:pPr>
          </w:p>
        </w:tc>
      </w:tr>
      <w:tr>
        <w:trPr>
          <w:trHeight w:val="127"/>
        </w:trPr>
        <w:tc>
          <w:tcPr>
            <w:tcW w:w="4660" w:type="dxa"/>
            <w:vAlign w:val="bottom"/>
          </w:tcPr>
          <w:p>
            <w:pPr>
              <w:ind w:left="240"/>
              <w:spacing w:after="0" w:line="128" w:lineRule="exact"/>
              <w:rPr>
                <w:sz w:val="20"/>
                <w:szCs w:val="20"/>
                <w:color w:val="auto"/>
              </w:rPr>
            </w:pPr>
            <w:r>
              <w:rPr>
                <w:rFonts w:ascii="Arial" w:cs="Arial" w:eastAsia="Arial" w:hAnsi="Arial"/>
                <w:sz w:val="12"/>
                <w:szCs w:val="12"/>
                <w:color w:val="auto"/>
              </w:rPr>
              <w:t>Prepaid expenses and other assets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(1,011)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(379)</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Restricted cash and other deposits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(1,779)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977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(1,752)</w:t>
            </w:r>
          </w:p>
        </w:tc>
        <w:tc>
          <w:tcPr>
            <w:tcW w:w="0" w:type="dxa"/>
            <w:vAlign w:val="bottom"/>
          </w:tcPr>
          <w:p>
            <w:pPr>
              <w:spacing w:after="0"/>
              <w:rPr>
                <w:sz w:val="1"/>
                <w:szCs w:val="1"/>
                <w:color w:val="auto"/>
              </w:rPr>
            </w:pPr>
          </w:p>
        </w:tc>
      </w:tr>
      <w:tr>
        <w:trPr>
          <w:trHeight w:val="127"/>
        </w:trPr>
        <w:tc>
          <w:tcPr>
            <w:tcW w:w="4660" w:type="dxa"/>
            <w:vAlign w:val="bottom"/>
          </w:tcPr>
          <w:p>
            <w:pPr>
              <w:ind w:left="240"/>
              <w:spacing w:after="0" w:line="128" w:lineRule="exact"/>
              <w:rPr>
                <w:sz w:val="20"/>
                <w:szCs w:val="20"/>
                <w:color w:val="auto"/>
              </w:rPr>
            </w:pPr>
            <w:r>
              <w:rPr>
                <w:rFonts w:ascii="Arial" w:cs="Arial" w:eastAsia="Arial" w:hAnsi="Arial"/>
                <w:sz w:val="12"/>
                <w:szCs w:val="12"/>
                <w:color w:val="auto"/>
              </w:rPr>
              <w:t>Accounts payable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(90)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667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975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Deferred revenue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(537)</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386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240"/>
              <w:spacing w:after="0" w:line="128" w:lineRule="exact"/>
              <w:rPr>
                <w:sz w:val="20"/>
                <w:szCs w:val="20"/>
                <w:color w:val="auto"/>
              </w:rPr>
            </w:pPr>
            <w:r>
              <w:rPr>
                <w:rFonts w:ascii="Arial" w:cs="Arial" w:eastAsia="Arial" w:hAnsi="Arial"/>
                <w:sz w:val="12"/>
                <w:szCs w:val="12"/>
                <w:color w:val="auto"/>
              </w:rPr>
              <w:t>Contingently repayable grant funding</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305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(805)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(426)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Accrued expenses and other liabilities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415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1,259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cash used in operating activities</w:t>
            </w: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(12,686)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(22,463)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(4,898)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(10,166)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Purchase of short term government obligations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(3,516)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(3,412)</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Purchases of property and equipment</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(227)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(1,163)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(123)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cash provided by (used in) investing activities</w:t>
            </w: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(227)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(4,679)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(123)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(3,555)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Net proceeds from issuance of preferred stock and warrants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20,140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32,669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Proceeds from issuance convertible note, net of issuance costs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7,092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Principle payments on loan payable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(2,336)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(227)</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Deferred IPO costs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(302)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(1,684)</w:t>
            </w: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Proceeds from loans payable, net of issuance costs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4,494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6,674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Issuance of common stock</w:t>
            </w:r>
          </w:p>
        </w:tc>
        <w:tc>
          <w:tcPr>
            <w:tcW w:w="1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137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109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cash provided by financing activities</w:t>
            </w:r>
          </w:p>
        </w:tc>
        <w:tc>
          <w:tcPr>
            <w:tcW w:w="1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24,771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43,906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(207)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(1,677)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6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Effect of exchange rate changes on cash</w:t>
            </w: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2"/>
                <w:szCs w:val="12"/>
                <w:color w:val="auto"/>
              </w:rPr>
              <w:t>(3,323)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2"/>
                <w:szCs w:val="12"/>
                <w:color w:val="auto"/>
              </w:rPr>
              <w:t>(1,019)</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2"/>
                <w:szCs w:val="12"/>
                <w:color w:val="auto"/>
              </w:rPr>
              <w:t>(230)</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112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(decrease) increase in cash and cash equivalents</w:t>
            </w: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8,535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15,745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(5,458)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(15,286)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 at beginning of period</w:t>
            </w:r>
          </w:p>
        </w:tc>
        <w:tc>
          <w:tcPr>
            <w:tcW w:w="1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8,057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Cash and cash equivalents at end of period</w:t>
            </w:r>
          </w:p>
        </w:tc>
        <w:tc>
          <w:tcPr>
            <w:tcW w:w="124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16,592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32,337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11,134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17,051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Cash paid during the year for:</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Interest</w:t>
            </w:r>
          </w:p>
        </w:tc>
        <w:tc>
          <w:tcPr>
            <w:tcW w:w="13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366</w:t>
            </w:r>
          </w:p>
        </w:tc>
        <w:tc>
          <w:tcPr>
            <w:tcW w:w="100" w:type="dxa"/>
            <w:vAlign w:val="bottom"/>
          </w:tcPr>
          <w:p>
            <w:pPr>
              <w:spacing w:after="0"/>
              <w:rPr>
                <w:sz w:val="11"/>
                <w:szCs w:val="11"/>
                <w:color w:val="auto"/>
              </w:rPr>
            </w:pP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531</w:t>
            </w:r>
          </w:p>
        </w:tc>
        <w:tc>
          <w:tcPr>
            <w:tcW w:w="100" w:type="dxa"/>
            <w:vAlign w:val="bottom"/>
          </w:tcPr>
          <w:p>
            <w:pPr>
              <w:spacing w:after="0"/>
              <w:rPr>
                <w:sz w:val="11"/>
                <w:szCs w:val="11"/>
                <w:color w:val="auto"/>
              </w:rPr>
            </w:pPr>
          </w:p>
        </w:tc>
        <w:tc>
          <w:tcPr>
            <w:tcW w:w="180" w:type="dxa"/>
            <w:vAlign w:val="bottom"/>
            <w:gridSpan w:val="2"/>
          </w:tcPr>
          <w:p>
            <w:pPr>
              <w:jc w:val="right"/>
              <w:ind w:right="25"/>
              <w:spacing w:after="0" w:line="128"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150</w:t>
            </w:r>
          </w:p>
        </w:tc>
        <w:tc>
          <w:tcPr>
            <w:tcW w:w="100" w:type="dxa"/>
            <w:vAlign w:val="bottom"/>
          </w:tcPr>
          <w:p>
            <w:pPr>
              <w:spacing w:after="0"/>
              <w:rPr>
                <w:sz w:val="11"/>
                <w:szCs w:val="11"/>
                <w:color w:val="auto"/>
              </w:rPr>
            </w:pPr>
          </w:p>
        </w:tc>
        <w:tc>
          <w:tcPr>
            <w:tcW w:w="260" w:type="dxa"/>
            <w:vAlign w:val="bottom"/>
            <w:gridSpan w:val="2"/>
          </w:tcPr>
          <w:p>
            <w:pPr>
              <w:jc w:val="right"/>
              <w:ind w:right="103"/>
              <w:spacing w:after="0" w:line="128"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243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Supplemental Noncash Financing Activities:</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Venture debt termination fee liability</w:t>
            </w:r>
          </w:p>
        </w:tc>
        <w:tc>
          <w:tcPr>
            <w:tcW w:w="13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270</w:t>
            </w:r>
          </w:p>
        </w:tc>
        <w:tc>
          <w:tcPr>
            <w:tcW w:w="100" w:type="dxa"/>
            <w:vAlign w:val="bottom"/>
          </w:tcPr>
          <w:p>
            <w:pPr>
              <w:spacing w:after="0"/>
              <w:rPr>
                <w:sz w:val="11"/>
                <w:szCs w:val="11"/>
                <w:color w:val="auto"/>
              </w:rPr>
            </w:pP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270</w:t>
            </w:r>
          </w:p>
        </w:tc>
        <w:tc>
          <w:tcPr>
            <w:tcW w:w="100" w:type="dxa"/>
            <w:vAlign w:val="bottom"/>
          </w:tcPr>
          <w:p>
            <w:pPr>
              <w:spacing w:after="0"/>
              <w:rPr>
                <w:sz w:val="11"/>
                <w:szCs w:val="11"/>
                <w:color w:val="auto"/>
              </w:rPr>
            </w:pPr>
          </w:p>
        </w:tc>
        <w:tc>
          <w:tcPr>
            <w:tcW w:w="180" w:type="dxa"/>
            <w:vAlign w:val="bottom"/>
            <w:gridSpan w:val="2"/>
          </w:tcPr>
          <w:p>
            <w:pPr>
              <w:jc w:val="right"/>
              <w:ind w:right="25"/>
              <w:spacing w:after="0" w:line="128"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103"/>
              <w:spacing w:after="0" w:line="128"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Issuance of preferred warrants in connection with venture loans</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121</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137</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25"/>
              <w:spacing w:after="0" w:line="103"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03" w:lineRule="exact"/>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jc w:val="right"/>
              <w:ind w:right="103"/>
              <w:spacing w:after="0" w:line="103"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0"/>
              <w:spacing w:after="0" w:line="10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2"/>
                <w:szCs w:val="12"/>
                <w:color w:val="auto"/>
              </w:rPr>
              <w:t>Accrued dividends and accretion of preferred stock to redemption value</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4,951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7,335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1,561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2,356</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Conversion of bridge loans into Series E preferred</w:t>
            </w:r>
          </w:p>
        </w:tc>
        <w:tc>
          <w:tcPr>
            <w:tcW w:w="1340" w:type="dxa"/>
            <w:vAlign w:val="bottom"/>
            <w:gridSpan w:val="2"/>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00"/>
              <w:spacing w:after="0" w:line="103"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7,288</w:t>
            </w:r>
          </w:p>
        </w:tc>
        <w:tc>
          <w:tcPr>
            <w:tcW w:w="10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25"/>
              <w:spacing w:after="0" w:line="103"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103" w:lineRule="exact"/>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jc w:val="right"/>
              <w:ind w:right="103"/>
              <w:spacing w:after="0" w:line="103"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0"/>
              <w:spacing w:after="0" w:line="10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33" w:name="page234"/>
    <w:bookmarkEnd w:id="23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business and basis of presentation</w:t>
      </w:r>
    </w:p>
    <w:p>
      <w:pPr>
        <w:spacing w:after="0" w:line="195"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Selecta Biosciences, Inc. (the "Company") was incorporated in Delaware on December 10, 2007, and is based in Watertown, Massachusetts. The Company is a biopharmaceutical company dedicated to developing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44"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Company is subject to a number of risks similar to other early life science companies including, but not limited to, raising additional capital, development by its competitors of new technological innovations, protection of proprietary technology, and market acceptance of its products.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indicated, all amounts are in millions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jc w:val="both"/>
        <w:ind w:right="120"/>
        <w:spacing w:after="0" w:line="297"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The consolidated financial statements and accompanying notes are stated in U.S. dollars. Any reference in these notes to applicable guidance is meant to refer to the authoritative U.S. GAAP as found in the Accounting Standards Codification ("ASC") and Accounting Standards Updates ("ASU") of the Financial Accounting Standards Board ("FASB").</w:t>
      </w:r>
    </w:p>
    <w:p>
      <w:pPr>
        <w:spacing w:after="0" w:line="144"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The accompanying unaudited consolidated financial statements and the related notes as of March 31, 2016 and for the three months ended March 31, 2015 and 2016 are condensed and are prepared pursuant to the rules and regulations of the U.S. Securities and Exchange Commission regarding interim financial reporting. Accordingly, they do not include all of the information and disclosures required by U.S. GAAP for complete financial statements and should be read in conjunction with the Company's audited financial statements for the years ended December 31, 2014 and 2015. In the opinion of management, the Company has prepared the accompanying unaudited condensed consolidated financial statements for the three months ended March 31, 2015 and 2016 on the same basis as its audited financial statements, and these condensed consolidated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year 2016 or any future years or periods.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has incurred losses since inception and negative cash flows from operating activities. As of December 31, 2015 and March 31, 2016, the Company had an accumulated deficit of $111.5 million and $121.1 million, respectively. The Company has financed its operations to date through issuances of redeemable convertible preferred stock (collectively, "Preferred Stock"), debt, research grants and a research collaboration. During the year ended December 31, 2015, the Company raised an additional $39.8 million, net of issuance costs, through the issuance of convertible notes (Note 8) and Series E redeemable convertible preferred stock ("Series E Preferred") (Note 9) and $6.8 million through the issuance of additional venture debt ("Debt") (Note 8). The Company's cash and cash equivalents as of December 31, 2015 and March 31, 2016 included $3.0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4" w:name="page235"/>
    <w:bookmarkEnd w:id="234"/>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$1.5 million, respectively,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62" w:lineRule="exact"/>
        <w:rPr>
          <w:sz w:val="20"/>
          <w:szCs w:val="20"/>
          <w:color w:val="auto"/>
        </w:rPr>
      </w:pPr>
    </w:p>
    <w:p>
      <w:pPr>
        <w:jc w:val="both"/>
        <w:ind w:left="7" w:right="20"/>
        <w:spacing w:after="0" w:line="330" w:lineRule="auto"/>
        <w:rPr>
          <w:sz w:val="20"/>
          <w:szCs w:val="20"/>
          <w:color w:val="auto"/>
        </w:rPr>
      </w:pPr>
      <w:r>
        <w:rPr>
          <w:rFonts w:ascii="Arial" w:cs="Arial" w:eastAsia="Arial" w:hAnsi="Arial"/>
          <w:sz w:val="13"/>
          <w:szCs w:val="13"/>
          <w:color w:val="auto"/>
        </w:rPr>
        <w:t>These factors raise substantial doubt about the Company's ability to continue as a going concern. The Company intends to pursue a private offering of equity securities or a public offering of its common stock to fund future operations. However, if the Company is unable to complete a sufficient private or public offering in a timely manner, it would need to pursue other financing alternatives. There can be no assurances that the current operating plan will be achieved or that additional funding will be available on terms acceptable to the Company, or at all.</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Unaudited pro forma financial information</w:t>
      </w:r>
    </w:p>
    <w:p>
      <w:pPr>
        <w:spacing w:after="0" w:line="195"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The unaudited pro forma consolidated balance sheet information at March 31, 2016 has been prepared to reflect the automatic conversion of all shares of Preferred Stock outstanding at March 31, 2016 into 10,126,118 shares of common stock and cashless exercise of warrants for the purchase of 567,306 shares of common stock as if a proposed initial public offering had occurred on March 31, 2016. For purposes of pro forma basic and diluted net loss per share attributable to common stockholders, all shares of Preferred Stock and those warrants which will automatically be converted or exercised upon the filing of a registration statement on Form S-1 or closing of an initial public offering, and the preferred stock warrants which will convert into common stock warrants upon the closing of an initial public offering, have been treated as if they have been converted or exercised at the beginning of the period or on the issuance date, if later. Accordingly, the pro forma basic and diluted loss per share attributable to common stockholders do not include the effects of the accretion of Preferred Stock to redemption value and accrued dividends, or the change in fair value of redeemable convertible preferred stock warrants.</w:t>
      </w:r>
    </w:p>
    <w:p>
      <w:pPr>
        <w:spacing w:after="0" w:line="145" w:lineRule="exact"/>
        <w:rPr>
          <w:sz w:val="20"/>
          <w:szCs w:val="20"/>
          <w:color w:val="auto"/>
        </w:rPr>
      </w:pPr>
    </w:p>
    <w:p>
      <w:pPr>
        <w:ind w:left="7" w:right="8140" w:hanging="7"/>
        <w:spacing w:after="0" w:line="505" w:lineRule="auto"/>
        <w:tabs>
          <w:tab w:leader="none" w:pos="175" w:val="left"/>
        </w:tabs>
        <w:numPr>
          <w:ilvl w:val="0"/>
          <w:numId w:val="136"/>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Principles of consolidation</w:t>
      </w:r>
    </w:p>
    <w:p>
      <w:pPr>
        <w:ind w:left="7" w:right="80"/>
        <w:spacing w:after="0" w:line="319" w:lineRule="auto"/>
        <w:rPr>
          <w:sz w:val="20"/>
          <w:szCs w:val="20"/>
          <w:color w:val="auto"/>
        </w:rPr>
      </w:pPr>
      <w:r>
        <w:rPr>
          <w:rFonts w:ascii="Arial" w:cs="Arial" w:eastAsia="Arial" w:hAnsi="Arial"/>
          <w:sz w:val="14"/>
          <w:szCs w:val="14"/>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functional currency of Selecta RUS is the ruble. Assets and liabilities of Select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35" w:name="page236"/>
    <w:bookmarkEnd w:id="2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w:t>
      </w:r>
      <w:r>
        <w:rPr>
          <w:rFonts w:ascii="Arial" w:cs="Arial" w:eastAsia="Arial" w:hAnsi="Arial"/>
          <w:sz w:val="14"/>
          <w:szCs w:val="14"/>
          <w:b w:val="1"/>
          <w:bCs w:val="1"/>
          <w:color w:val="auto"/>
        </w:rPr>
        <w:t>-</w:t>
      </w:r>
      <w:r>
        <w:rPr>
          <w:rFonts w:ascii="Arial" w:cs="Arial" w:eastAsia="Arial" w:hAnsi="Arial"/>
          <w:sz w:val="14"/>
          <w:szCs w:val="14"/>
          <w:color w:val="auto"/>
        </w:rPr>
        <w: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w:t>
      </w:r>
      <w:r>
        <w:rPr>
          <w:rFonts w:ascii="Arial" w:cs="Arial" w:eastAsia="Arial" w:hAnsi="Arial"/>
          <w:sz w:val="14"/>
          <w:szCs w:val="14"/>
          <w:b w:val="1"/>
          <w:bCs w:val="1"/>
          <w:color w:val="auto"/>
        </w:rPr>
        <w:t>-</w:t>
      </w:r>
      <w:r>
        <w:rPr>
          <w:rFonts w:ascii="Arial" w:cs="Arial" w:eastAsia="Arial" w:hAnsi="Arial"/>
          <w:sz w:val="14"/>
          <w:szCs w:val="14"/>
          <w:color w:val="auto"/>
        </w:rPr>
        <w:t>based compensation, income taxes, collectability of accounts receivable, useful lives of long</w:t>
      </w:r>
      <w:r>
        <w:rPr>
          <w:rFonts w:ascii="Arial" w:cs="Arial" w:eastAsia="Arial" w:hAnsi="Arial"/>
          <w:sz w:val="14"/>
          <w:szCs w:val="14"/>
          <w:b w:val="1"/>
          <w:bCs w:val="1"/>
          <w:color w:val="auto"/>
        </w:rPr>
        <w:t>-</w:t>
      </w:r>
      <w:r>
        <w:rPr>
          <w:rFonts w:ascii="Arial" w:cs="Arial" w:eastAsia="Arial" w:hAnsi="Arial"/>
          <w:sz w:val="14"/>
          <w:szCs w:val="14"/>
          <w:color w:val="auto"/>
        </w:rPr>
        <w:t>lived assets, accrued expenses, and accounting for project development. The Company assesses the above estimates on an ongoing basis; however, actual results could materially differ from those estimates.</w:t>
      </w:r>
    </w:p>
    <w:p>
      <w:pPr>
        <w:spacing w:after="0" w:line="154"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The Company's management makes significant estimates and assumptions in determining the fair value of its common stock. The Company utilizes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includes estimates and assumptions that require the Company's judgment. These estimates and assumptions include a number of objective and subjective factors, including external market conditions affecting the biotechnology industry sector, the prices at which the Company sold shares of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95" w:lineRule="exact"/>
        <w:rPr>
          <w:sz w:val="20"/>
          <w:szCs w:val="20"/>
          <w:color w:val="auto"/>
        </w:rPr>
      </w:pPr>
    </w:p>
    <w:p>
      <w:pPr>
        <w:ind w:right="220"/>
        <w:spacing w:after="0" w:line="297"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 and short term investments</w:t>
      </w:r>
    </w:p>
    <w:p>
      <w:pPr>
        <w:spacing w:after="0" w:line="195" w:lineRule="exact"/>
        <w:rPr>
          <w:sz w:val="20"/>
          <w:szCs w:val="20"/>
          <w:color w:val="auto"/>
        </w:rPr>
      </w:pPr>
    </w:p>
    <w:p>
      <w:pPr>
        <w:ind w:right="120"/>
        <w:spacing w:after="0" w:line="330" w:lineRule="auto"/>
        <w:rPr>
          <w:sz w:val="20"/>
          <w:szCs w:val="20"/>
          <w:color w:val="auto"/>
        </w:rPr>
      </w:pPr>
      <w:r>
        <w:rPr>
          <w:rFonts w:ascii="Arial" w:cs="Arial" w:eastAsia="Arial" w:hAnsi="Arial"/>
          <w:sz w:val="13"/>
          <w:szCs w:val="13"/>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26630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6" w:name="page237"/>
    <w:bookmarkEnd w:id="23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2015, there were no realized gains or losses on sales of investments, and no investments were adjusted for other than temporary declines in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 of credit risk and off-balance sheet risk</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Financial instruments that potentially subject the Company to concentration of credit risk consist primarily of cash, cash equivalents, and accounts receivable. Cash and cash equivalents are deposited with federally insured financial institutions in the U.S.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our Russia subsidiary, we also maintain cash in Russian bank accounts in denominations of both rubles and U.S. dollars. As of March 31, 2016, we maintained approximately $4.2 million in Russian bank accounts, of which $3.0 million was held in U.S. dollars.</w:t>
      </w:r>
    </w:p>
    <w:p>
      <w:pPr>
        <w:spacing w:after="0" w:line="149" w:lineRule="exact"/>
        <w:rPr>
          <w:sz w:val="20"/>
          <w:szCs w:val="20"/>
          <w:color w:val="auto"/>
        </w:rPr>
      </w:pPr>
    </w:p>
    <w:p>
      <w:pPr>
        <w:ind w:right="60"/>
        <w:spacing w:after="0" w:line="362" w:lineRule="auto"/>
        <w:rPr>
          <w:sz w:val="20"/>
          <w:szCs w:val="20"/>
          <w:color w:val="auto"/>
        </w:rPr>
      </w:pPr>
      <w:r>
        <w:rPr>
          <w:rFonts w:ascii="Arial" w:cs="Arial" w:eastAsia="Arial" w:hAnsi="Arial"/>
          <w:sz w:val="13"/>
          <w:szCs w:val="13"/>
          <w:color w:val="auto"/>
        </w:rPr>
        <w:t>The Company has minimal credit risk as the majority of accounts receivable relates to amounts due under a government sponsored grant, collaboration with large pharmaceutical companies or grants from well-known and supported non-profit organizations. The Company did not have any off balance sheet arrangements as of December 31, 2014 and 2015 and March 31, 2016.</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of financial instruments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Company's financial instruments consist mainly of cash equivalents, short-term investments, restricted cash, accounts receivable, accounts payable, loans payable, common stock warrants, and redeemable convertible preferred stock warrants. The carrying amounts of cash equivalents, short term investments, restricted cash, accounts receivable, and accounts payable approximate their estimated fair value due to their short term maturities. The carrying amount of loans payable approximates their estimated fair value due to the consistency between the prevailing market rates in effect and the effective interest rate of 12.4% for the debt arrangement.</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—Level 1 inputs are quoted prices in active markets for identical assets or liabilities that the reporting entity has the ability to access at the measurement date.</w:t>
      </w:r>
    </w:p>
    <w:p>
      <w:pPr>
        <w:spacing w:after="0" w:line="198" w:lineRule="exact"/>
        <w:rPr>
          <w:sz w:val="20"/>
          <w:szCs w:val="20"/>
          <w:color w:val="auto"/>
        </w:rPr>
      </w:pPr>
    </w:p>
    <w:p>
      <w:pPr>
        <w:ind w:left="460"/>
        <w:spacing w:after="0" w:line="282"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—Level 2 inputs are inputs other than quoted prices included within Level 1 that are observable for the asset or liability, either directly or indirectly. If the asset or liability has</w:t>
      </w:r>
      <w:r>
        <w:rPr>
          <w:rFonts w:ascii="Arial" w:cs="Arial" w:eastAsia="Arial" w:hAnsi="Arial"/>
          <w:sz w:val="15"/>
          <w:szCs w:val="15"/>
          <w:i w:val="1"/>
          <w:iCs w:val="1"/>
          <w:color w:val="auto"/>
        </w:rPr>
        <w:t xml:space="preserve"> </w:t>
      </w:r>
      <w:r>
        <w:rPr>
          <w:rFonts w:ascii="Arial" w:cs="Arial" w:eastAsia="Arial" w:hAnsi="Arial"/>
          <w:sz w:val="15"/>
          <w:szCs w:val="15"/>
          <w:color w:val="auto"/>
        </w:rPr>
        <w:t>a specified (contractual) term, a Level 2 input must be observable for substantially the full term of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7" w:name="page238"/>
    <w:bookmarkEnd w:id="23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—Level 3 inputs are unobservable inputs for the asset or liability in which there is little, if any, market activity for the asset or liability at the measurement date.</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As of December 31, 2014 and 2015, and at March 31, 2016, the Company's Preferred Stock Warrants were the only financial instruments classified as Level 3.</w:t>
      </w:r>
    </w:p>
    <w:p>
      <w:pPr>
        <w:spacing w:after="0" w:line="162"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2014 and 2015, and the three months ended March 31, 2016.</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and equipment</w:t>
      </w:r>
    </w:p>
    <w:p>
      <w:pPr>
        <w:spacing w:after="0" w:line="195" w:lineRule="exact"/>
        <w:rPr>
          <w:sz w:val="20"/>
          <w:szCs w:val="20"/>
          <w:color w:val="auto"/>
        </w:rPr>
      </w:pPr>
    </w:p>
    <w:p>
      <w:pPr>
        <w:ind w:right="100"/>
        <w:spacing w:after="0" w:line="319" w:lineRule="auto"/>
        <w:rPr>
          <w:sz w:val="20"/>
          <w:szCs w:val="20"/>
          <w:color w:val="auto"/>
        </w:rPr>
      </w:pPr>
      <w:r>
        <w:rPr>
          <w:rFonts w:ascii="Arial" w:cs="Arial" w:eastAsia="Arial" w:hAnsi="Arial"/>
          <w:sz w:val="13"/>
          <w:szCs w:val="13"/>
          <w:color w:val="auto"/>
        </w:rPr>
        <w:t>Property and equipment are recorded at cost and depreciated using the straight-line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Impairment of long-lived assets</w:t>
      </w:r>
    </w:p>
    <w:p>
      <w:pPr>
        <w:spacing w:after="0" w:line="195" w:lineRule="exact"/>
        <w:rPr>
          <w:sz w:val="20"/>
          <w:szCs w:val="20"/>
          <w:color w:val="auto"/>
        </w:rPr>
      </w:pPr>
    </w:p>
    <w:p>
      <w:pPr>
        <w:ind w:right="120"/>
        <w:spacing w:after="0" w:line="319" w:lineRule="auto"/>
        <w:rPr>
          <w:sz w:val="20"/>
          <w:szCs w:val="20"/>
          <w:color w:val="auto"/>
        </w:rPr>
      </w:pPr>
      <w:r>
        <w:rPr>
          <w:rFonts w:ascii="Arial" w:cs="Arial" w:eastAsia="Arial" w:hAnsi="Arial"/>
          <w:sz w:val="13"/>
          <w:szCs w:val="13"/>
          <w:color w:val="auto"/>
        </w:rPr>
        <w:t>The Company periodically evaluates its long-lived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through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266305"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8" w:name="page239"/>
    <w:bookmarkEnd w:id="238"/>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Debt issuance costs</w:t>
      </w:r>
    </w:p>
    <w:p>
      <w:pPr>
        <w:spacing w:after="0" w:line="195"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7" w:right="300"/>
        <w:spacing w:after="0" w:line="319" w:lineRule="auto"/>
        <w:rPr>
          <w:sz w:val="20"/>
          <w:szCs w:val="20"/>
          <w:color w:val="auto"/>
        </w:rPr>
      </w:pPr>
      <w:r>
        <w:rPr>
          <w:rFonts w:ascii="Arial" w:cs="Arial" w:eastAsia="Arial" w:hAnsi="Arial"/>
          <w:sz w:val="14"/>
          <w:szCs w:val="14"/>
          <w:color w:val="auto"/>
        </w:rPr>
        <w:t xml:space="preserve">The Company's revenue is primarily generated from research grants in both the United States and Russia, and a license and research collaboration agreement with Sanofi. The Company recognizes revenue in accordance with ASC Topic 605, </w:t>
      </w:r>
      <w:r>
        <w:rPr>
          <w:rFonts w:ascii="Arial" w:cs="Arial" w:eastAsia="Arial" w:hAnsi="Arial"/>
          <w:sz w:val="14"/>
          <w:szCs w:val="14"/>
          <w:i w:val="1"/>
          <w:iCs w:val="1"/>
          <w:color w:val="auto"/>
        </w:rPr>
        <w:t>Revenue Recognition</w:t>
      </w:r>
      <w:r>
        <w:rPr>
          <w:rFonts w:ascii="Arial" w:cs="Arial" w:eastAsia="Arial" w:hAnsi="Arial"/>
          <w:sz w:val="14"/>
          <w:szCs w:val="14"/>
          <w:color w:val="auto"/>
        </w:rPr>
        <w:t>. Accordingly, revenue is recognized when all of the following criteria are met:</w:t>
      </w:r>
    </w:p>
    <w:p>
      <w:pPr>
        <w:spacing w:after="0" w:line="140" w:lineRule="exact"/>
        <w:rPr>
          <w:sz w:val="20"/>
          <w:szCs w:val="20"/>
          <w:color w:val="auto"/>
        </w:rPr>
      </w:pPr>
    </w:p>
    <w:p>
      <w:pPr>
        <w:ind w:left="467" w:hanging="467"/>
        <w:spacing w:after="0"/>
        <w:tabs>
          <w:tab w:leader="none" w:pos="467" w:val="left"/>
        </w:tabs>
        <w:numPr>
          <w:ilvl w:val="0"/>
          <w:numId w:val="137"/>
        </w:numPr>
        <w:rPr>
          <w:rFonts w:ascii="Arial" w:cs="Arial" w:eastAsia="Arial" w:hAnsi="Arial"/>
          <w:sz w:val="15"/>
          <w:szCs w:val="15"/>
          <w:color w:val="auto"/>
        </w:rPr>
      </w:pPr>
      <w:r>
        <w:rPr>
          <w:rFonts w:ascii="Arial" w:cs="Arial" w:eastAsia="Arial" w:hAnsi="Arial"/>
          <w:sz w:val="15"/>
          <w:szCs w:val="15"/>
          <w:color w:val="auto"/>
        </w:rPr>
        <w:t>Persuasive evidence of an arrangement exists;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7"/>
        </w:numPr>
        <w:rPr>
          <w:rFonts w:ascii="Arial" w:cs="Arial" w:eastAsia="Arial" w:hAnsi="Arial"/>
          <w:sz w:val="15"/>
          <w:szCs w:val="15"/>
          <w:color w:val="auto"/>
        </w:rPr>
      </w:pPr>
      <w:r>
        <w:rPr>
          <w:rFonts w:ascii="Arial" w:cs="Arial" w:eastAsia="Arial" w:hAnsi="Arial"/>
          <w:sz w:val="15"/>
          <w:szCs w:val="15"/>
          <w:color w:val="auto"/>
        </w:rPr>
        <w:t>Delivery has occurred or services have been rendered;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seller's price to the buyer is fixed or determinable;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7"/>
        </w:numPr>
        <w:rPr>
          <w:rFonts w:ascii="Arial" w:cs="Arial" w:eastAsia="Arial" w:hAnsi="Arial"/>
          <w:sz w:val="15"/>
          <w:szCs w:val="15"/>
          <w:color w:val="auto"/>
        </w:rPr>
      </w:pPr>
      <w:r>
        <w:rPr>
          <w:rFonts w:ascii="Arial" w:cs="Arial" w:eastAsia="Arial" w:hAnsi="Arial"/>
          <w:sz w:val="15"/>
          <w:szCs w:val="15"/>
          <w:color w:val="auto"/>
        </w:rPr>
        <w:t>Collectability is reasonably assured.</w:t>
      </w:r>
    </w:p>
    <w:p>
      <w:pPr>
        <w:spacing w:after="0" w:line="198"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Collaboration revenue</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When evaluating multiple element arrangements such as the agreement with Sanofi discussed in Note 12,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49"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The Company determines the estimated selling price for deliverables within each agreement using vendor-specific objective evidence ("VSOE") of selling price, if available, third-party evidence ("TPE") of selling price if VSOE is not available, or best estimate of selling price if neither VSOE nor TPE is available. Determining the best estimate of selling price for a deliverable requires significant judgment. The Company has used its best estimate of selling price to estimate the selling price for licenses to the Company's proprietary technology, since the Company does not have VSOE or TPE of selling price for these deliverables. In those circumstances, the Company considers market conditions as well as entity-specific factors, including those factors contemplated in negotiating the agreements,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39" w:name="page240"/>
    <w:bookmarkEnd w:id="23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Company may receive upfront payments when licensing its intellectual property in conjunction with a research and development agreement. When management believes the license to its intellectual property does not have stand-alone value from the other deliverables to be provided in the arrangement, the Company generally recognizes revenue attributed to the license over the Company's contractual or estimated performance period. When management believes the license to its intellectual property has stand-alone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research and development efforts are recognized as the services are performed.</w:t>
      </w:r>
    </w:p>
    <w:p>
      <w:pPr>
        <w:spacing w:after="0" w:line="154"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Grant revenue is generally recognized as the related research and development work is performed. Grant arrangements frequently include payment milestones which the Company has judged to be non-substantive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40" w:name="page241"/>
    <w:bookmarkEnd w:id="24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Clinical trial costs</w:t>
      </w:r>
    </w:p>
    <w:p>
      <w:pPr>
        <w:spacing w:after="0" w:line="195" w:lineRule="exact"/>
        <w:rPr>
          <w:sz w:val="20"/>
          <w:szCs w:val="20"/>
          <w:color w:val="auto"/>
        </w:rPr>
      </w:pPr>
    </w:p>
    <w:p>
      <w:pPr>
        <w:ind w:right="160"/>
        <w:spacing w:after="0" w:line="319" w:lineRule="auto"/>
        <w:rPr>
          <w:sz w:val="20"/>
          <w:szCs w:val="20"/>
          <w:color w:val="auto"/>
        </w:rPr>
      </w:pPr>
      <w:r>
        <w:rPr>
          <w:rFonts w:ascii="Arial" w:cs="Arial" w:eastAsia="Arial" w:hAnsi="Arial"/>
          <w:sz w:val="14"/>
          <w:szCs w:val="14"/>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59"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The Company classifies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 be paid upon redemption or liquidation according to the preferred stock terms on each balance sheet date.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issues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re-measured. These warrants are valued using the Black-Scholes option pricing model ("Black-Scholes").</w:t>
      </w:r>
    </w:p>
    <w:p>
      <w:pPr>
        <w:spacing w:after="0" w:line="149"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Redeemable convertible preferred stock warrants are classified as a liability and are initially recorded at their fair value and re-measured on each subsequent balance sheet date while the warrants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1" w:name="page242"/>
    <w:bookmarkEnd w:id="24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360"/>
        <w:spacing w:after="0" w:line="282" w:lineRule="auto"/>
        <w:rPr>
          <w:sz w:val="20"/>
          <w:szCs w:val="20"/>
          <w:color w:val="auto"/>
        </w:rPr>
      </w:pPr>
      <w:r>
        <w:rPr>
          <w:rFonts w:ascii="Arial" w:cs="Arial" w:eastAsia="Arial" w:hAnsi="Arial"/>
          <w:sz w:val="15"/>
          <w:szCs w:val="15"/>
          <w:color w:val="auto"/>
        </w:rPr>
        <w:t>outstanding. Changes in fair value are recorded in interest expense, net in the accompanying consolidated statements of operations and comprehensive loss. The redeemable convertible warrants are valued using Black-Scholes.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The Company accounts for all stock-based compensation granted to employees and non-employees using a fair value method. Stock-based compensation awarded to employees is measured at the grant date fair value of stock option grants and is recognized over the requisite service period of the awards, usually the vesting period, on a straight-line basis, net of estimated forfeitures. Stock-based compensation awarded to non-employees are subject to revaluation over their vesting terms. The Company reduces recorded stock-based compensation for estimated forfeitures. To the extent that actual forfeitures differ from the Company's estimates, the differences are recorded as a cumulative adjustment in the period the estimates were adjusted. Stock-based compensation expense recognized in the financial statements is based on awards that are ultimately expected to vest.</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Comprehensive loss</w:t>
      </w:r>
    </w:p>
    <w:p>
      <w:pPr>
        <w:spacing w:after="0" w:line="195" w:lineRule="exact"/>
        <w:rPr>
          <w:sz w:val="20"/>
          <w:szCs w:val="20"/>
          <w:color w:val="auto"/>
        </w:rPr>
      </w:pPr>
    </w:p>
    <w:p>
      <w:pPr>
        <w:ind w:left="7" w:right="140"/>
        <w:spacing w:after="0" w:line="301" w:lineRule="auto"/>
        <w:rPr>
          <w:sz w:val="20"/>
          <w:szCs w:val="20"/>
          <w:color w:val="auto"/>
        </w:rPr>
      </w:pPr>
      <w:r>
        <w:rPr>
          <w:rFonts w:ascii="Arial" w:cs="Arial" w:eastAsia="Arial" w:hAnsi="Arial"/>
          <w:sz w:val="13"/>
          <w:szCs w:val="13"/>
          <w:color w:val="auto"/>
        </w:rPr>
        <w:t>Comprehensive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loss consists of both: (i) all components of net loss and</w:t>
      </w:r>
    </w:p>
    <w:p>
      <w:pPr>
        <w:ind w:left="7" w:right="340" w:hanging="7"/>
        <w:spacing w:after="0" w:line="275" w:lineRule="auto"/>
        <w:tabs>
          <w:tab w:leader="none" w:pos="229" w:val="left"/>
        </w:tabs>
        <w:numPr>
          <w:ilvl w:val="0"/>
          <w:numId w:val="138"/>
        </w:numPr>
        <w:rPr>
          <w:rFonts w:ascii="Arial" w:cs="Arial" w:eastAsia="Arial" w:hAnsi="Arial"/>
          <w:sz w:val="15"/>
          <w:szCs w:val="15"/>
          <w:color w:val="auto"/>
        </w:rPr>
      </w:pPr>
      <w:r>
        <w:rPr>
          <w:rFonts w:ascii="Arial" w:cs="Arial" w:eastAsia="Arial" w:hAnsi="Arial"/>
          <w:sz w:val="15"/>
          <w:szCs w:val="15"/>
          <w:color w:val="auto"/>
        </w:rPr>
        <w:t>all components of comprehensive loss other than net loss, referred to as other comprehensive loss. For all periods presented, other comprehensive loss is comprised solely of foreign currency translation adjustments.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loss per share</w:t>
      </w:r>
    </w:p>
    <w:p>
      <w:pPr>
        <w:spacing w:after="0" w:line="195" w:lineRule="exact"/>
        <w:rPr>
          <w:sz w:val="20"/>
          <w:szCs w:val="20"/>
          <w:color w:val="auto"/>
        </w:rPr>
      </w:pPr>
    </w:p>
    <w:p>
      <w:pPr>
        <w:ind w:left="7" w:right="100"/>
        <w:spacing w:after="0" w:line="266" w:lineRule="auto"/>
        <w:rPr>
          <w:sz w:val="20"/>
          <w:szCs w:val="20"/>
          <w:color w:val="auto"/>
        </w:rPr>
      </w:pPr>
      <w:r>
        <w:rPr>
          <w:rFonts w:ascii="Arial" w:cs="Arial" w:eastAsia="Arial" w:hAnsi="Arial"/>
          <w:sz w:val="15"/>
          <w:szCs w:val="15"/>
          <w:color w:val="auto"/>
        </w:rPr>
        <w:t>Because the outstanding preferred stock is considered a participating security, the Company utilizes the "two-class" method of computing earnings per share. Under the "two-class" method, in periods in which the Company would report income from continuing operations, such income would be reduced by any dividends directly attributable to the preferred stock and the remainder would then be allocated between the preferred stock and the common stock based on their proportionate as converted interest. Net losses are not allocated to preferred stockholders as they do not have an obligation to share in the Company's net losses.</w:t>
      </w:r>
    </w:p>
    <w:p>
      <w:pPr>
        <w:spacing w:after="0" w:line="162" w:lineRule="exact"/>
        <w:rPr>
          <w:sz w:val="20"/>
          <w:szCs w:val="20"/>
          <w:color w:val="auto"/>
        </w:rPr>
      </w:pPr>
    </w:p>
    <w:p>
      <w:pPr>
        <w:ind w:left="7" w:right="20"/>
        <w:spacing w:after="0" w:line="319" w:lineRule="auto"/>
        <w:rPr>
          <w:sz w:val="20"/>
          <w:szCs w:val="20"/>
          <w:color w:val="auto"/>
        </w:rPr>
      </w:pPr>
      <w:r>
        <w:rPr>
          <w:rFonts w:ascii="Arial" w:cs="Arial" w:eastAsia="Arial" w:hAnsi="Arial"/>
          <w:sz w:val="13"/>
          <w:szCs w:val="13"/>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66305"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42" w:name="page243"/>
    <w:bookmarkEnd w:id="24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rent</w:t>
      </w:r>
    </w:p>
    <w:p>
      <w:pPr>
        <w:spacing w:after="0" w:line="195"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Rent expense and lease incentives from operating leases are recognized on a straight-line basis over the lease term. The difference between rent expense recognized and rental payments is recorded as deferred rent in the accompanying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liabilities</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 xml:space="preserve">The Company accounts for its contingent liabilities in accordance with ASC No. 450, </w:t>
      </w:r>
      <w:r>
        <w:rPr>
          <w:rFonts w:ascii="Arial" w:cs="Arial" w:eastAsia="Arial" w:hAnsi="Arial"/>
          <w:sz w:val="14"/>
          <w:szCs w:val="14"/>
          <w:i w:val="1"/>
          <w:iCs w:val="1"/>
          <w:color w:val="auto"/>
        </w:rPr>
        <w:t>Contingencies</w:t>
      </w:r>
      <w:r>
        <w:rPr>
          <w:rFonts w:ascii="Arial" w:cs="Arial" w:eastAsia="Arial" w:hAnsi="Arial"/>
          <w:sz w:val="14"/>
          <w:szCs w:val="14"/>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2014 and 2015, and at March 31, 2016, the Company was not a party to any ligation that could have a material adverse effect on the Company's business,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issuance costs</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Direct and incremental legal and accounting costs associated with the Company's proposed initial public offering totaled approximately $2.5 million through March 31, 2016. Such costs are recorded as Other assets on the Consolidated Balance Sheet and will be used as an offset against the proceeds received in the offering. If the proposed initial public offering were no longer probable of occurring, the deferred costs would be expensed at that time.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 and indemnifications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As permitted under Delaware law, the Company indemnifies its officers, directors, consultants and employees for certain events or occurrences that happen by reason of the relationship with, or position held at, the Company. Through March 31, 2016,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ind w:right="20"/>
        <w:spacing w:after="0" w:line="310" w:lineRule="auto"/>
        <w:rPr>
          <w:sz w:val="20"/>
          <w:szCs w:val="20"/>
          <w:color w:val="auto"/>
        </w:rPr>
      </w:pPr>
      <w:r>
        <w:rPr>
          <w:rFonts w:ascii="Arial" w:cs="Arial" w:eastAsia="Arial" w:hAnsi="Arial"/>
          <w:sz w:val="13"/>
          <w:szCs w:val="13"/>
          <w:color w:val="auto"/>
        </w:rPr>
        <w:t xml:space="preserve">In May 2014, the FASB issued ASU No. 2014-09,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("ASU 2014-09"), which amends the guidance for revenue recognition to replace numerous industry- 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The Company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43" w:name="page244"/>
    <w:bookmarkEnd w:id="24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currently in the process of evaluating the effect the adoption of ASU 2014-09 may have on its financial statements.</w:t>
      </w:r>
    </w:p>
    <w:p>
      <w:pPr>
        <w:spacing w:after="0" w:line="198"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 xml:space="preserve">In August 2014, the FASB issued ASU 2014-15, </w:t>
      </w:r>
      <w:r>
        <w:rPr>
          <w:rFonts w:ascii="Arial" w:cs="Arial" w:eastAsia="Arial" w:hAnsi="Arial"/>
          <w:sz w:val="14"/>
          <w:szCs w:val="14"/>
          <w:i w:val="1"/>
          <w:iCs w:val="1"/>
          <w:color w:val="auto"/>
        </w:rPr>
        <w:t>Presentation of Financial Statements-Going Concern</w:t>
      </w:r>
      <w:r>
        <w:rPr>
          <w:rFonts w:ascii="Arial" w:cs="Arial" w:eastAsia="Arial" w:hAnsi="Arial"/>
          <w:sz w:val="14"/>
          <w:szCs w:val="14"/>
          <w:color w:val="auto"/>
        </w:rPr>
        <w:t xml:space="preserve"> ("ASU 2014-15"). ASU 2014-15 requires management to assess an entity's ability to continue as a going concern and to provide related disclosures in certain circumstances. The requirement of ASU 2014-15 will be effective for the annual financial statement period beginning after December 15, 2016, with early adoption permitted. The Company is currently in the process of evaluating the impact of adopting ASU 2014-15.</w:t>
      </w:r>
    </w:p>
    <w:p>
      <w:pPr>
        <w:spacing w:after="0" w:line="14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 xml:space="preserve">In February 2016, FASB issued ASU No.2016-02,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and is to be applied at the beginning of the earliest period presented using a modified retrospective approach.</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share</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Because the Company has reported a net loss attributable to common stockholders for all periods presented, basic and diluted net loss per share attributable to common stockholders are the same for those periods. All Preferred Stock, common stock warrants, Preferred Stock warrants, and stock options have been excluded from the computation of diluted weighted average shares outstanding because such securities would have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4" w:name="page245"/>
    <w:bookmarkEnd w:id="24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of basic and diluted net loss per share and has been retrospectively adjusted to reflect the effect of a reverse common stock split effected in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June 2016 (in thousands, except share and per-share data):</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Year ended December 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spacing w:after="0"/>
              <w:rPr>
                <w:sz w:val="20"/>
                <w:szCs w:val="20"/>
                <w:color w:val="auto"/>
              </w:rPr>
            </w:pPr>
            <w:r>
              <w:rPr>
                <w:rFonts w:ascii="Arial" w:cs="Arial" w:eastAsia="Arial" w:hAnsi="Arial"/>
                <w:sz w:val="12"/>
                <w:szCs w:val="12"/>
                <w:b w:val="1"/>
                <w:bCs w:val="1"/>
                <w:color w:val="auto"/>
              </w:rPr>
              <w:t>March 31,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4"/>
          </w:tcPr>
          <w:p>
            <w:pPr>
              <w:jc w:val="right"/>
              <w:spacing w:after="0" w:line="120" w:lineRule="exact"/>
              <w:rPr>
                <w:sz w:val="20"/>
                <w:szCs w:val="20"/>
                <w:color w:val="auto"/>
              </w:rPr>
            </w:pPr>
            <w:r>
              <w:rPr>
                <w:rFonts w:ascii="Arial" w:cs="Arial" w:eastAsia="Arial" w:hAnsi="Arial"/>
                <w:sz w:val="12"/>
                <w:szCs w:val="12"/>
                <w:b w:val="1"/>
                <w:bCs w:val="1"/>
                <w:color w:val="auto"/>
              </w:rPr>
              <w:t>(unaudited)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Arial" w:cs="Arial" w:eastAsia="Arial" w:hAnsi="Arial"/>
                <w:sz w:val="15"/>
                <w:szCs w:val="15"/>
                <w:color w:val="auto"/>
              </w:rPr>
              <w:t>Net (loss)</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(12,880)</w:t>
            </w: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(25,174)</w:t>
            </w: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(5,733)</w:t>
            </w:r>
          </w:p>
        </w:tc>
        <w:tc>
          <w:tcPr>
            <w:tcW w:w="280" w:type="dxa"/>
            <w:vAlign w:val="bottom"/>
            <w:gridSpan w:val="2"/>
          </w:tcPr>
          <w:p>
            <w:pPr>
              <w:jc w:val="right"/>
              <w:ind w:right="85"/>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(7,476)</w:t>
            </w: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Less: accretion on preferred stock</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(7,335)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(2,356)</w:t>
            </w:r>
          </w:p>
        </w:tc>
        <w:tc>
          <w:tcPr>
            <w:tcW w:w="0" w:type="dxa"/>
            <w:vAlign w:val="bottom"/>
          </w:tcPr>
          <w:p>
            <w:pPr>
              <w:spacing w:after="0"/>
              <w:rPr>
                <w:sz w:val="1"/>
                <w:szCs w:val="1"/>
                <w:color w:val="auto"/>
              </w:rPr>
            </w:pPr>
          </w:p>
        </w:tc>
      </w:tr>
      <w:tr>
        <w:trPr>
          <w:trHeight w:val="185"/>
        </w:trPr>
        <w:tc>
          <w:tcPr>
            <w:tcW w:w="5120" w:type="dxa"/>
            <w:vAlign w:val="bottom"/>
          </w:tcPr>
          <w:p>
            <w:pPr>
              <w:ind w:left="160"/>
              <w:spacing w:after="0"/>
              <w:rPr>
                <w:sz w:val="20"/>
                <w:szCs w:val="20"/>
                <w:color w:val="auto"/>
              </w:rPr>
            </w:pPr>
            <w:r>
              <w:rPr>
                <w:rFonts w:ascii="Arial" w:cs="Arial" w:eastAsia="Arial" w:hAnsi="Arial"/>
                <w:sz w:val="15"/>
                <w:szCs w:val="15"/>
                <w:color w:val="auto"/>
              </w:rPr>
              <w:t>Net effect of extinguishment of preferred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(16,372)</w:t>
            </w: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(32,509)</w:t>
            </w: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(7,294)</w:t>
            </w: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(9,832)</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2,090,677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2,175,037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(7.84)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5"/>
              <w:spacing w:after="0" w:line="160"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(15.13)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(3.43)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5"/>
              <w:spacing w:after="0" w:line="160"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(4.52)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Potential common shares issuable upon conversion of Preferred Stock, warrants to purchase common or Preferred Stock, and stock options that are excluded from the computation of diluted weighted average shares outstanding are as follows: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5300" w:type="dxa"/>
            <w:vAlign w:val="bottom"/>
          </w:tcPr>
          <w:p>
            <w:pPr>
              <w:spacing w:after="0"/>
              <w:rPr>
                <w:sz w:val="12"/>
                <w:szCs w:val="12"/>
                <w:color w:val="auto"/>
              </w:rPr>
            </w:pPr>
          </w:p>
        </w:tc>
        <w:tc>
          <w:tcPr>
            <w:tcW w:w="1780" w:type="dxa"/>
            <w:vAlign w:val="bottom"/>
            <w:gridSpan w:val="3"/>
          </w:tcPr>
          <w:p>
            <w:pPr>
              <w:jc w:val="right"/>
              <w:ind w:right="65"/>
              <w:spacing w:after="0"/>
              <w:rPr>
                <w:sz w:val="20"/>
                <w:szCs w:val="20"/>
                <w:color w:val="auto"/>
              </w:rPr>
            </w:pPr>
            <w:r>
              <w:rPr>
                <w:rFonts w:ascii="Arial" w:cs="Arial" w:eastAsia="Arial" w:hAnsi="Arial"/>
                <w:sz w:val="12"/>
                <w:szCs w:val="12"/>
                <w:b w:val="1"/>
                <w:bCs w:val="1"/>
                <w:color w:val="auto"/>
              </w:rPr>
              <w:t>Year ended December 31,</w:t>
            </w:r>
          </w:p>
        </w:tc>
        <w:tc>
          <w:tcPr>
            <w:tcW w:w="140" w:type="dxa"/>
            <w:vAlign w:val="bottom"/>
          </w:tcPr>
          <w:p>
            <w:pPr>
              <w:spacing w:after="0"/>
              <w:rPr>
                <w:sz w:val="12"/>
                <w:szCs w:val="12"/>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530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2014</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2015</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5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3"/>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Redeemable 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6,471,358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10,126,118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6,471,358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10,126,118</w:t>
            </w:r>
          </w:p>
        </w:tc>
        <w:tc>
          <w:tcPr>
            <w:tcW w:w="140" w:type="dxa"/>
            <w:vAlign w:val="bottom"/>
            <w:shd w:val="clear" w:color="auto" w:fill="CCEEFF"/>
          </w:tcPr>
          <w:p>
            <w:pPr>
              <w:spacing w:after="0"/>
              <w:rPr>
                <w:sz w:val="16"/>
                <w:szCs w:val="16"/>
                <w:color w:val="auto"/>
              </w:rPr>
            </w:pPr>
          </w:p>
        </w:tc>
      </w:tr>
      <w:tr>
        <w:trPr>
          <w:trHeight w:val="185"/>
        </w:trPr>
        <w:tc>
          <w:tcPr>
            <w:tcW w:w="5300" w:type="dxa"/>
            <w:vAlign w:val="bottom"/>
          </w:tcPr>
          <w:p>
            <w:pPr>
              <w:spacing w:after="0"/>
              <w:rPr>
                <w:sz w:val="20"/>
                <w:szCs w:val="20"/>
                <w:color w:val="auto"/>
              </w:rPr>
            </w:pPr>
            <w:r>
              <w:rPr>
                <w:rFonts w:ascii="Arial" w:cs="Arial" w:eastAsia="Arial" w:hAnsi="Arial"/>
                <w:sz w:val="15"/>
                <w:szCs w:val="15"/>
                <w:color w:val="auto"/>
              </w:rPr>
              <w:t>Stock options to purchase common stock</w:t>
            </w:r>
          </w:p>
        </w:tc>
        <w:tc>
          <w:tcPr>
            <w:tcW w:w="780" w:type="dxa"/>
            <w:vAlign w:val="bottom"/>
          </w:tcPr>
          <w:p>
            <w:pPr>
              <w:jc w:val="right"/>
              <w:spacing w:after="0"/>
              <w:rPr>
                <w:sz w:val="20"/>
                <w:szCs w:val="20"/>
                <w:color w:val="auto"/>
              </w:rPr>
            </w:pPr>
            <w:r>
              <w:rPr>
                <w:rFonts w:ascii="Arial" w:cs="Arial" w:eastAsia="Arial" w:hAnsi="Arial"/>
                <w:sz w:val="15"/>
                <w:szCs w:val="15"/>
                <w:color w:val="auto"/>
              </w:rPr>
              <w:t>1,143,237</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1,569,379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1,247,562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1,736,682</w:t>
            </w:r>
          </w:p>
        </w:tc>
        <w:tc>
          <w:tcPr>
            <w:tcW w:w="140" w:type="dxa"/>
            <w:vAlign w:val="bottom"/>
          </w:tcPr>
          <w:p>
            <w:pPr>
              <w:spacing w:after="0"/>
              <w:rPr>
                <w:sz w:val="16"/>
                <w:szCs w:val="16"/>
                <w:color w:val="auto"/>
              </w:rPr>
            </w:pPr>
          </w:p>
        </w:tc>
      </w:tr>
      <w:tr>
        <w:trPr>
          <w:trHeight w:val="185"/>
        </w:trPr>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Stock warrants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40" w:type="dxa"/>
            <w:vAlign w:val="bottom"/>
            <w:shd w:val="clear" w:color="auto" w:fill="CCEEFF"/>
          </w:tcPr>
          <w:p>
            <w:pPr>
              <w:spacing w:after="0"/>
              <w:rPr>
                <w:sz w:val="16"/>
                <w:szCs w:val="16"/>
                <w:color w:val="auto"/>
              </w:rPr>
            </w:pPr>
          </w:p>
        </w:tc>
      </w:tr>
      <w:tr>
        <w:trPr>
          <w:trHeight w:val="185"/>
        </w:trPr>
        <w:tc>
          <w:tcPr>
            <w:tcW w:w="5300" w:type="dxa"/>
            <w:vAlign w:val="bottom"/>
          </w:tcPr>
          <w:p>
            <w:pPr>
              <w:spacing w:after="0"/>
              <w:rPr>
                <w:sz w:val="20"/>
                <w:szCs w:val="20"/>
                <w:color w:val="auto"/>
              </w:rPr>
            </w:pPr>
            <w:r>
              <w:rPr>
                <w:rFonts w:ascii="Arial" w:cs="Arial" w:eastAsia="Arial" w:hAnsi="Arial"/>
                <w:sz w:val="15"/>
                <w:szCs w:val="15"/>
                <w:color w:val="auto"/>
              </w:rPr>
              <w:t>Redeemable convertible preferred stock warrants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17,094</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26,832</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17,094</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26,832</w:t>
            </w:r>
          </w:p>
        </w:tc>
        <w:tc>
          <w:tcPr>
            <w:tcW w:w="140" w:type="dxa"/>
            <w:vAlign w:val="bottom"/>
          </w:tcPr>
          <w:p>
            <w:pPr>
              <w:spacing w:after="0"/>
              <w:rPr>
                <w:sz w:val="16"/>
                <w:szCs w:val="16"/>
                <w:color w:val="auto"/>
              </w:rPr>
            </w:pPr>
          </w:p>
        </w:tc>
      </w:tr>
      <w:tr>
        <w:trPr>
          <w:trHeight w:val="177"/>
        </w:trPr>
        <w:tc>
          <w:tcPr>
            <w:tcW w:w="5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7,631,689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12,372,947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7,736,014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12,540,250</w:t>
            </w:r>
          </w:p>
        </w:tc>
        <w:tc>
          <w:tcPr>
            <w:tcW w:w="140" w:type="dxa"/>
            <w:vAlign w:val="bottom"/>
            <w:shd w:val="clear" w:color="auto" w:fill="CCEEFF"/>
          </w:tcPr>
          <w:p>
            <w:pPr>
              <w:spacing w:after="0"/>
              <w:rPr>
                <w:sz w:val="15"/>
                <w:szCs w:val="15"/>
                <w:color w:val="auto"/>
              </w:rPr>
            </w:pPr>
          </w:p>
        </w:tc>
      </w:tr>
      <w:tr>
        <w:trPr>
          <w:trHeight w:val="20"/>
        </w:trPr>
        <w:tc>
          <w:tcPr>
            <w:tcW w:w="5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 unaudited pro forma basic and diluted net loss per share attributable to common stockholders for the year ended December 31, 2015, and the three months ended March 31, 2016, has been computed using the weighted average common shares outstanding after giving pro forma effect to the automatic conversion of all shares of Preferred Stock into shares of common stock, the automatic conversion of all Preferred Stock warrants into common stock warrants, and the automatic net exercise of warrants to purchase common stock upon the filing of a registration statement on Form S-1 as if such conversions or exercises had occurred at the beginning of 2015 or the date of original issuance, if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245" w:name="page246"/>
    <w:bookmarkEnd w:id="24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the pro forma net loss per share (in thousands, except share and per share data):</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Three</w:t>
            </w:r>
          </w:p>
        </w:tc>
        <w:tc>
          <w:tcPr>
            <w:tcW w:w="0" w:type="dxa"/>
            <w:vAlign w:val="bottom"/>
          </w:tcPr>
          <w:p>
            <w:pPr>
              <w:spacing w:after="0"/>
              <w:rPr>
                <w:sz w:val="1"/>
                <w:szCs w:val="1"/>
                <w:color w:val="auto"/>
              </w:rPr>
            </w:pPr>
          </w:p>
        </w:tc>
      </w:tr>
      <w:tr>
        <w:trPr>
          <w:trHeight w:val="13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Year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months</w:t>
            </w:r>
          </w:p>
        </w:tc>
        <w:tc>
          <w:tcPr>
            <w:tcW w:w="0" w:type="dxa"/>
            <w:vAlign w:val="bottom"/>
          </w:tcPr>
          <w:p>
            <w:pPr>
              <w:spacing w:after="0"/>
              <w:rPr>
                <w:sz w:val="1"/>
                <w:szCs w:val="1"/>
                <w:color w:val="auto"/>
              </w:rPr>
            </w:pPr>
          </w:p>
        </w:tc>
      </w:tr>
      <w:tr>
        <w:trPr>
          <w:trHeight w:val="13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54"/>
        </w:trPr>
        <w:tc>
          <w:tcPr>
            <w:tcW w:w="6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109"/>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88"/>
              </w:rPr>
              <w:t>(unaudited)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0"/>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6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(32,509)</w:t>
            </w: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(9,832)</w:t>
            </w:r>
          </w:p>
        </w:tc>
        <w:tc>
          <w:tcPr>
            <w:tcW w:w="0" w:type="dxa"/>
            <w:vAlign w:val="bottom"/>
          </w:tcPr>
          <w:p>
            <w:pPr>
              <w:spacing w:after="0"/>
              <w:rPr>
                <w:sz w:val="1"/>
                <w:szCs w:val="1"/>
                <w:color w:val="auto"/>
              </w:rPr>
            </w:pPr>
          </w:p>
        </w:tc>
      </w:tr>
      <w:tr>
        <w:trPr>
          <w:trHeight w:val="185"/>
        </w:trPr>
        <w:tc>
          <w:tcPr>
            <w:tcW w:w="6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Less: accrued dividends and accretion on preferred stock</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60" w:type="dxa"/>
            <w:vAlign w:val="bottom"/>
          </w:tcPr>
          <w:p>
            <w:pPr>
              <w:ind w:left="160"/>
              <w:spacing w:after="0"/>
              <w:rPr>
                <w:sz w:val="20"/>
                <w:szCs w:val="20"/>
                <w:color w:val="auto"/>
              </w:rPr>
            </w:pPr>
            <w:r>
              <w:rPr>
                <w:rFonts w:ascii="Arial" w:cs="Arial" w:eastAsia="Arial" w:hAnsi="Arial"/>
                <w:sz w:val="15"/>
                <w:szCs w:val="15"/>
                <w:color w:val="auto"/>
              </w:rPr>
              <w:t>Change in fair value of preferred stock warrants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(83)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(25,257)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(7,456)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60" w:type="dxa"/>
            <w:vAlign w:val="bottom"/>
          </w:tcPr>
          <w:p>
            <w:pPr>
              <w:spacing w:after="0"/>
              <w:rPr>
                <w:sz w:val="20"/>
                <w:szCs w:val="20"/>
                <w:color w:val="auto"/>
              </w:rPr>
            </w:pPr>
            <w:r>
              <w:rPr>
                <w:rFonts w:ascii="Arial" w:cs="Arial" w:eastAsia="Arial" w:hAnsi="Arial"/>
                <w:sz w:val="15"/>
                <w:szCs w:val="15"/>
                <w:color w:val="auto"/>
              </w:rPr>
              <w:t>Adjustment for assumed conversion of preferred stock</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7,714,121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10,126,118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w w:val="92"/>
              </w:rPr>
              <w:t>Adjustment for assumed effect of cashless conversion of common stock warrants issued with Series E preferred</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192,808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567,306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10,057,351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12,868,461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(2.51)</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Fair Value Measurements</w:t>
      </w:r>
    </w:p>
    <w:p>
      <w:pPr>
        <w:spacing w:after="0" w:line="195"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The tables below present information about the Company's financial assets and liabilities that are measured and carried at fair value as of December 31, 2014 and 2015 (in thousands) and indicate the level within the fair value hierarchy where each measurement is classified.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8"/>
          </w:tcPr>
          <w:p>
            <w:pPr>
              <w:ind w:left="120"/>
              <w:spacing w:after="0"/>
              <w:rPr>
                <w:sz w:val="20"/>
                <w:szCs w:val="20"/>
                <w:color w:val="auto"/>
              </w:rPr>
            </w:pPr>
            <w:r>
              <w:rPr>
                <w:rFonts w:ascii="Arial" w:cs="Arial" w:eastAsia="Arial" w:hAnsi="Arial"/>
                <w:sz w:val="12"/>
                <w:szCs w:val="12"/>
                <w:b w:val="1"/>
                <w:bCs w:val="1"/>
                <w:color w:val="auto"/>
                <w:w w:val="98"/>
              </w:rPr>
              <w:t>December 31, 2014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rPr>
              <w:t>(level 2)</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8"/>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left w:val="single" w:sz="8" w:color="CCEEFF"/>
            </w:tcBorders>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236</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21"/>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9"/>
          </w:tcPr>
          <w:p>
            <w:pPr>
              <w:ind w:left="20"/>
              <w:spacing w:after="0"/>
              <w:rPr>
                <w:sz w:val="20"/>
                <w:szCs w:val="20"/>
                <w:color w:val="auto"/>
              </w:rPr>
            </w:pPr>
            <w:r>
              <w:rPr>
                <w:rFonts w:ascii="Arial" w:cs="Arial" w:eastAsia="Arial" w:hAnsi="Arial"/>
                <w:sz w:val="12"/>
                <w:szCs w:val="12"/>
                <w:b w:val="1"/>
                <w:bCs w:val="1"/>
                <w:color w:val="auto"/>
              </w:rPr>
              <w:t>December 31, 2015</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2"/>
                <w:szCs w:val="12"/>
                <w:b w:val="1"/>
                <w:bCs w:val="1"/>
                <w:color w:val="auto"/>
                <w:w w:val="98"/>
              </w:rPr>
              <w:t>(level 1)</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(level 2)</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6"/>
          </w:tcPr>
          <w:p>
            <w:pPr>
              <w:ind w:left="40"/>
              <w:spacing w:after="0"/>
              <w:rPr>
                <w:sz w:val="20"/>
                <w:szCs w:val="20"/>
                <w:color w:val="auto"/>
              </w:rPr>
            </w:pPr>
            <w:r>
              <w:rPr>
                <w:rFonts w:ascii="Arial" w:cs="Arial" w:eastAsia="Arial" w:hAnsi="Arial"/>
                <w:sz w:val="12"/>
                <w:szCs w:val="12"/>
                <w:b w:val="1"/>
                <w:bCs w:val="1"/>
                <w:color w:val="auto"/>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 included in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5"/>
                <w:szCs w:val="15"/>
                <w:color w:val="auto"/>
              </w:rPr>
              <w:t>US Treasury obligations, included in investments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290</w:t>
            </w: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6" w:name="page247"/>
    <w:bookmarkEnd w:id="24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200" w:lineRule="exact"/>
        <w:rPr>
          <w:sz w:val="20"/>
          <w:szCs w:val="20"/>
          <w:color w:val="auto"/>
        </w:rPr>
      </w:pPr>
    </w:p>
    <w:p>
      <w:pPr>
        <w:spacing w:after="0" w:line="37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11"/>
          </w:tcPr>
          <w:p>
            <w:pPr>
              <w:jc w:val="center"/>
              <w:ind w:right="300"/>
              <w:spacing w:after="0"/>
              <w:rPr>
                <w:sz w:val="20"/>
                <w:szCs w:val="20"/>
                <w:color w:val="auto"/>
              </w:rPr>
            </w:pPr>
            <w:r>
              <w:rPr>
                <w:rFonts w:ascii="Arial" w:cs="Arial" w:eastAsia="Arial" w:hAnsi="Arial"/>
                <w:sz w:val="12"/>
                <w:szCs w:val="12"/>
                <w:b w:val="1"/>
                <w:bCs w:val="1"/>
                <w:color w:val="auto"/>
              </w:rPr>
              <w:t>Three months ended March 31, 2016</w:t>
            </w:r>
          </w:p>
        </w:tc>
      </w:tr>
      <w:tr>
        <w:trPr>
          <w:trHeight w:val="154"/>
        </w:trPr>
        <w:tc>
          <w:tcPr>
            <w:tcW w:w="6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2"/>
                <w:szCs w:val="12"/>
                <w:b w:val="1"/>
                <w:bCs w:val="1"/>
                <w:color w:val="auto"/>
              </w:rPr>
              <w:t>(level 1)</w:t>
            </w: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(level 3)</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19"/>
        </w:trPr>
        <w:tc>
          <w:tcPr>
            <w:tcW w:w="6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tcPr>
          <w:p>
            <w:pPr>
              <w:jc w:val="center"/>
              <w:ind w:left="9"/>
              <w:spacing w:after="0" w:line="120" w:lineRule="exact"/>
              <w:rPr>
                <w:sz w:val="20"/>
                <w:szCs w:val="20"/>
                <w:color w:val="auto"/>
              </w:rPr>
            </w:pPr>
            <w:r>
              <w:rPr>
                <w:rFonts w:ascii="Arial" w:cs="Arial" w:eastAsia="Arial" w:hAnsi="Arial"/>
                <w:sz w:val="12"/>
                <w:szCs w:val="12"/>
                <w:b w:val="1"/>
                <w:bCs w:val="1"/>
                <w:color w:val="auto"/>
                <w:w w:val="88"/>
              </w:rPr>
              <w:t>(unaudited)</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5"/>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 included in cash equivalents</w:t>
            </w:r>
          </w:p>
        </w:tc>
        <w:tc>
          <w:tcPr>
            <w:tcW w:w="3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3"/>
              </w:rPr>
              <w:t>—</w:t>
            </w:r>
          </w:p>
        </w:tc>
        <w:tc>
          <w:tcPr>
            <w:tcW w:w="42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40" w:type="dxa"/>
            <w:vAlign w:val="bottom"/>
            <w:shd w:val="clear" w:color="auto" w:fill="CCEEFF"/>
          </w:tcPr>
          <w:p>
            <w:pPr>
              <w:spacing w:after="0"/>
              <w:rPr>
                <w:sz w:val="16"/>
                <w:szCs w:val="16"/>
                <w:color w:val="auto"/>
              </w:rPr>
            </w:pPr>
          </w:p>
        </w:tc>
      </w:tr>
      <w:tr>
        <w:trPr>
          <w:trHeight w:val="185"/>
        </w:trPr>
        <w:tc>
          <w:tcPr>
            <w:tcW w:w="6140" w:type="dxa"/>
            <w:vAlign w:val="bottom"/>
          </w:tcPr>
          <w:p>
            <w:pPr>
              <w:spacing w:after="0"/>
              <w:rPr>
                <w:sz w:val="20"/>
                <w:szCs w:val="20"/>
                <w:color w:val="auto"/>
              </w:rPr>
            </w:pPr>
            <w:r>
              <w:rPr>
                <w:rFonts w:ascii="Arial" w:cs="Arial" w:eastAsia="Arial" w:hAnsi="Arial"/>
                <w:sz w:val="15"/>
                <w:szCs w:val="15"/>
                <w:color w:val="auto"/>
              </w:rPr>
              <w:t>US Treasury obligations, included in investments</w:t>
            </w:r>
          </w:p>
        </w:tc>
        <w:tc>
          <w:tcPr>
            <w:tcW w:w="34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6,928</w:t>
            </w:r>
          </w:p>
        </w:tc>
        <w:tc>
          <w:tcPr>
            <w:tcW w:w="340" w:type="dxa"/>
            <w:vAlign w:val="bottom"/>
            <w:gridSpan w:val="2"/>
          </w:tcPr>
          <w:p>
            <w:pPr>
              <w:jc w:val="right"/>
              <w:ind w:right="71"/>
              <w:spacing w:after="0"/>
              <w:rPr>
                <w:sz w:val="20"/>
                <w:szCs w:val="20"/>
                <w:color w:val="auto"/>
              </w:rPr>
            </w:pPr>
            <w:r>
              <w:rPr>
                <w:rFonts w:ascii="Arial" w:cs="Arial" w:eastAsia="Arial" w:hAnsi="Arial"/>
                <w:sz w:val="15"/>
                <w:szCs w:val="15"/>
                <w:color w:val="auto"/>
              </w:rPr>
              <w:t>$</w:t>
            </w:r>
          </w:p>
        </w:tc>
        <w:tc>
          <w:tcPr>
            <w:tcW w:w="360" w:type="dxa"/>
            <w:vAlign w:val="bottom"/>
          </w:tcPr>
          <w:p>
            <w:pPr>
              <w:ind w:left="200"/>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jc w:val="right"/>
              <w:ind w:right="138"/>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6,928</w:t>
            </w:r>
          </w:p>
        </w:tc>
        <w:tc>
          <w:tcPr>
            <w:tcW w:w="140" w:type="dxa"/>
            <w:vAlign w:val="bottom"/>
          </w:tcPr>
          <w:p>
            <w:pPr>
              <w:spacing w:after="0"/>
              <w:rPr>
                <w:sz w:val="16"/>
                <w:szCs w:val="16"/>
                <w:color w:val="auto"/>
              </w:rPr>
            </w:pPr>
          </w:p>
        </w:tc>
      </w:tr>
      <w:tr>
        <w:trPr>
          <w:trHeight w:val="185"/>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w w:val="93"/>
              </w:rPr>
              <w:t>Warrants to purchase redeemable convertible preferred stock, included in other long term liabilities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3"/>
              </w:rPr>
              <w:t>—</w:t>
            </w:r>
          </w:p>
        </w:tc>
        <w:tc>
          <w:tcPr>
            <w:tcW w:w="42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40" w:type="dxa"/>
            <w:vAlign w:val="bottom"/>
            <w:shd w:val="clear" w:color="auto" w:fill="CCEEFF"/>
          </w:tcPr>
          <w:p>
            <w:pPr>
              <w:spacing w:after="0"/>
              <w:rPr>
                <w:sz w:val="16"/>
                <w:szCs w:val="16"/>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The maturity date for US Treasury obligations, included in cash equivalents at December 31, 2015 was 34 days and for those included within investments at December 31, 2015 and for the three months ended March 31, 2016 was 106 days and between 15 and 45 days, respectively. Fair value of US Treasury obligations approximates amortized value.</w:t>
      </w:r>
    </w:p>
    <w:p>
      <w:pPr>
        <w:spacing w:after="0" w:line="128"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color w:val="auto"/>
        </w:rPr>
        <w:t>In July 2015, the Company issued warrants for the purchase of 80,813 shares of common stock at an exercise price of $17.55 in connection with the issuance of convertible notes. These warrants expire three years from date of issuance. In August 2015, the Company issued warrants for the purchase of 569,798 shares of common stock at an exercise price of $0.04 in connection with the issuance of the Series E Preferred. Common stock warrants are classified as permanent equity which are initially recorded at issuance date fair value and are not subsequently re-measured. The warrants to purchase common stock issued at the same time as the Series E Preferred will automatically exercise on a cashless basis upon the filing of a registration statement on Form S-1. These warrants expire four years from date of issuance.</w:t>
      </w:r>
    </w:p>
    <w:p>
      <w:pPr>
        <w:spacing w:after="0" w:line="149" w:lineRule="exact"/>
        <w:rPr>
          <w:sz w:val="20"/>
          <w:szCs w:val="20"/>
          <w:color w:val="auto"/>
        </w:rPr>
      </w:pPr>
    </w:p>
    <w:p>
      <w:pPr>
        <w:jc w:val="both"/>
        <w:ind w:right="280"/>
        <w:spacing w:after="0" w:line="270" w:lineRule="auto"/>
        <w:rPr>
          <w:sz w:val="20"/>
          <w:szCs w:val="20"/>
          <w:color w:val="auto"/>
        </w:rPr>
      </w:pPr>
      <w:r>
        <w:rPr>
          <w:rFonts w:ascii="Arial" w:cs="Arial" w:eastAsia="Arial" w:hAnsi="Arial"/>
          <w:sz w:val="15"/>
          <w:szCs w:val="15"/>
          <w:color w:val="auto"/>
        </w:rPr>
        <w:t>In August 2013 and July 2014, in conjunction with the execution of a loan and security agreement (Note 8), the Company issued warrants to the lenders for the purchase of up to 66,668 shares of the Company's Series D redeemable convertible preferred stock ("Series D Preferred") at an exercise price of $4.50 per share. These warrants are classified as liabilities in the accompanying consolidated balance sheets. These warrants expire four years from the date of issuance.</w:t>
      </w:r>
    </w:p>
    <w:p>
      <w:pPr>
        <w:spacing w:after="0" w:line="15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December 2015, in conjunction with the execution of a loan and security agreement (Note 8), the Company issued warrants to the lenders for the purchase of up to 37,978 shares of the Company's Series E Preferred at an exercise price of $4.50 per share. These warrants are classified as liabilities in the accompanying consolidated balance sheets. These warrants expire four years from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247" w:name="page248"/>
    <w:bookmarkEnd w:id="24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a summary of the activities of the Company's Series D and Series E Preferred stock warrant liability which represents a recurring measurement that is classified within Level 3 of the fair value hierarchy wherein fair value is estimated using significant unobservable inputs: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Three months</w:t>
            </w:r>
          </w:p>
        </w:tc>
      </w:tr>
      <w:tr>
        <w:trPr>
          <w:trHeight w:val="13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9"/>
              <w:spacing w:after="0"/>
              <w:rPr>
                <w:sz w:val="20"/>
                <w:szCs w:val="20"/>
                <w:color w:val="auto"/>
              </w:rPr>
            </w:pPr>
            <w:r>
              <w:rPr>
                <w:rFonts w:ascii="Arial" w:cs="Arial" w:eastAsia="Arial" w:hAnsi="Arial"/>
                <w:sz w:val="12"/>
                <w:szCs w:val="12"/>
                <w:b w:val="1"/>
                <w:bCs w:val="1"/>
                <w:color w:val="auto"/>
                <w:w w:val="98"/>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ended</w:t>
            </w:r>
          </w:p>
        </w:tc>
      </w:tr>
      <w:tr>
        <w:trPr>
          <w:trHeight w:val="13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March 31,</w:t>
            </w:r>
          </w:p>
        </w:tc>
      </w:tr>
      <w:tr>
        <w:trPr>
          <w:trHeight w:val="167"/>
        </w:trPr>
        <w:tc>
          <w:tcPr>
            <w:tcW w:w="6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2"/>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4"/>
                <w:szCs w:val="14"/>
                <w:color w:val="auto"/>
              </w:rPr>
            </w:pPr>
          </w:p>
        </w:tc>
      </w:tr>
      <w:tr>
        <w:trPr>
          <w:trHeight w:val="124"/>
        </w:trPr>
        <w:tc>
          <w:tcPr>
            <w:tcW w:w="6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2"/>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40" w:type="dxa"/>
            <w:vAlign w:val="bottom"/>
            <w:shd w:val="clear" w:color="auto" w:fill="CCEEFF"/>
          </w:tcPr>
          <w:p>
            <w:pPr>
              <w:spacing w:after="0"/>
              <w:rPr>
                <w:sz w:val="16"/>
                <w:szCs w:val="16"/>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5"/>
                <w:szCs w:val="15"/>
                <w:color w:val="auto"/>
              </w:rPr>
              <w:t>Fair value of additional warrants issued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r>
      <w:tr>
        <w:trPr>
          <w:trHeight w:val="185"/>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40" w:type="dxa"/>
            <w:vAlign w:val="bottom"/>
            <w:shd w:val="clear" w:color="auto" w:fill="CCEEFF"/>
          </w:tcPr>
          <w:p>
            <w:pPr>
              <w:spacing w:after="0"/>
              <w:rPr>
                <w:sz w:val="16"/>
                <w:szCs w:val="16"/>
                <w:color w:val="auto"/>
              </w:rPr>
            </w:pPr>
          </w:p>
        </w:tc>
      </w:tr>
      <w:tr>
        <w:trPr>
          <w:trHeight w:val="177"/>
        </w:trPr>
        <w:tc>
          <w:tcPr>
            <w:tcW w:w="6080" w:type="dxa"/>
            <w:vAlign w:val="bottom"/>
          </w:tcPr>
          <w:p>
            <w:pPr>
              <w:spacing w:after="0"/>
              <w:rPr>
                <w:sz w:val="20"/>
                <w:szCs w:val="20"/>
                <w:color w:val="auto"/>
              </w:rPr>
            </w:pPr>
            <w:r>
              <w:rPr>
                <w:rFonts w:ascii="Arial" w:cs="Arial" w:eastAsia="Arial" w:hAnsi="Arial"/>
                <w:sz w:val="15"/>
                <w:szCs w:val="15"/>
                <w:color w:val="auto"/>
              </w:rPr>
              <w:t>Balance at end of period</w:t>
            </w: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310</w:t>
            </w:r>
          </w:p>
        </w:tc>
        <w:tc>
          <w:tcPr>
            <w:tcW w:w="140" w:type="dxa"/>
            <w:vAlign w:val="bottom"/>
          </w:tcPr>
          <w:p>
            <w:pPr>
              <w:spacing w:after="0"/>
              <w:rPr>
                <w:sz w:val="15"/>
                <w:szCs w:val="15"/>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4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D Preferred at an exercise price of $4.50 per share was estimated using Black-Scholes with the following assumptions as of December 31, 2014 and 2015 and at March 31, 2016:</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160" w:type="dxa"/>
            <w:vAlign w:val="bottom"/>
          </w:tcPr>
          <w:p>
            <w:pPr>
              <w:spacing w:after="0"/>
              <w:rPr>
                <w:sz w:val="12"/>
                <w:szCs w:val="12"/>
                <w:color w:val="auto"/>
              </w:rPr>
            </w:pPr>
          </w:p>
        </w:tc>
        <w:tc>
          <w:tcPr>
            <w:tcW w:w="304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2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March 31,</w:t>
            </w:r>
          </w:p>
        </w:tc>
      </w:tr>
      <w:tr>
        <w:trPr>
          <w:trHeight w:val="167"/>
        </w:trPr>
        <w:tc>
          <w:tcPr>
            <w:tcW w:w="4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4"/>
                <w:szCs w:val="14"/>
                <w:color w:val="auto"/>
              </w:rPr>
            </w:pPr>
          </w:p>
        </w:tc>
      </w:tr>
      <w:tr>
        <w:trPr>
          <w:trHeight w:val="124"/>
        </w:trPr>
        <w:tc>
          <w:tcPr>
            <w:tcW w:w="41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r>
      <w:tr>
        <w:trPr>
          <w:trHeight w:val="185"/>
        </w:trPr>
        <w:tc>
          <w:tcPr>
            <w:tcW w:w="416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22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9.20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8.18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w:t>
            </w:r>
          </w:p>
        </w:tc>
        <w:tc>
          <w:tcPr>
            <w:tcW w:w="140" w:type="dxa"/>
            <w:vAlign w:val="bottom"/>
            <w:shd w:val="clear" w:color="auto" w:fill="CCEEFF"/>
          </w:tcPr>
          <w:p>
            <w:pPr>
              <w:spacing w:after="0"/>
              <w:rPr>
                <w:sz w:val="16"/>
                <w:szCs w:val="16"/>
                <w:color w:val="auto"/>
              </w:rPr>
            </w:pPr>
          </w:p>
        </w:tc>
      </w:tr>
      <w:tr>
        <w:trPr>
          <w:trHeight w:val="185"/>
        </w:trPr>
        <w:tc>
          <w:tcPr>
            <w:tcW w:w="4160" w:type="dxa"/>
            <w:vAlign w:val="bottom"/>
          </w:tcPr>
          <w:p>
            <w:pPr>
              <w:spacing w:after="0"/>
              <w:rPr>
                <w:sz w:val="20"/>
                <w:szCs w:val="20"/>
                <w:color w:val="auto"/>
              </w:rPr>
            </w:pPr>
            <w:r>
              <w:rPr>
                <w:rFonts w:ascii="Arial" w:cs="Arial" w:eastAsia="Arial" w:hAnsi="Arial"/>
                <w:sz w:val="15"/>
                <w:szCs w:val="15"/>
                <w:color w:val="auto"/>
              </w:rPr>
              <w:t>Expected volatility</w:t>
            </w:r>
          </w:p>
        </w:tc>
        <w:tc>
          <w:tcPr>
            <w:tcW w:w="2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92.53%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85.83%</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85.26%</w:t>
            </w:r>
          </w:p>
        </w:tc>
      </w:tr>
      <w:tr>
        <w:trPr>
          <w:trHeight w:val="18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22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4.18</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66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E Preferred at an exercise price of $4.50 per share was estimated using Black-Scholes with the following assumptions as of December 31, 2015 and at March 31, 2016:</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680" w:type="dxa"/>
            <w:vAlign w:val="bottom"/>
          </w:tcPr>
          <w:p>
            <w:pPr>
              <w:spacing w:after="0"/>
              <w:rPr>
                <w:sz w:val="12"/>
                <w:szCs w:val="12"/>
                <w:color w:val="auto"/>
              </w:rPr>
            </w:pPr>
          </w:p>
        </w:tc>
        <w:tc>
          <w:tcPr>
            <w:tcW w:w="354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March 31,</w:t>
            </w:r>
          </w:p>
        </w:tc>
      </w:tr>
      <w:tr>
        <w:trPr>
          <w:trHeight w:val="167"/>
        </w:trPr>
        <w:tc>
          <w:tcPr>
            <w:tcW w:w="46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4"/>
                <w:szCs w:val="14"/>
                <w:color w:val="auto"/>
              </w:rPr>
            </w:pPr>
          </w:p>
        </w:tc>
      </w:tr>
      <w:tr>
        <w:trPr>
          <w:trHeight w:val="124"/>
        </w:trPr>
        <w:tc>
          <w:tcPr>
            <w:tcW w:w="46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27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185"/>
        </w:trPr>
        <w:tc>
          <w:tcPr>
            <w:tcW w:w="46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72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7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140" w:type="dxa"/>
            <w:vAlign w:val="bottom"/>
            <w:shd w:val="clear" w:color="auto" w:fill="CCEEFF"/>
          </w:tcPr>
          <w:p>
            <w:pPr>
              <w:spacing w:after="0"/>
              <w:rPr>
                <w:sz w:val="16"/>
                <w:szCs w:val="16"/>
                <w:color w:val="auto"/>
              </w:rPr>
            </w:pPr>
          </w:p>
        </w:tc>
      </w:tr>
      <w:tr>
        <w:trPr>
          <w:trHeight w:val="185"/>
        </w:trPr>
        <w:tc>
          <w:tcPr>
            <w:tcW w:w="4680" w:type="dxa"/>
            <w:vAlign w:val="bottom"/>
          </w:tcPr>
          <w:p>
            <w:pPr>
              <w:spacing w:after="0"/>
              <w:rPr>
                <w:sz w:val="20"/>
                <w:szCs w:val="20"/>
                <w:color w:val="auto"/>
              </w:rPr>
            </w:pPr>
            <w:r>
              <w:rPr>
                <w:rFonts w:ascii="Arial" w:cs="Arial" w:eastAsia="Arial" w:hAnsi="Arial"/>
                <w:sz w:val="15"/>
                <w:szCs w:val="15"/>
                <w:color w:val="auto"/>
              </w:rPr>
              <w:t>Expected volatility</w:t>
            </w:r>
          </w:p>
        </w:tc>
        <w:tc>
          <w:tcPr>
            <w:tcW w:w="27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82.22%</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82.66%</w:t>
            </w: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7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620"/>
        <w:spacing w:after="0" w:line="297" w:lineRule="auto"/>
        <w:rPr>
          <w:sz w:val="20"/>
          <w:szCs w:val="20"/>
          <w:color w:val="auto"/>
        </w:rPr>
      </w:pPr>
      <w:r>
        <w:rPr>
          <w:rFonts w:ascii="Arial" w:cs="Arial" w:eastAsia="Arial" w:hAnsi="Arial"/>
          <w:sz w:val="14"/>
          <w:szCs w:val="14"/>
          <w:color w:val="auto"/>
        </w:rPr>
        <w:t>The risk-free interest rate used is the rate for a U.S. Treasury zero coupon issue with a term consistent with the remaining contractual term of the associated award on the date of measurement. The Company has not paid, and does not expect to pay, any cash dividends in the foreseeable future. The Company based the expected term assumption on the actual remaining contractual term of the respective warrants as of the date of measurement. Expected volatilities are based on 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8" w:name="page249"/>
    <w:bookmarkEnd w:id="24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volatilities from guideline companies, since there is no active market for the Company's common stock. The fair value on the date of measurement of the Series D Preferred and the Series E Preferred, the underlying instruments, was estimated by management with the assistance of a third party valuation specialist.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Property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Property and equipment consists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w:t>
            </w:r>
          </w:p>
        </w:tc>
      </w:tr>
      <w:tr>
        <w:trPr>
          <w:trHeight w:val="154"/>
        </w:trPr>
        <w:tc>
          <w:tcPr>
            <w:tcW w:w="44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4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3,314</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4,028</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4,337</w:t>
            </w:r>
          </w:p>
        </w:tc>
        <w:tc>
          <w:tcPr>
            <w:tcW w:w="140" w:type="dxa"/>
            <w:vAlign w:val="bottom"/>
            <w:shd w:val="clear" w:color="auto" w:fill="CCEEFF"/>
          </w:tcPr>
          <w:p>
            <w:pPr>
              <w:spacing w:after="0"/>
              <w:rPr>
                <w:sz w:val="16"/>
                <w:szCs w:val="16"/>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Computer equipment and software</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421</w:t>
            </w:r>
          </w:p>
        </w:tc>
        <w:tc>
          <w:tcPr>
            <w:tcW w:w="140" w:type="dxa"/>
            <w:vAlign w:val="bottom"/>
          </w:tcPr>
          <w:p>
            <w:pPr>
              <w:spacing w:after="0"/>
              <w:rPr>
                <w:sz w:val="16"/>
                <w:szCs w:val="16"/>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40" w:type="dxa"/>
            <w:vAlign w:val="bottom"/>
            <w:shd w:val="clear" w:color="auto" w:fill="CCEEFF"/>
          </w:tcPr>
          <w:p>
            <w:pPr>
              <w:spacing w:after="0"/>
              <w:rPr>
                <w:sz w:val="16"/>
                <w:szCs w:val="16"/>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222</w:t>
            </w:r>
          </w:p>
        </w:tc>
        <w:tc>
          <w:tcPr>
            <w:tcW w:w="140" w:type="dxa"/>
            <w:vAlign w:val="bottom"/>
          </w:tcPr>
          <w:p>
            <w:pPr>
              <w:spacing w:after="0"/>
              <w:rPr>
                <w:sz w:val="16"/>
                <w:szCs w:val="16"/>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Office equipment</w:t>
            </w: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CEEFF"/>
          </w:tcPr>
          <w:p>
            <w:pPr>
              <w:spacing w:after="0"/>
              <w:rPr>
                <w:sz w:val="16"/>
                <w:szCs w:val="16"/>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P,P&amp;E—Construction in process</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16"/>
                <w:szCs w:val="16"/>
                <w:color w:val="auto"/>
              </w:rPr>
            </w:pPr>
          </w:p>
        </w:tc>
      </w:tr>
      <w:tr>
        <w:trPr>
          <w:trHeight w:val="177"/>
        </w:trPr>
        <w:tc>
          <w:tcPr>
            <w:tcW w:w="4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property and equipment</w:t>
            </w:r>
          </w:p>
        </w:tc>
        <w:tc>
          <w:tcPr>
            <w:tcW w:w="23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5,169</w:t>
            </w:r>
          </w:p>
        </w:tc>
        <w:tc>
          <w:tcPr>
            <w:tcW w:w="140" w:type="dxa"/>
            <w:vAlign w:val="bottom"/>
            <w:shd w:val="clear" w:color="auto" w:fill="CCEEFF"/>
          </w:tcPr>
          <w:p>
            <w:pPr>
              <w:spacing w:after="0"/>
              <w:rPr>
                <w:sz w:val="15"/>
                <w:szCs w:val="15"/>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(2,778)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(2,927)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(3,129)</w:t>
            </w:r>
          </w:p>
        </w:tc>
      </w:tr>
      <w:tr>
        <w:trPr>
          <w:trHeight w:val="20"/>
        </w:trPr>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4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Property and equipment, net</w:t>
            </w:r>
          </w:p>
        </w:tc>
        <w:tc>
          <w:tcPr>
            <w:tcW w:w="2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2,040</w:t>
            </w:r>
          </w:p>
        </w:tc>
        <w:tc>
          <w:tcPr>
            <w:tcW w:w="140" w:type="dxa"/>
            <w:vAlign w:val="bottom"/>
            <w:shd w:val="clear" w:color="auto" w:fill="CCEEFF"/>
          </w:tcPr>
          <w:p>
            <w:pPr>
              <w:spacing w:after="0"/>
              <w:rPr>
                <w:sz w:val="15"/>
                <w:szCs w:val="15"/>
                <w:color w:val="auto"/>
              </w:rPr>
            </w:pPr>
          </w:p>
        </w:tc>
      </w:tr>
      <w:tr>
        <w:trPr>
          <w:trHeight w:val="20"/>
        </w:trPr>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Depreciation expense for the years ended December 31, 2014 and 2015 was $0.9 million and $1.0 million, respectively, and $0.2 million for the three months ended March 31, 2015 and 2016.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Accrued expenses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consist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right"/>
              <w:ind w:right="226"/>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w:t>
            </w:r>
          </w:p>
        </w:tc>
      </w:tr>
      <w:tr>
        <w:trPr>
          <w:trHeight w:val="154"/>
        </w:trPr>
        <w:tc>
          <w:tcPr>
            <w:tcW w:w="6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6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Payroll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40" w:type="dxa"/>
            <w:vAlign w:val="bottom"/>
            <w:shd w:val="clear" w:color="auto" w:fill="CCEEFF"/>
          </w:tcPr>
          <w:p>
            <w:pPr>
              <w:spacing w:after="0"/>
              <w:rPr>
                <w:sz w:val="16"/>
                <w:szCs w:val="16"/>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5"/>
                <w:szCs w:val="15"/>
                <w:color w:val="auto"/>
              </w:rPr>
              <w:t>Legal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119</w:t>
            </w:r>
          </w:p>
        </w:tc>
        <w:tc>
          <w:tcPr>
            <w:tcW w:w="140" w:type="dxa"/>
            <w:vAlign w:val="bottom"/>
          </w:tcPr>
          <w:p>
            <w:pPr>
              <w:spacing w:after="0"/>
              <w:rPr>
                <w:sz w:val="16"/>
                <w:szCs w:val="16"/>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Bonus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40" w:type="dxa"/>
            <w:vAlign w:val="bottom"/>
            <w:shd w:val="clear" w:color="auto" w:fill="CCEEFF"/>
          </w:tcPr>
          <w:p>
            <w:pPr>
              <w:spacing w:after="0"/>
              <w:rPr>
                <w:sz w:val="16"/>
                <w:szCs w:val="16"/>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5"/>
                <w:szCs w:val="15"/>
                <w:color w:val="auto"/>
              </w:rPr>
              <w:t>Current portion of deferred rent and lease incentive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416</w:t>
            </w:r>
          </w:p>
        </w:tc>
        <w:tc>
          <w:tcPr>
            <w:tcW w:w="140" w:type="dxa"/>
            <w:vAlign w:val="bottom"/>
          </w:tcPr>
          <w:p>
            <w:pPr>
              <w:spacing w:after="0"/>
              <w:rPr>
                <w:sz w:val="16"/>
                <w:szCs w:val="16"/>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Accrued patent fees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140" w:type="dxa"/>
            <w:vAlign w:val="bottom"/>
            <w:shd w:val="clear" w:color="auto" w:fill="CCEEFF"/>
          </w:tcPr>
          <w:p>
            <w:pPr>
              <w:spacing w:after="0"/>
              <w:rPr>
                <w:sz w:val="16"/>
                <w:szCs w:val="16"/>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5"/>
                <w:szCs w:val="15"/>
                <w:color w:val="auto"/>
              </w:rPr>
              <w:t>Accrued R&amp;D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1,649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1,090</w:t>
            </w:r>
          </w:p>
        </w:tc>
        <w:tc>
          <w:tcPr>
            <w:tcW w:w="140" w:type="dxa"/>
            <w:vAlign w:val="bottom"/>
          </w:tcPr>
          <w:p>
            <w:pPr>
              <w:spacing w:after="0"/>
              <w:rPr>
                <w:sz w:val="16"/>
                <w:szCs w:val="16"/>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1,027</w:t>
            </w:r>
          </w:p>
        </w:tc>
        <w:tc>
          <w:tcPr>
            <w:tcW w:w="140" w:type="dxa"/>
            <w:vAlign w:val="bottom"/>
            <w:shd w:val="clear" w:color="auto" w:fill="CCEEFF"/>
          </w:tcPr>
          <w:p>
            <w:pPr>
              <w:spacing w:after="0"/>
              <w:rPr>
                <w:sz w:val="16"/>
                <w:szCs w:val="16"/>
                <w:color w:val="auto"/>
              </w:rPr>
            </w:pP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Accrued liabilities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3,378</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3,185</w:t>
            </w:r>
          </w:p>
        </w:tc>
        <w:tc>
          <w:tcPr>
            <w:tcW w:w="14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249" w:name="page250"/>
    <w:bookmarkEnd w:id="24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Company has a non-cancellable operating lease for its laboratory and office space that expires in March 2017. The lease agreement includes a rent escalation clause, and accordingly, rent expense is being recognized on a straight-line basis over the lease term. In addition,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148"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151"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In April 2015, the Company amended the lease agreement to exchange 13,711 square feet of space for another 15,174 square feet of space within the same building. Rental payments on the prior space ceased as of March 31, 2015 and rental payments on the new space began on October 1, 2015. The combined lease term remains unchanged and will expire in March 2017. Rent expense is recorded over the lease term on a straight-line basis.</w:t>
      </w:r>
    </w:p>
    <w:p>
      <w:pPr>
        <w:spacing w:after="0" w:line="159"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Deferred rent and lease incentive liability totaled $0.5 million and $0.5 million as of December 31, 2014 and 2015, respectively, and $0.4 million at March 31, 2016. Included in that amount, the current portion of deferred rent and lease incentive liability is classified as accrued expenses and was $0.2 million and $0.4 million at December 31, 2014 and 2015, respectively, and $0.4 million at March 31, 2016.</w:t>
      </w:r>
    </w:p>
    <w:p>
      <w:pPr>
        <w:spacing w:after="0" w:line="159"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The Company subleased a portion of its facility to a tenant with a term that expires in March 2017. In March 2015, the tenant terminated the sublease and vacated the space. The sublease amount from the tenant was recorded as a reduction of lease expense and totaled $0.7 million and $0.2 million for the years ended December 31, 2014 and 2015, respectively, and $0.2 million for the three months ended March 31, 2016.</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 month-to-month facility agreement for its Moscow, Russia facility. Rent expense is recognized as incurred.</w:t>
      </w:r>
    </w:p>
    <w:p>
      <w:pPr>
        <w:spacing w:after="0" w:line="198"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Rent expense, net of sublease payments, for the years ended December 31, 2014 and 2015 was $0.6 million and $1.1 million, respectively, and for the three months ended March 31, 2015 and 2016 was $0.2 million and $0.4 million, respectively. As of December 31, 2015, future minimum lease payments for non-cancellable leases were $1.2 million in 2016, and $0.3 million in 2017.</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98"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0" w:name="page251"/>
    <w:bookmarkEnd w:id="25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 The Company does not expect significant claims related to these indemnification obligations and, accordingly, has concluded that the fair value of these obligations is negligible, and no related reserves have been established.</w:t>
      </w:r>
    </w:p>
    <w:p>
      <w:pPr>
        <w:spacing w:after="0" w:line="154"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Company is a party in various other contractual disputes and potential claims arising in the ordinary course of business. The Company does not believe that the resolution of these matters will have a material adverse effect on its financial position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 loans</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 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and, on its own, would not require extinguishment accounting. As a result of the refinancing, the stated interest rate was also adjusted to reflect the current market borrowing rate. As of December 31, 2015 and March 31, 2016, the outstanding principal balance under the Term Loans was $12.0 million.</w:t>
      </w:r>
    </w:p>
    <w:p>
      <w:pPr>
        <w:spacing w:after="0" w:line="169"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According to ASC 470-50-40, the refinancing and modification of the prior debt in a non-troubled debt situation must be treated as either an extinguishment or a modification based on whether the present value of the cash flows under the terms of the new debt instrument is different by greater than, or less than, 10% from the present value of the remaining cash flows under the terms of the original instrument. For cash flow changes greater than 10%, the debt modification is accounted for as a debt extinguishment, whereby the original debt is derecognized and the new debt is initially recorded at fair value, with the difference recognized as an extinguishment gain or loss. For cash flow changes of less than 10%, the new loan is considered a modification and no gain or loss is recognized. In considering all cash flow changes, the Company concluded that the refinancing of the debt as of December 31, 2015 is a modification of the debt and not a debt extinguishment, and as a result the debt is initially recorded at its amortizable value net of discounts and deferred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51" w:name="page252"/>
    <w:bookmarkEnd w:id="25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Term Loans are collateralized by the assets of the Company and bear interest at 8.1% per annum. The monthly payments for the Term Loans are initially interest only through January 2017. Principal repayments for the Term Loans are due over 30 monthly installments beginning on February 1, 2017.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162"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w:t>
      </w:r>
    </w:p>
    <w:p>
      <w:pPr>
        <w:spacing w:after="0" w:line="167"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In connection with the Term Loans, the Company granted the lenders warrants in August 2013 to purchase up to 26,668 shares of the Company's Series D Preferred and additional warrants in July 2014 to purchase up to 40,000 shares of the Company's Series D Preferred. Additionally, with the refinancing of the Term Loans at December 31, 2015, the Company granted the lenders 37,978 shares of the Company's Series E Preferred. The initial grant date fair value of the warrants of $0.1 million, $0.1 million and $0.1 million respectively, was recorded as a loan discount.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Term Loan discounts are amortized as additional interest expense over the term of the loans. Interest expense for the years ended December 31, 2014 and 2015 totaled $0.6 million and $0.6 million, respectively, and $0.2 million and $0.3 million for the three months ended March 31, 2015 and 2016,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gridSpan w:val="2"/>
          </w:tcPr>
          <w:p>
            <w:pPr>
              <w:spacing w:after="0"/>
              <w:rPr>
                <w:sz w:val="20"/>
                <w:szCs w:val="20"/>
                <w:color w:val="auto"/>
              </w:rPr>
            </w:pPr>
            <w:r>
              <w:rPr>
                <w:rFonts w:ascii="Arial" w:cs="Arial" w:eastAsia="Arial" w:hAnsi="Arial"/>
                <w:sz w:val="15"/>
                <w:szCs w:val="15"/>
                <w:color w:val="auto"/>
              </w:rPr>
              <w:t>Future minimum payments on the Term Loans as of December 31, 2015 are as follows (in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vMerge w:val="restart"/>
          </w:tcPr>
          <w:p>
            <w:pPr>
              <w:spacing w:after="0"/>
              <w:rPr>
                <w:sz w:val="16"/>
                <w:szCs w:val="16"/>
                <w:color w:val="auto"/>
              </w:rPr>
            </w:pPr>
          </w:p>
        </w:tc>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vMerge w:val="continue"/>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2016</w:t>
            </w: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Total debt payments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14,988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Amount representing interest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(2,268)</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Less: Debt discount and deferred charges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 of issuance costs</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Loans payable, net of current portion</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2" w:name="page253"/>
    <w:bookmarkEnd w:id="25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Convertible notes</w:t>
      </w:r>
    </w:p>
    <w:p>
      <w:pPr>
        <w:spacing w:after="0" w:line="198" w:lineRule="exact"/>
        <w:rPr>
          <w:sz w:val="20"/>
          <w:szCs w:val="20"/>
          <w:color w:val="auto"/>
        </w:rPr>
      </w:pPr>
    </w:p>
    <w:p>
      <w:pPr>
        <w:ind w:right="200"/>
        <w:spacing w:after="0" w:line="306" w:lineRule="auto"/>
        <w:rPr>
          <w:sz w:val="20"/>
          <w:szCs w:val="20"/>
          <w:color w:val="auto"/>
        </w:rPr>
      </w:pPr>
      <w:r>
        <w:rPr>
          <w:rFonts w:ascii="Arial" w:cs="Arial" w:eastAsia="Arial" w:hAnsi="Arial"/>
          <w:sz w:val="13"/>
          <w:szCs w:val="13"/>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$17.55. On July 24, 2015, the Company issued warrants to the convertible note holders to purchase up to 80,813 shares of the Company's common stock at an exercise price of $17.55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103,817 shares of the Company's common stock (Note 9). The difference between the carrying value and accrued interest of the convertible notes that were converted and the combined fair value of the Series E Preferred shares and common stock warrants issued were negligible. Interest expense incurred on the convertible notes totaled $0.3 million for the year ending December 31, 2015 and zero during the three months ended March 31, 2016.</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Preferred stock</w:t>
      </w:r>
    </w:p>
    <w:p>
      <w:pPr>
        <w:spacing w:after="0" w:line="195" w:lineRule="exact"/>
        <w:rPr>
          <w:sz w:val="20"/>
          <w:szCs w:val="20"/>
          <w:color w:val="auto"/>
        </w:rPr>
      </w:pPr>
    </w:p>
    <w:p>
      <w:pPr>
        <w:ind w:right="240"/>
        <w:spacing w:after="0" w:line="362" w:lineRule="auto"/>
        <w:rPr>
          <w:sz w:val="20"/>
          <w:szCs w:val="20"/>
          <w:color w:val="auto"/>
        </w:rPr>
      </w:pPr>
      <w:r>
        <w:rPr>
          <w:rFonts w:ascii="Arial" w:cs="Arial" w:eastAsia="Arial" w:hAnsi="Arial"/>
          <w:sz w:val="13"/>
          <w:szCs w:val="13"/>
          <w:color w:val="auto"/>
        </w:rPr>
        <w:t>The Company issued Preferred Stock with a $0.0001 par value to investors for cash or as settlement for outstanding debt under convertible notes. As of December 31, 2014 and 2015, the Company had 28,804,969 and 37,835,623 authorized shares of Preferred Stock, respectively, and at March 31, 2016 had 37,835,623 authorized shares of Preferred Stock.</w:t>
      </w:r>
    </w:p>
    <w:p>
      <w:pPr>
        <w:spacing w:after="0" w:line="105"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As of December 31, 2015 and at March 31, 2016, the Company had issued and outstanding Preferred Stock of (i) 2,589,868 shares of Series A redeemable convertible preferred stock ("Series A Preferred"), (ii) 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16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April 2014 and August 2014, the Company issued an additional 3,211,105 shares of Series D Preferred at $4.50 per share for total net proceeds of $14,349,239. In July 2014, the Company issued an additional 1,333,332 shares of Series SRN Preferred at $4.50 per share for total net proceeds of $5.8 million.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$16.77 per share, the elimination of a time-based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$5.0 million at the date of the amendment was derecognized,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3" w:name="page254"/>
    <w:bookmarkEnd w:id="25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and the amended Series SRN Preferred shares were recorded at their fair value of $4.50 per share. The difference of $1.5 million was recorded as additional paid in capital.</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 August 2015 and September 2015, the Company issued an aggregate of 7,269,338 shares of Series E Preferred at $4.50 per share for total gross proceeds of $32.7 million with issuance costs totaling $0.2 million. In addition, the Company issued 1,619,550 shares of Series E Preferred in connection with the conversion of convertible notes (Note 8).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paid-in capital.</w:t>
      </w:r>
    </w:p>
    <w:p>
      <w:pPr>
        <w:spacing w:after="0" w:line="167"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Series A Preferred, Series B Preferred, Series C Preferred, and Series D Preferred are hereinafter collectively referred to as "Tier II Preferred." Tier II Preferred and Series E Preferred are hereinafter collectively referred to as "Senior Preferred."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rights, preferences, and privileges of the Preferred Stock are summarized below:</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Series SRN Preferred are nonvoting. Except for matters that require a vote by a separate class or by separate series, Senior Preferred stockholders have full voting rights and powers similar to the rights and powers of the holders of common stock on an as-converted basis (disregarding the special conversion ratio applicable to Series E Preferred). Certain significant actions, including the amendment of the certificate of incorporation and any changes or transactions that may affect the preferences and priority of Senior Preferred such as dividends, dilution, sale and disposal of assets, mergers and acquisitions, voluntary dissolution or liquidation, merger, consolidation, recapitalization, and number of directors, must be approved by a majority vote of Senior Preferred stockholders voting as a single class on an as-converted basis.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8" w:lineRule="exact"/>
        <w:rPr>
          <w:sz w:val="20"/>
          <w:szCs w:val="20"/>
          <w:color w:val="auto"/>
        </w:rPr>
      </w:pPr>
    </w:p>
    <w:p>
      <w:pPr>
        <w:ind w:right="160"/>
        <w:spacing w:after="0" w:line="284" w:lineRule="auto"/>
        <w:rPr>
          <w:sz w:val="20"/>
          <w:szCs w:val="20"/>
          <w:color w:val="auto"/>
        </w:rPr>
      </w:pPr>
      <w:r>
        <w:rPr>
          <w:rFonts w:ascii="Arial" w:cs="Arial" w:eastAsia="Arial" w:hAnsi="Arial"/>
          <w:sz w:val="14"/>
          <w:szCs w:val="14"/>
          <w:color w:val="auto"/>
        </w:rPr>
        <w:t>Holders of all series of Preferred Stock are entitled to receive dividends when and if declared by the Company's board of directors. In the event of liquidation, dissolution, or winding up of business, Senior Preferred stockholders are entitled to receive unpaid accrued dividends, whether or not declared by the board of directors. Senior Preferred dividends are to be calculated daily and accrued on a cumulative basis (adjusted for stock split, stock dividends, or other recapitalizations) at the rate of: $0.0579 per share for Series A Preferred, $0.1218 per share for Series B Preferred, $0.18 per share for Series C Preferred, $0.27 per share for Series D Preferred, and $0.27 per share for Series E Preferred. Dividends accumulated on Preferred Stock totaled $3.8 million, $4.9 million, $1.0 million and $1.6 million during the years ended December 31, 2014 and 2015, and the three months ended March 31, 2015 and 2016, respectively. Series SRN Preferred stockholders are not entitled to receive accrued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4" w:name="page255"/>
    <w:bookmarkEnd w:id="25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200"/>
        <w:spacing w:after="0" w:line="319" w:lineRule="auto"/>
        <w:rPr>
          <w:sz w:val="20"/>
          <w:szCs w:val="20"/>
          <w:color w:val="auto"/>
        </w:rPr>
      </w:pPr>
      <w:r>
        <w:rPr>
          <w:rFonts w:ascii="Arial" w:cs="Arial" w:eastAsia="Arial" w:hAnsi="Arial"/>
          <w:sz w:val="14"/>
          <w:szCs w:val="14"/>
          <w:color w:val="auto"/>
        </w:rPr>
        <w:t>After accrued dividends due to Senior Preferred stockholders are satisfied in full, holders of all series of Preferred Stock are entitled to participate in other dividends payable to holders of common stock on an as-converted basis, when and if declared by the board of directors. Holders of Preferred Stock are not entitled to participate in stock dividends.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Optional conversion</w:t>
      </w:r>
    </w:p>
    <w:p>
      <w:pPr>
        <w:spacing w:after="0" w:line="198"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Series A Preferred, Series B Preferred, and Series C Preferred are convertible into common stock at the stockholders' option at any time at the original issuance price of $0.9653 per share for Series A Preferred, $2.0303 per share for Series B Preferred, and $3.00 per share for Series C Preferred, respectively, divided by the then effective conversion prices which are currently the original issuance price multiplied by 3.9 (3.9:1 conversion ratio), plus any declared but unpaid dividends (excluding accrued dividends).</w:t>
      </w:r>
    </w:p>
    <w:p>
      <w:pPr>
        <w:spacing w:after="0" w:line="144"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Series D Preferred are convertible into common stock at the stockholders' option at any time at the original issuance price of $4.50 per share divided by the then effective conversion price which is currently $4.30 per share multiplied by 3.9 (1:0.2683 conversion ratio), plus any declared but unpaid dividends (excluding accrued dividends).</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Series SRN Preferred are convertible into common stock at the stockholders' option only upon a deemed liquidation event or an initial public offering ("IPO") (whether or not a firm commitment underwritten IPO for an aggregate offering price of at least $30.0 million, referred to as a qualified IPO), at the original issuance price of $4.50 per share divided by $16.77 per share (1:0.2683 conversion ratio), plus any declared but unpaid dividends. Upon the occurrence of a special conversion event (as defined in the certificate of incorporation), Series SRN Preferred are convertible at a special conversion price of $14.04 per share (1:0.3205 conversion ratio), plus any declared but unpaid dividends.</w:t>
      </w:r>
    </w:p>
    <w:p>
      <w:pPr>
        <w:spacing w:after="0" w:line="148"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Upon liquidation, dissolution, or winding up of business, including deemed liquidation events, Series E Preferred stockholders can elect to (1) convert their shares of Series E Preferred into common stock at the original Series E Preferred issuance price of $4.50 per share divided by the then effective conversion price (currently the original issuance price of $4.50 multiplied by 3.9) multiplied by 1.15 (1:0.2949 conversion ratio), or (2) receive a liquidation preference at 1.15 times the per-share original issuance price, or $5.175, plus any declared but unpaid dividends (excluding accrued dividends). When not associated with a liquidation, dissolution, winding up of business, or deemed liquidation event, Series E Preferred are convertible into common stock at the stockholders' option at any time at the original issuance price of $4.50 per share divided by the then effective conversion price which is currently the original issuance price of $4.50 per share multiplied by 3.9 (1:0.2564 conversion ratio), plus any declared but unpaid dividends (excluding accrued dividends).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Mandatory conversion</w:t>
      </w:r>
    </w:p>
    <w:p>
      <w:pPr>
        <w:spacing w:after="0" w:line="198"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All series of Preferred Stock are automatically converted at the then effective conversion price upon the completion of a qualified IPO. Currently, the effective conversion price is $3.7647 per share for Series A Preferred, $7.9182 per share for Series B Preferred, $11.70 per share for Series C Preferred, $16.77 per share for Series D Preferred, and $16.77 per share of Series SRN Preferred. The Series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55" w:name="page256"/>
    <w:bookmarkEnd w:id="2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Preferred effective conversion price upon a qualified IPO is determined based on the number of common stock shares issuable calculated as the highest of: (a) $5.175 (Series E Preferred liquidation price) divided by the IPO price per share paid by the underwriters; (b) each shares of Series E Preferred converting into 0.2949 shares of common stock, or (c) $4.50 divided by the then effective Series E Preferred conversion price (currently $17.55 per share).</w:t>
      </w:r>
    </w:p>
    <w:p>
      <w:pPr>
        <w:spacing w:after="0" w:line="159"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Tier II Preferred are also automatically convertible as a single class upon, the vote of at least two-thirds of the voting power of all Tier II Preferred at the then effective conversion price (3.9:1 conversion ratio, except Series D Preferred which is 1:0.2683). Series E Preferred are automatically convertible as a single class upon a majority vote of Series E Preferred stockholders at the then effective conversion price (currently $17.55 per share) times 1.15 (1:0.2949 conversion ratio). Series SRN Preferred are automatically convertible as a single class upon (a) the sale of a majority of the Company's outstanding capital stock, (b) an IPO (whether or not a qualified IPO), or (c) an agreement among the majority of Series SRN Preferred stockholders, at the then effective conversion price (currently $16.77 per share).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Liquidation preference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Upon liquidation, dissolution, or winding up of business, including deemed liquidation events, Series E Preferred stockholders can elect to (1) convert into common stock at the original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Series E Preferred issuance price of $4.50 per share divided by the then effective conversion price (currently the original issuance price of $4.50 multiplied by 3.9) multiplied by 1.15</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(1:0.2949 conversion ratio), or (2) receive liquidation preference at 1.15 times the per-share original issuance price, or $5.175, plus any unpaid accrued dividends (whether or not declared),</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and any additional declared but unpaid dividends. Series E Preferred shares have preferences in priority to Tier II Preferred, Series SRN Preferred, and common stock. If assets available for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distribution are insufficient to satisfy the Series E Preferred liquidation payment amounts in full, assets available for distribution will be allocated among Series E Preferred shares ratably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and in proportion to the full preferential amount of shareholding.</w:t>
      </w:r>
    </w:p>
    <w:p>
      <w:pPr>
        <w:spacing w:after="0" w:line="193"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After Series E Preferred stockholders are satisfied, any remaining assets available will be distributed to the Tier II Preferred stockholders at an amount equal to their original issuance price plus any unpaid accrued dividends (whether or not declared), and any additional declared but unpaid dividends. If assets available for distribution are insufficient to satisfy the Tier II Preferred liquidation payment amounts in full, assets available for distribution will be allocated among shares of Tier II Preferred shares ratably and in proportion to the full preferential amount of shareholding.</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After the Senior Preferred stockholders are satisfied, any remaining assets available will be distributed to the Series SRN Preferred stockholders at an amount equal to their original issuance price plus any declared but unpaid dividends. Series SRN Preferred are not entitled to accrued dividends. If assets available for distribution are insufficient to satisfy the Series SRN Preferred liquidation payment amounts in full, assets available for distribution will be allocated among Series SRN Preferred shares ratably and in proportion to the full preferential amount of shareholding.</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 the event any series of Preferred Stock would have received a greater amount of distribution than the amounts summarized above if those series of Preferred Stock had been converted into common stock, then all shares of such series of Preferred Stock would receive the higher distribution amount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6" w:name="page257"/>
    <w:bookmarkEnd w:id="2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if they had been converted into common stock. This option does not apply to any holders of Preferred Stock who converted their shareholdings prior to or independent of the liquidation or deemed liquidation event.</w:t>
      </w:r>
    </w:p>
    <w:p>
      <w:pPr>
        <w:spacing w:after="0" w:line="151"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After all series Preferred Stock are satisfied in full, any excess assets available for distribution will be allocated ratably among common stock based on the ratable common stock shares held by each stockholder.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Redemption rights</w:t>
      </w:r>
    </w:p>
    <w:p>
      <w:pPr>
        <w:spacing w:after="0" w:line="199"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 xml:space="preserve">Senior Preferred are redeemable at the option of the stockholders at any time on or after November 7, 2019 upon a written notice by at least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xml:space="preserve"> of the Senior Preferred stockholders then outstanding voting as a single class, at a price that equals their respective original issuance price per share, plus all accrued but unpaid dividends and all other declared and unpaid dividends, to be paid in four equal annual installments. Any unpaid redemption amounts will be accelerated prior to the effective date of Series SRN Preferred redemption, if elected.</w:t>
      </w:r>
    </w:p>
    <w:p>
      <w:pPr>
        <w:spacing w:after="0" w:line="160"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As long as the Company has outstanding loans or similar commitments, Series SRN Preferred shares are not redeemable. In the absence of outstanding loans or similar commitments, Series SRN Preferred are redeemable at the option of each stockholder at any time on or after November 7, 2019, at a price per share that equals the original issuance price per share plus a 16.5% internal rate of return. In the event the Company's cash funds are insufficient to redeem all Series SRN Preferred shares including the 16.5% internal rate of return, the Company will issue a promissory note for the unredeemed shares with a term up to two years and accrues interest at 16.5%. Series SRN Preferred shares are not entitled to receive additional dividends once the redemption option is elected.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Common stock</w:t>
      </w:r>
    </w:p>
    <w:p>
      <w:pPr>
        <w:spacing w:after="0" w:line="195"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voting, dividend and liquidation rights of the common stockholders are subject to and qualified by the rights, powers and preferences of the Preferred Stock. The common stock has the following characteristics: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202" w:lineRule="exact"/>
        <w:rPr>
          <w:sz w:val="20"/>
          <w:szCs w:val="20"/>
          <w:color w:val="auto"/>
        </w:rPr>
      </w:pPr>
    </w:p>
    <w:p>
      <w:pPr>
        <w:jc w:val="both"/>
        <w:ind w:right="440"/>
        <w:spacing w:after="0" w:line="270" w:lineRule="auto"/>
        <w:rPr>
          <w:sz w:val="20"/>
          <w:szCs w:val="20"/>
          <w:color w:val="auto"/>
        </w:rPr>
      </w:pPr>
      <w:r>
        <w:rPr>
          <w:rFonts w:ascii="Arial" w:cs="Arial" w:eastAsia="Arial" w:hAnsi="Arial"/>
          <w:sz w:val="15"/>
          <w:szCs w:val="15"/>
          <w:color w:val="auto"/>
        </w:rPr>
        <w:t>The common stockholders are entitled to receive dividends, if and when declared by the Board of Directors. The Company may not declare or pay any cash dividends to the common stockholders unless dividends are first declared and paid to the holders of Preferred Stock in accordance with their respective terms. Through March 31, 2016, no dividends have been declared or paid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57" w:name="page258"/>
    <w:bookmarkEnd w:id="25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Liquidation</w:t>
      </w:r>
    </w:p>
    <w:p>
      <w:pPr>
        <w:spacing w:after="0" w:line="202"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as-converted basis.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Reserved shares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authorized shares of common stock for future issuance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Periods ending</w:t>
            </w: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5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2015</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31, 2016</w:t>
            </w:r>
          </w:p>
        </w:tc>
        <w:tc>
          <w:tcPr>
            <w:tcW w:w="140" w:type="dxa"/>
            <w:vAlign w:val="bottom"/>
          </w:tcPr>
          <w:p>
            <w:pPr>
              <w:spacing w:after="0"/>
              <w:rPr>
                <w:sz w:val="13"/>
                <w:szCs w:val="13"/>
                <w:color w:val="auto"/>
              </w:rPr>
            </w:pPr>
          </w:p>
        </w:tc>
      </w:tr>
      <w:tr>
        <w:trPr>
          <w:trHeight w:val="131"/>
        </w:trPr>
        <w:tc>
          <w:tcPr>
            <w:tcW w:w="5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94"/>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A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664,068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664,068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664,068</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Conversion of Series B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1,907,006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1,907,006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1,907,006</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C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1,282,051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1,282,051</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Conversion of Series D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2,094,015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2,191,412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2,191,412</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SRN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1,438,746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1,798,433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1,798,433</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Conversion of Series E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2,662,885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2,662,885</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Exercise of common warrants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Shares available for future stock incentive awards</w:t>
            </w:r>
          </w:p>
        </w:tc>
        <w:tc>
          <w:tcPr>
            <w:tcW w:w="1180" w:type="dxa"/>
            <w:vAlign w:val="bottom"/>
          </w:tcPr>
          <w:p>
            <w:pPr>
              <w:jc w:val="right"/>
              <w:spacing w:after="0"/>
              <w:rPr>
                <w:sz w:val="20"/>
                <w:szCs w:val="20"/>
                <w:color w:val="auto"/>
              </w:rPr>
            </w:pPr>
            <w:r>
              <w:rPr>
                <w:rFonts w:ascii="Arial" w:cs="Arial" w:eastAsia="Arial" w:hAnsi="Arial"/>
                <w:sz w:val="15"/>
                <w:szCs w:val="15"/>
                <w:color w:val="auto"/>
              </w:rPr>
              <w:t>1,544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100,034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7,091</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Exercise of outstanding common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1,143,237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1,569,379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1,736,681</w:t>
            </w:r>
          </w:p>
        </w:tc>
        <w:tc>
          <w:tcPr>
            <w:tcW w:w="140" w:type="dxa"/>
            <w:vAlign w:val="bottom"/>
            <w:shd w:val="clear" w:color="auto" w:fill="CCEEFF"/>
          </w:tcPr>
          <w:p>
            <w:pPr>
              <w:spacing w:after="0"/>
              <w:rPr>
                <w:sz w:val="16"/>
                <w:szCs w:val="16"/>
                <w:color w:val="auto"/>
              </w:rPr>
            </w:pPr>
          </w:p>
        </w:tc>
      </w:tr>
      <w:tr>
        <w:trPr>
          <w:trHeight w:val="177"/>
        </w:trPr>
        <w:tc>
          <w:tcPr>
            <w:tcW w:w="5380" w:type="dxa"/>
            <w:vAlign w:val="bottom"/>
          </w:tcPr>
          <w:p>
            <w:pPr>
              <w:spacing w:after="0"/>
              <w:rPr>
                <w:sz w:val="20"/>
                <w:szCs w:val="20"/>
                <w:color w:val="auto"/>
              </w:rPr>
            </w:pPr>
            <w:r>
              <w:rPr>
                <w:rFonts w:ascii="Arial" w:cs="Arial" w:eastAsia="Arial" w:hAnsi="Arial"/>
                <w:sz w:val="15"/>
                <w:szCs w:val="15"/>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8,530,667</w:t>
            </w:r>
          </w:p>
        </w:tc>
        <w:tc>
          <w:tcPr>
            <w:tcW w:w="14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12,825,886</w:t>
            </w:r>
          </w:p>
        </w:tc>
        <w:tc>
          <w:tcPr>
            <w:tcW w:w="1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12,900,245</w:t>
            </w:r>
          </w:p>
        </w:tc>
        <w:tc>
          <w:tcPr>
            <w:tcW w:w="140" w:type="dxa"/>
            <w:vAlign w:val="bottom"/>
          </w:tcPr>
          <w:p>
            <w:pPr>
              <w:spacing w:after="0"/>
              <w:rPr>
                <w:sz w:val="15"/>
                <w:szCs w:val="15"/>
                <w:color w:val="auto"/>
              </w:rPr>
            </w:pPr>
          </w:p>
        </w:tc>
      </w:tr>
      <w:tr>
        <w:trPr>
          <w:trHeight w:val="20"/>
        </w:trPr>
        <w:tc>
          <w:tcPr>
            <w:tcW w:w="5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plans</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The Company maintains the 2008 Equity Incentive Plan (the "Plan") for employees, consultants, advisors, and directors. The Plan provides for the granting of incentive and non-qualified stock option and restricted stock awards as determined by the Board. As of March 31, 2016, a total of 2,200,592 shares of common stock are authorized for grants under the Plan with 7,091 shares available for future grant. All stock options granted under the 2008 Plan may be exercised into restricted stock subject to forfeiture provisions upon termination.</w:t>
      </w:r>
    </w:p>
    <w:p>
      <w:pPr>
        <w:spacing w:after="0" w:line="144"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Plan vest over periods as determined by the Board, which are generally four years and with terms that generally expire ten years from the grant date. The fair value of each option award is estimated on the grant date using Black-Scholes. Expected volatilities are based on historical volatilities from guideline companies, since there is no active market for the Company's common stock. The Company uses the "simplified" method to estimate the expected life of options granted and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8" w:name="page259"/>
    <w:bookmarkEnd w:id="25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outstanding. The risk-free interest rate used is the rate for a U.S. Treasury zero coupon issue with a remaining life consistent with the options expected life on the grant date. The Company has not paid, and does not expect to pay, any cash dividends in the foreseeable future. Forfeitures are estimated at the time of grant and are adjusted, if necessary, in subsequent periods if actual forfeitures differ from those estimates. The Company has estimated a forfeitures rate of 10% based on historical attrition trends. The Company records stock-based compensation expense only on the awards that are expected to vest.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employee stock option grants issued in 2014 and 2015 and for the three months ended March 31, 2016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8"/>
        </w:trPr>
        <w:tc>
          <w:tcPr>
            <w:tcW w:w="4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March 31,</w:t>
            </w:r>
          </w:p>
        </w:tc>
      </w:tr>
      <w:tr>
        <w:trPr>
          <w:trHeight w:val="154"/>
        </w:trPr>
        <w:tc>
          <w:tcPr>
            <w:tcW w:w="47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center"/>
              <w:ind w:right="29"/>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4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Expected life</w:t>
            </w: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140" w:type="dxa"/>
            <w:vAlign w:val="bottom"/>
            <w:shd w:val="clear" w:color="auto" w:fill="CCEEFF"/>
          </w:tcPr>
          <w:p>
            <w:pPr>
              <w:spacing w:after="0"/>
              <w:rPr>
                <w:sz w:val="16"/>
                <w:szCs w:val="16"/>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Expected volatility</w:t>
            </w: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100.81%</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79.80%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75.26%</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fair value of common stock</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8.97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w:t>
            </w:r>
          </w:p>
        </w:tc>
        <w:tc>
          <w:tcPr>
            <w:tcW w:w="1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resulting weighted average grant date fair value of stock options granted to employees during the years ended December 31, 2014 and 2015 was $6.86 and $5.03, respectively, and $7.14 and $4.64 for the three months ended March 31, 2015 and 2016, respectively. The aggregate intrinsic value of stock options exercised during the years ended December 2014 and 2015 was $0.3 million and $0.3 million, respectively, and less than $0.1 million for the three months ended March 31, 2015 and 2016.</w:t>
      </w:r>
    </w:p>
    <w:p>
      <w:pPr>
        <w:spacing w:after="0" w:line="159" w:lineRule="exact"/>
        <w:rPr>
          <w:sz w:val="20"/>
          <w:szCs w:val="20"/>
          <w:color w:val="auto"/>
        </w:rPr>
      </w:pPr>
    </w:p>
    <w:p>
      <w:pPr>
        <w:ind w:right="660"/>
        <w:spacing w:after="0" w:line="319" w:lineRule="auto"/>
        <w:rPr>
          <w:sz w:val="20"/>
          <w:szCs w:val="20"/>
          <w:color w:val="auto"/>
        </w:rPr>
      </w:pPr>
      <w:r>
        <w:rPr>
          <w:rFonts w:ascii="Arial" w:cs="Arial" w:eastAsia="Arial" w:hAnsi="Arial"/>
          <w:sz w:val="14"/>
          <w:szCs w:val="14"/>
          <w:color w:val="auto"/>
        </w:rPr>
        <w:t>As of December 31, 2014 and December 31, 2015, and at March 31, 2016, total unrecognized compensation expense related to unvested employee stock options was $0.9 million, $2.3 million and $2.4 million, respectively, which is expected to be recognized over a weighted average period of 2.3 years, 3.1 years and 3.0 years,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unvested non-employee stock options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Three months</w:t>
            </w:r>
          </w:p>
        </w:tc>
      </w:tr>
      <w:tr>
        <w:trPr>
          <w:trHeight w:val="127"/>
        </w:trPr>
        <w:tc>
          <w:tcPr>
            <w:tcW w:w="6880" w:type="dxa"/>
            <w:vAlign w:val="bottom"/>
          </w:tcPr>
          <w:p>
            <w:pPr>
              <w:spacing w:after="0"/>
              <w:rPr>
                <w:sz w:val="11"/>
                <w:szCs w:val="11"/>
                <w:color w:val="auto"/>
              </w:rPr>
            </w:pPr>
          </w:p>
        </w:tc>
        <w:tc>
          <w:tcPr>
            <w:tcW w:w="1280" w:type="dxa"/>
            <w:vAlign w:val="bottom"/>
            <w:gridSpan w:val="3"/>
          </w:tcPr>
          <w:p>
            <w:pPr>
              <w:jc w:val="right"/>
              <w:ind w:right="440"/>
              <w:spacing w:after="0" w:line="128" w:lineRule="exact"/>
              <w:rPr>
                <w:sz w:val="20"/>
                <w:szCs w:val="20"/>
                <w:color w:val="auto"/>
              </w:rPr>
            </w:pPr>
            <w:r>
              <w:rPr>
                <w:rFonts w:ascii="Arial" w:cs="Arial" w:eastAsia="Arial" w:hAnsi="Arial"/>
                <w:sz w:val="12"/>
                <w:szCs w:val="12"/>
                <w:b w:val="1"/>
                <w:bCs w:val="1"/>
                <w:color w:val="auto"/>
              </w:rPr>
              <w:t>Year ended</w:t>
            </w:r>
          </w:p>
        </w:tc>
        <w:tc>
          <w:tcPr>
            <w:tcW w:w="9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79"/>
              </w:rPr>
              <w:t>ended</w:t>
            </w:r>
          </w:p>
        </w:tc>
      </w:tr>
      <w:tr>
        <w:trPr>
          <w:trHeight w:val="138"/>
        </w:trPr>
        <w:tc>
          <w:tcPr>
            <w:tcW w:w="6880" w:type="dxa"/>
            <w:vAlign w:val="bottom"/>
          </w:tcPr>
          <w:p>
            <w:pPr>
              <w:spacing w:after="0"/>
              <w:rPr>
                <w:sz w:val="12"/>
                <w:szCs w:val="12"/>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December 31,</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March 31,</w:t>
            </w:r>
          </w:p>
        </w:tc>
      </w:tr>
      <w:tr>
        <w:trPr>
          <w:trHeight w:val="154"/>
        </w:trPr>
        <w:tc>
          <w:tcPr>
            <w:tcW w:w="688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2014</w:t>
            </w:r>
          </w:p>
        </w:tc>
        <w:tc>
          <w:tcPr>
            <w:tcW w:w="4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6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1.89%</w:t>
            </w:r>
          </w:p>
        </w:tc>
      </w:tr>
      <w:tr>
        <w:trPr>
          <w:trHeight w:val="185"/>
        </w:trPr>
        <w:tc>
          <w:tcPr>
            <w:tcW w:w="68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680" w:type="dxa"/>
            <w:vAlign w:val="bottom"/>
          </w:tcPr>
          <w:p>
            <w:pPr>
              <w:jc w:val="right"/>
              <w:ind w:right="112"/>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Expected life (in years)</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5.87</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9.94</w:t>
            </w:r>
          </w:p>
        </w:tc>
        <w:tc>
          <w:tcPr>
            <w:tcW w:w="140" w:type="dxa"/>
            <w:vAlign w:val="bottom"/>
            <w:shd w:val="clear" w:color="auto" w:fill="CCEEFF"/>
          </w:tcPr>
          <w:p>
            <w:pPr>
              <w:spacing w:after="0"/>
              <w:rPr>
                <w:sz w:val="16"/>
                <w:szCs w:val="16"/>
                <w:color w:val="auto"/>
              </w:rPr>
            </w:pPr>
          </w:p>
        </w:tc>
      </w:tr>
      <w:tr>
        <w:trPr>
          <w:trHeight w:val="190"/>
        </w:trPr>
        <w:tc>
          <w:tcPr>
            <w:tcW w:w="6880" w:type="dxa"/>
            <w:vAlign w:val="bottom"/>
          </w:tcPr>
          <w:p>
            <w:pPr>
              <w:spacing w:after="0"/>
              <w:rPr>
                <w:sz w:val="20"/>
                <w:szCs w:val="20"/>
                <w:color w:val="auto"/>
              </w:rPr>
            </w:pPr>
            <w:r>
              <w:rPr>
                <w:rFonts w:ascii="Arial" w:cs="Arial" w:eastAsia="Arial" w:hAnsi="Arial"/>
                <w:sz w:val="15"/>
                <w:szCs w:val="15"/>
                <w:color w:val="auto"/>
              </w:rPr>
              <w:t>Expected volatility</w:t>
            </w:r>
          </w:p>
        </w:tc>
        <w:tc>
          <w:tcPr>
            <w:tcW w:w="680" w:type="dxa"/>
            <w:vAlign w:val="bottom"/>
          </w:tcPr>
          <w:p>
            <w:pPr>
              <w:jc w:val="right"/>
              <w:spacing w:after="0"/>
              <w:rPr>
                <w:sz w:val="20"/>
                <w:szCs w:val="20"/>
                <w:color w:val="auto"/>
              </w:rPr>
            </w:pPr>
            <w:r>
              <w:rPr>
                <w:rFonts w:ascii="Arial" w:cs="Arial" w:eastAsia="Arial" w:hAnsi="Arial"/>
                <w:sz w:val="15"/>
                <w:szCs w:val="15"/>
                <w:color w:val="auto"/>
              </w:rPr>
              <w:t>98.25%</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98.18%</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82.48%</w:t>
            </w:r>
          </w:p>
        </w:tc>
      </w:tr>
    </w:tbl>
    <w:p>
      <w:pPr>
        <w:spacing w:after="0" w:line="173"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The unvested options held by non-employees are revalued using the Company's estimate of fair value on each vesting and reporting date through the remaining vesting period. Non-employee stock-based compensation expense of $0.5 million and $0.4 million was recorded 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59" w:name="page260"/>
    <w:bookmarkEnd w:id="25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2014 and 2015, respectively, and of $0.1 million and less than $0.1 million for the three months ended March 31, 2015 and March 31, 2016, respectively.</w:t>
      </w:r>
    </w:p>
    <w:p>
      <w:pPr>
        <w:spacing w:after="0" w:line="198" w:lineRule="exact"/>
        <w:rPr>
          <w:sz w:val="20"/>
          <w:szCs w:val="20"/>
          <w:color w:val="auto"/>
        </w:rPr>
      </w:pPr>
    </w:p>
    <w:p>
      <w:pPr>
        <w:ind w:right="440"/>
        <w:spacing w:after="0" w:line="319" w:lineRule="auto"/>
        <w:rPr>
          <w:sz w:val="20"/>
          <w:szCs w:val="20"/>
          <w:color w:val="auto"/>
        </w:rPr>
      </w:pPr>
      <w:r>
        <w:rPr>
          <w:rFonts w:ascii="Arial" w:cs="Arial" w:eastAsia="Arial" w:hAnsi="Arial"/>
          <w:sz w:val="14"/>
          <w:szCs w:val="14"/>
          <w:color w:val="auto"/>
        </w:rPr>
        <w:t>As of December 31, 2014 and 2015 and March 31, 2016, total unrecognized compensation expense related to unvested non-employee stock options was $0.4 million, $0.1 million and $0.5 million, respectively, which is expected to be recognized over a weighted average period of 0.8 years, 2.2 years and 3.5 years,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activity under the Plan for the year ended December 31, 2015 and the quarter ended March 31, 2016:</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3"/>
              <w:spacing w:after="0"/>
              <w:rPr>
                <w:sz w:val="20"/>
                <w:szCs w:val="20"/>
                <w:color w:val="auto"/>
              </w:rPr>
            </w:pPr>
            <w:r>
              <w:rPr>
                <w:rFonts w:ascii="Arial" w:cs="Arial" w:eastAsia="Arial" w:hAnsi="Arial"/>
                <w:sz w:val="12"/>
                <w:szCs w:val="12"/>
                <w:b w:val="1"/>
                <w:bCs w:val="1"/>
                <w:color w:val="auto"/>
                <w:w w:val="99"/>
              </w:rPr>
              <w:t>Weighted-</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3"/>
              <w:spacing w:after="0"/>
              <w:rPr>
                <w:sz w:val="20"/>
                <w:szCs w:val="20"/>
                <w:color w:val="auto"/>
              </w:rPr>
            </w:pPr>
            <w:r>
              <w:rPr>
                <w:rFonts w:ascii="Arial" w:cs="Arial" w:eastAsia="Arial" w:hAnsi="Arial"/>
                <w:sz w:val="12"/>
                <w:szCs w:val="12"/>
                <w:b w:val="1"/>
                <w:bCs w:val="1"/>
                <w:color w:val="auto"/>
              </w:rPr>
              <w:t>average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remaining</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intrinsic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Number of</w:t>
            </w:r>
          </w:p>
        </w:tc>
        <w:tc>
          <w:tcPr>
            <w:tcW w:w="860" w:type="dxa"/>
            <w:vAlign w:val="bottom"/>
          </w:tcPr>
          <w:p>
            <w:pPr>
              <w:jc w:val="center"/>
              <w:ind w:left="183"/>
              <w:spacing w:after="0"/>
              <w:rPr>
                <w:sz w:val="20"/>
                <w:szCs w:val="20"/>
                <w:color w:val="auto"/>
              </w:rPr>
            </w:pPr>
            <w:r>
              <w:rPr>
                <w:rFonts w:ascii="Arial" w:cs="Arial" w:eastAsia="Arial" w:hAnsi="Arial"/>
                <w:sz w:val="12"/>
                <w:szCs w:val="12"/>
                <w:b w:val="1"/>
                <w:bCs w:val="1"/>
                <w:color w:val="auto"/>
              </w:rPr>
              <w:t>exercise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contractual term</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options</w:t>
            </w:r>
          </w:p>
        </w:tc>
        <w:tc>
          <w:tcPr>
            <w:tcW w:w="860" w:type="dxa"/>
            <w:vAlign w:val="bottom"/>
          </w:tcPr>
          <w:p>
            <w:pPr>
              <w:jc w:val="right"/>
              <w:ind w:right="123"/>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40" w:type="dxa"/>
            <w:vAlign w:val="bottom"/>
          </w:tcPr>
          <w:p>
            <w:pPr>
              <w:jc w:val="right"/>
              <w:ind w:right="263"/>
              <w:spacing w:after="0"/>
              <w:rPr>
                <w:sz w:val="20"/>
                <w:szCs w:val="20"/>
                <w:color w:val="auto"/>
              </w:rPr>
            </w:pPr>
            <w:r>
              <w:rPr>
                <w:rFonts w:ascii="Arial" w:cs="Arial" w:eastAsia="Arial" w:hAnsi="Arial"/>
                <w:sz w:val="12"/>
                <w:szCs w:val="12"/>
                <w:b w:val="1"/>
                <w:bCs w:val="1"/>
                <w:color w:val="auto"/>
              </w:rPr>
              <w:t>(in years)</w:t>
            </w:r>
          </w:p>
        </w:tc>
        <w:tc>
          <w:tcPr>
            <w:tcW w:w="1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thousands)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04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Employee</w:t>
            </w: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800,165</w:t>
            </w:r>
          </w:p>
        </w:tc>
        <w:tc>
          <w:tcPr>
            <w:tcW w:w="100" w:type="dxa"/>
            <w:vAlign w:val="bottom"/>
          </w:tcPr>
          <w:p>
            <w:pPr>
              <w:spacing w:after="0"/>
              <w:rPr>
                <w:sz w:val="11"/>
                <w:szCs w:val="11"/>
                <w:color w:val="auto"/>
              </w:rPr>
            </w:pP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3.24</w:t>
            </w:r>
          </w:p>
        </w:tc>
        <w:tc>
          <w:tcPr>
            <w:tcW w:w="1140" w:type="dxa"/>
            <w:vAlign w:val="bottom"/>
          </w:tcPr>
          <w:p>
            <w:pPr>
              <w:jc w:val="right"/>
              <w:ind w:right="3"/>
              <w:spacing w:after="0" w:line="128" w:lineRule="exact"/>
              <w:rPr>
                <w:sz w:val="20"/>
                <w:szCs w:val="20"/>
                <w:color w:val="auto"/>
              </w:rPr>
            </w:pPr>
            <w:r>
              <w:rPr>
                <w:rFonts w:ascii="Arial" w:cs="Arial" w:eastAsia="Arial" w:hAnsi="Arial"/>
                <w:sz w:val="12"/>
                <w:szCs w:val="12"/>
                <w:color w:val="auto"/>
              </w:rPr>
              <w:t>6.99</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4,895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485,833</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7.91</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(20,861)</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1.21</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(17,977)</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76"/>
              </w:rPr>
              <w:t>6.32</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1,247,160</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5.05</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7.41</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3,130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668,465</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2.61</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5.71</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2,946</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4.84</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7.26</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3,138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1,171,380</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Outstanding at December 31, 2015</w:t>
            </w:r>
          </w:p>
        </w:tc>
        <w:tc>
          <w:tcPr>
            <w:tcW w:w="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1,247,160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5.05</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7.41</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3,130</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(unaudited)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94,871</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7.02</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(2,564)</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0.62</w:t>
            </w:r>
          </w:p>
        </w:tc>
        <w:tc>
          <w:tcPr>
            <w:tcW w:w="114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(1,928)</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76"/>
              </w:rPr>
              <w:t>7.47</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March 31, 2016</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1,337,539</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5.19</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7.36</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4,376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March 31, 2016</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726,702</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3.09</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5.73</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3,790</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March 31, 2016</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5.01</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7.21</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4,318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1,254,639</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Non-Employee</w:t>
            </w: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343,072</w:t>
            </w:r>
          </w:p>
        </w:tc>
        <w:tc>
          <w:tcPr>
            <w:tcW w:w="100" w:type="dxa"/>
            <w:vAlign w:val="bottom"/>
          </w:tcPr>
          <w:p>
            <w:pPr>
              <w:spacing w:after="0"/>
              <w:rPr>
                <w:sz w:val="11"/>
                <w:szCs w:val="11"/>
                <w:color w:val="auto"/>
              </w:rPr>
            </w:pP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2.93</w:t>
            </w:r>
          </w:p>
        </w:tc>
        <w:tc>
          <w:tcPr>
            <w:tcW w:w="1140" w:type="dxa"/>
            <w:vAlign w:val="bottom"/>
          </w:tcPr>
          <w:p>
            <w:pPr>
              <w:jc w:val="right"/>
              <w:ind w:right="3"/>
              <w:spacing w:after="0" w:line="128" w:lineRule="exact"/>
              <w:rPr>
                <w:sz w:val="20"/>
                <w:szCs w:val="20"/>
                <w:color w:val="auto"/>
              </w:rPr>
            </w:pPr>
            <w:r>
              <w:rPr>
                <w:rFonts w:ascii="Arial" w:cs="Arial" w:eastAsia="Arial" w:hAnsi="Arial"/>
                <w:sz w:val="12"/>
                <w:szCs w:val="12"/>
                <w:color w:val="auto"/>
              </w:rPr>
              <w:t>6.5</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2,207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7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(20,852)</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2.91</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322,200</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2.93</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5.50</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1,288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310,680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2.70</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5.40</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1,288</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2.93</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5.50</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1,288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322,219</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Outstanding at December 31, 2015</w:t>
            </w:r>
          </w:p>
        </w:tc>
        <w:tc>
          <w:tcPr>
            <w:tcW w:w="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322,220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2.91</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5.50</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1,288</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(unaudited)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76,923</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7.02</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114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March 31, 2016</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399,143</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3.72</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6.16</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1,787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March 31, 2016</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316,770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2.79</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5.23</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1,705</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March 31, 2016</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3.72</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6.16</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1,787</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399,143</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0" w:name="page261"/>
    <w:bookmarkEnd w:id="26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w:t>
      </w:r>
    </w:p>
    <w:p>
      <w:pPr>
        <w:spacing w:after="0" w:line="195"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During the year ended December 31, 2013, the Company issued 30,317 shares of restricted common stock to employees upon the early exercise of stock options. During the year ended December 31, 2014, the Company issued 2,564 shares of restricted common stock to employees. Under the terms of each agreement, the Company has a repurchase provision whereby the Company has the right to repurchase any unvested shares when/if the shareholders terminate their business relationship with the Company, at a price equal to the original exercise price. Accordingly, the Company recorded the cumulative payments received of $0.1 million for the purchase of the restricted shares as a liability. The Company records payment received from the granting of restricted stock as a liability which is amortized over the vesting period. As of December 31, 2014 and 2015 and at March 31, 2016, the remaining liability was less than $0.1 million.</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Total fair value of restricted shares that vested during the years ended December 31, 2014 and 2015, was $0.1 million and less than $0.1 million, respectively, and for the three months ended March 31, 2016 was less than $0.1 million.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restricted stock award activity of the Plan during the year ended December 31, 2014 and 2015 and for the three months ended March 31, 2016:</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4760" w:type="dxa"/>
            <w:vAlign w:val="bottom"/>
          </w:tcPr>
          <w:p>
            <w:pPr>
              <w:spacing w:after="0"/>
              <w:rPr>
                <w:sz w:val="12"/>
                <w:szCs w:val="12"/>
                <w:color w:val="auto"/>
              </w:rPr>
            </w:pPr>
          </w:p>
        </w:tc>
        <w:tc>
          <w:tcPr>
            <w:tcW w:w="1380" w:type="dxa"/>
            <w:vAlign w:val="bottom"/>
            <w:gridSpan w:val="5"/>
          </w:tcPr>
          <w:p>
            <w:pPr>
              <w:jc w:val="right"/>
              <w:ind w:right="69"/>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Pr>
          <w:p>
            <w:pPr>
              <w:spacing w:after="0"/>
              <w:rPr>
                <w:sz w:val="12"/>
                <w:szCs w:val="12"/>
                <w:color w:val="auto"/>
              </w:rPr>
            </w:pPr>
          </w:p>
        </w:tc>
        <w:tc>
          <w:tcPr>
            <w:tcW w:w="1320" w:type="dxa"/>
            <w:vAlign w:val="bottom"/>
            <w:gridSpan w:val="5"/>
          </w:tcPr>
          <w:p>
            <w:pPr>
              <w:jc w:val="right"/>
              <w:ind w:right="29"/>
              <w:spacing w:after="0"/>
              <w:rPr>
                <w:sz w:val="20"/>
                <w:szCs w:val="20"/>
                <w:color w:val="auto"/>
              </w:rPr>
            </w:pPr>
            <w:r>
              <w:rPr>
                <w:rFonts w:ascii="Arial" w:cs="Arial" w:eastAsia="Arial" w:hAnsi="Arial"/>
                <w:sz w:val="12"/>
                <w:szCs w:val="12"/>
                <w:b w:val="1"/>
                <w:bCs w:val="1"/>
                <w:color w:val="auto"/>
              </w:rPr>
              <w:t>December 31, 2015</w:t>
            </w:r>
          </w:p>
        </w:tc>
        <w:tc>
          <w:tcPr>
            <w:tcW w:w="140" w:type="dxa"/>
            <w:vAlign w:val="bottom"/>
          </w:tcPr>
          <w:p>
            <w:pPr>
              <w:spacing w:after="0"/>
              <w:rPr>
                <w:sz w:val="12"/>
                <w:szCs w:val="12"/>
                <w:color w:val="auto"/>
              </w:rPr>
            </w:pPr>
          </w:p>
        </w:tc>
        <w:tc>
          <w:tcPr>
            <w:tcW w:w="146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rPr>
              <w:t>March 31, 2016</w:t>
            </w:r>
          </w:p>
        </w:tc>
      </w:tr>
      <w:tr>
        <w:trPr>
          <w:trHeight w:val="121"/>
        </w:trPr>
        <w:tc>
          <w:tcPr>
            <w:tcW w:w="47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r>
      <w:tr>
        <w:trPr>
          <w:trHeight w:val="139"/>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9"/>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average</w:t>
            </w:r>
          </w:p>
        </w:tc>
      </w:tr>
      <w:tr>
        <w:trPr>
          <w:trHeight w:val="139"/>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exercise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rPr>
              <w:t>exercise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exercise</w:t>
            </w:r>
          </w:p>
        </w:tc>
      </w:tr>
      <w:tr>
        <w:trPr>
          <w:trHeight w:val="167"/>
        </w:trPr>
        <w:tc>
          <w:tcPr>
            <w:tcW w:w="47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2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4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price</w:t>
            </w:r>
          </w:p>
        </w:tc>
      </w:tr>
      <w:tr>
        <w:trPr>
          <w:trHeight w:val="136"/>
        </w:trPr>
        <w:tc>
          <w:tcPr>
            <w:tcW w:w="47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5"/>
          </w:tcPr>
          <w:p>
            <w:pPr>
              <w:jc w:val="center"/>
              <w:spacing w:after="0" w:line="13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Unvested at beginning of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70,804</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15,264</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7,574</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40" w:type="dxa"/>
            <w:vAlign w:val="bottom"/>
            <w:shd w:val="clear" w:color="auto" w:fill="CCEEFF"/>
          </w:tcPr>
          <w:p>
            <w:pPr>
              <w:spacing w:after="0"/>
              <w:rPr>
                <w:sz w:val="16"/>
                <w:szCs w:val="16"/>
                <w:color w:val="auto"/>
              </w:rPr>
            </w:pPr>
          </w:p>
        </w:tc>
      </w:tr>
      <w:tr>
        <w:trPr>
          <w:trHeight w:val="185"/>
        </w:trPr>
        <w:tc>
          <w:tcPr>
            <w:tcW w:w="4760" w:type="dxa"/>
            <w:vAlign w:val="bottom"/>
          </w:tcPr>
          <w:p>
            <w:pPr>
              <w:ind w:left="160"/>
              <w:spacing w:after="0"/>
              <w:rPr>
                <w:sz w:val="20"/>
                <w:szCs w:val="20"/>
                <w:color w:val="auto"/>
              </w:rPr>
            </w:pPr>
            <w:r>
              <w:rPr>
                <w:rFonts w:ascii="Arial" w:cs="Arial" w:eastAsia="Arial" w:hAnsi="Arial"/>
                <w:sz w:val="15"/>
                <w:szCs w:val="15"/>
                <w:color w:val="auto"/>
              </w:rPr>
              <w:t>Issued</w:t>
            </w:r>
          </w:p>
        </w:tc>
        <w:tc>
          <w:tcPr>
            <w:tcW w:w="620" w:type="dxa"/>
            <w:vAlign w:val="bottom"/>
          </w:tcPr>
          <w:p>
            <w:pPr>
              <w:jc w:val="right"/>
              <w:spacing w:after="0"/>
              <w:rPr>
                <w:sz w:val="20"/>
                <w:szCs w:val="20"/>
                <w:color w:val="auto"/>
              </w:rPr>
            </w:pPr>
            <w:r>
              <w:rPr>
                <w:rFonts w:ascii="Arial" w:cs="Arial" w:eastAsia="Arial" w:hAnsi="Arial"/>
                <w:sz w:val="15"/>
                <w:szCs w:val="15"/>
                <w:color w:val="auto"/>
              </w:rPr>
              <w:t>2,564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0.62</w:t>
            </w: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Vested</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(58,104)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(7,690)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(1,895)</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40" w:type="dxa"/>
            <w:vAlign w:val="bottom"/>
            <w:shd w:val="clear" w:color="auto" w:fill="CCEEFF"/>
          </w:tcPr>
          <w:p>
            <w:pPr>
              <w:spacing w:after="0"/>
              <w:rPr>
                <w:sz w:val="16"/>
                <w:szCs w:val="16"/>
                <w:color w:val="auto"/>
              </w:rPr>
            </w:pPr>
          </w:p>
        </w:tc>
      </w:tr>
      <w:tr>
        <w:trPr>
          <w:trHeight w:val="177"/>
        </w:trPr>
        <w:tc>
          <w:tcPr>
            <w:tcW w:w="4760" w:type="dxa"/>
            <w:vAlign w:val="bottom"/>
          </w:tcPr>
          <w:p>
            <w:pPr>
              <w:spacing w:after="0"/>
              <w:rPr>
                <w:sz w:val="20"/>
                <w:szCs w:val="20"/>
                <w:color w:val="auto"/>
              </w:rPr>
            </w:pPr>
            <w:r>
              <w:rPr>
                <w:rFonts w:ascii="Arial" w:cs="Arial" w:eastAsia="Arial" w:hAnsi="Arial"/>
                <w:sz w:val="15"/>
                <w:szCs w:val="15"/>
                <w:color w:val="auto"/>
              </w:rPr>
              <w:t>Unvested at end of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15,264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14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7,574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14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5,679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140" w:type="dxa"/>
            <w:vAlign w:val="bottom"/>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As of December 31, 2014 and 2015 and for the three months ended March 31, 2016, total unrecognized compensation expense related to restricted stock awards was less than $0.1 million, which the Company expects to recognize over a weighted average period of approximately 2.0 years, 1.0 year and 0.8 years,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261" w:name="page262"/>
    <w:bookmarkEnd w:id="261"/>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280"/>
        <w:spacing w:after="0" w:line="282" w:lineRule="auto"/>
        <w:rPr>
          <w:sz w:val="20"/>
          <w:szCs w:val="20"/>
          <w:color w:val="auto"/>
        </w:rPr>
      </w:pPr>
      <w:r>
        <w:rPr>
          <w:rFonts w:ascii="Arial" w:cs="Arial" w:eastAsia="Arial" w:hAnsi="Arial"/>
          <w:sz w:val="15"/>
          <w:szCs w:val="15"/>
          <w:color w:val="auto"/>
        </w:rPr>
        <w:t>During the years ended December 31, 2014 and 2015 and for the three months ended March 31, 2015 and 2016, the Company recorded stock-based compensation expense as follows (in thousands):</w:t>
      </w:r>
    </w:p>
    <w:p>
      <w:pPr>
        <w:spacing w:after="0" w:line="148"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rPr>
              <w:t>Three months</w:t>
            </w:r>
          </w:p>
        </w:tc>
      </w:t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228"/>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72"/>
              <w:spacing w:after="0"/>
              <w:rPr>
                <w:sz w:val="20"/>
                <w:szCs w:val="20"/>
                <w:color w:val="auto"/>
              </w:rPr>
            </w:pPr>
            <w:r>
              <w:rPr>
                <w:rFonts w:ascii="Arial" w:cs="Arial" w:eastAsia="Arial" w:hAnsi="Arial"/>
                <w:sz w:val="12"/>
                <w:szCs w:val="12"/>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4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2"/>
                <w:szCs w:val="12"/>
                <w:b w:val="1"/>
                <w:bCs w:val="1"/>
                <w:color w:val="auto"/>
              </w:rPr>
              <w:t>2015</w:t>
            </w:r>
          </w:p>
        </w:tc>
        <w:tc>
          <w:tcPr>
            <w:tcW w:w="5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31"/>
        </w:trPr>
        <w:tc>
          <w:tcPr>
            <w:tcW w:w="4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4"/>
          </w:tcPr>
          <w:p>
            <w:pPr>
              <w:jc w:val="center"/>
              <w:ind w:right="45"/>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132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167</w:t>
            </w:r>
          </w:p>
        </w:tc>
        <w:tc>
          <w:tcPr>
            <w:tcW w:w="140" w:type="dxa"/>
            <w:vAlign w:val="bottom"/>
            <w:shd w:val="clear" w:color="auto" w:fill="CCEEFF"/>
          </w:tcPr>
          <w:p>
            <w:pPr>
              <w:spacing w:after="0"/>
              <w:rPr>
                <w:sz w:val="16"/>
                <w:szCs w:val="16"/>
                <w:color w:val="auto"/>
              </w:rPr>
            </w:pPr>
          </w:p>
        </w:tc>
      </w:tr>
      <w:tr>
        <w:trPr>
          <w:trHeight w:val="185"/>
        </w:trPr>
        <w:tc>
          <w:tcPr>
            <w:tcW w:w="41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9"/>
              </w:rPr>
              <w:t>170</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115</w:t>
            </w:r>
          </w:p>
        </w:tc>
        <w:tc>
          <w:tcPr>
            <w:tcW w:w="140" w:type="dxa"/>
            <w:vAlign w:val="bottom"/>
          </w:tcPr>
          <w:p>
            <w:pPr>
              <w:spacing w:after="0"/>
              <w:rPr>
                <w:sz w:val="16"/>
                <w:szCs w:val="16"/>
                <w:color w:val="auto"/>
              </w:rPr>
            </w:pPr>
          </w:p>
        </w:tc>
      </w:tr>
      <w:tr>
        <w:trPr>
          <w:trHeight w:val="177"/>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302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282</w:t>
            </w:r>
          </w:p>
        </w:tc>
        <w:tc>
          <w:tcPr>
            <w:tcW w:w="140" w:type="dxa"/>
            <w:vAlign w:val="bottom"/>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right="9200" w:hanging="7"/>
        <w:spacing w:after="0" w:line="541" w:lineRule="auto"/>
        <w:tabs>
          <w:tab w:leader="none" w:pos="259" w:val="left"/>
        </w:tabs>
        <w:numPr>
          <w:ilvl w:val="0"/>
          <w:numId w:val="139"/>
        </w:numPr>
        <w:rPr>
          <w:rFonts w:ascii="Arial" w:cs="Arial" w:eastAsia="Arial" w:hAnsi="Arial"/>
          <w:sz w:val="14"/>
          <w:szCs w:val="14"/>
          <w:b w:val="1"/>
          <w:bCs w:val="1"/>
          <w:color w:val="auto"/>
        </w:rPr>
      </w:pPr>
      <w:r>
        <w:rPr>
          <w:rFonts w:ascii="Arial" w:cs="Arial" w:eastAsia="Arial" w:hAnsi="Arial"/>
          <w:sz w:val="14"/>
          <w:szCs w:val="14"/>
          <w:b w:val="1"/>
          <w:bCs w:val="1"/>
          <w:color w:val="auto"/>
        </w:rPr>
        <w:t>Revenue arrangements Sanofi collaboration agreement</w:t>
      </w:r>
    </w:p>
    <w:p>
      <w:pPr>
        <w:ind w:left="7" w:right="200"/>
        <w:spacing w:after="0" w:line="362" w:lineRule="auto"/>
        <w:rPr>
          <w:sz w:val="20"/>
          <w:szCs w:val="20"/>
          <w:color w:val="auto"/>
        </w:rPr>
      </w:pPr>
      <w:r>
        <w:rPr>
          <w:rFonts w:ascii="Arial" w:cs="Arial" w:eastAsia="Arial" w:hAnsi="Arial"/>
          <w:sz w:val="13"/>
          <w:szCs w:val="13"/>
          <w:color w:val="auto"/>
        </w:rPr>
        <w:t>On November 27, 2012, the Company and Sanofi entered into a license and research collaboration agreement focused on the identification and development of vaccines against food allergies. Under the arrangement, the Company will perform research to identify an initial vaccine candidate for development and commercialization by Sanofi under an exclusive license.</w:t>
      </w:r>
    </w:p>
    <w:p>
      <w:pPr>
        <w:spacing w:after="0" w:line="105" w:lineRule="exact"/>
        <w:rPr>
          <w:sz w:val="20"/>
          <w:szCs w:val="20"/>
          <w:color w:val="auto"/>
        </w:rPr>
      </w:pPr>
    </w:p>
    <w:p>
      <w:pPr>
        <w:ind w:left="7" w:right="480"/>
        <w:spacing w:after="0" w:line="282" w:lineRule="auto"/>
        <w:rPr>
          <w:sz w:val="20"/>
          <w:szCs w:val="20"/>
          <w:color w:val="auto"/>
        </w:rPr>
      </w:pPr>
      <w:r>
        <w:rPr>
          <w:rFonts w:ascii="Arial" w:cs="Arial" w:eastAsia="Arial" w:hAnsi="Arial"/>
          <w:sz w:val="15"/>
          <w:szCs w:val="15"/>
          <w:color w:val="auto"/>
        </w:rPr>
        <w:t>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w:t>
      </w:r>
    </w:p>
    <w:p>
      <w:pPr>
        <w:spacing w:after="0" w:line="151" w:lineRule="exact"/>
        <w:rPr>
          <w:sz w:val="20"/>
          <w:szCs w:val="20"/>
          <w:color w:val="auto"/>
        </w:rPr>
      </w:pPr>
    </w:p>
    <w:p>
      <w:pPr>
        <w:ind w:left="7" w:right="520"/>
        <w:spacing w:after="0" w:line="319" w:lineRule="auto"/>
        <w:rPr>
          <w:sz w:val="20"/>
          <w:szCs w:val="20"/>
          <w:color w:val="auto"/>
        </w:rPr>
      </w:pPr>
      <w:r>
        <w:rPr>
          <w:rFonts w:ascii="Arial" w:cs="Arial" w:eastAsia="Arial" w:hAnsi="Arial"/>
          <w:sz w:val="14"/>
          <w:szCs w:val="14"/>
          <w:color w:val="auto"/>
        </w:rPr>
        <w:t>Each party will carry out its obligations under the collaboration in accordance with a research plan approved by a Joint Research Committee ("JRC"). The Company will perform the majority of the research work to identify the potential candidate, and once identified, Sanofi will primarily be responsible for the clinical development of the candidate.</w:t>
      </w:r>
    </w:p>
    <w:p>
      <w:pPr>
        <w:spacing w:after="0" w:line="128"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At any time during the term of the development plan, but before the fifth anniversary of the start of the research term for the applicable indication, Sanofi and the Company may agree to replace the previously nominated development candidate with a new development candidate. The Company would be entitled to additional consideration for any research services performed at such time.</w:t>
      </w:r>
    </w:p>
    <w:p>
      <w:pPr>
        <w:spacing w:after="0" w:line="159" w:lineRule="exact"/>
        <w:rPr>
          <w:sz w:val="20"/>
          <w:szCs w:val="20"/>
          <w:color w:val="auto"/>
        </w:rPr>
      </w:pPr>
    </w:p>
    <w:p>
      <w:pPr>
        <w:ind w:left="7" w:right="60"/>
        <w:spacing w:after="0" w:line="284" w:lineRule="auto"/>
        <w:rPr>
          <w:sz w:val="20"/>
          <w:szCs w:val="20"/>
          <w:color w:val="auto"/>
        </w:rPr>
      </w:pPr>
      <w:r>
        <w:rPr>
          <w:rFonts w:ascii="Arial" w:cs="Arial" w:eastAsia="Arial" w:hAnsi="Arial"/>
          <w:sz w:val="14"/>
          <w:szCs w:val="14"/>
          <w:color w:val="auto"/>
        </w:rPr>
        <w:t>The research term for the first indication continues until the earlier of (a) the nomination of a development candidate for the initial indication or (b) the third anniversary of the agreement. The research term for the second indication (celiac disease) will expire upon the earlier of (a) the nomination of a development candidate for the second indication and (b) May 7, 2019. In the event that the Company is unable to complete its research obligations by the expiration of the applicable research term, its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the Company's scope of work, such costs will be reimbursed by Sanofi based on an agreed upon budget. Once a development candidate is nominated, all development activities will be under the direction of Sanofi pursuant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62" w:name="page263"/>
    <w:bookmarkEnd w:id="26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development plan to be negotiated and agreed to at that time and Sanofi will pay the Company for expenses incurred within certain approved limits.</w:t>
      </w:r>
    </w:p>
    <w:p>
      <w:pPr>
        <w:spacing w:after="0" w:line="198"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Under the terms of the research collaboration portion of the Sanofi Agreement, the Company is required to use commercially reasonable efforts to perform the activities set out for the Company in the research and development plans created and overseen by a joint research committee. The Company is responsible for manufacturing all vaccines required for research, development and commercialization of licensed products. Pursuant to the Sanofi Agreement, Sanofi has paid the Company an initial payment of $2.0 million for the initial indication and an additional $2.0 million for the second indication of celiac disease. Sanofi is obligated to make additional payments to the Company during preclinical research totaling up to $3.0 million for each indication, which has been received for the food allergy indication. For each indication, the Company is also eligible for (i) a $5.0 million development candidate milestone payable to the Company at the start of preclinical development, (ii) further development milestones up to an aggregate of $127.0 million, which includes up to an aggregate of $57.0 million following the initiation of Phase I, Phase II and Phase III clinical trials for the indication and filing of the first biologic license application, more than two-thirds of which is attributable to the initiation of the Phase 3 clinical trail and the filing of the first biologic license application, and an aggregate of $70.0 million upon achieving various regulatory approvals in the United States, European Union, Japan and Brazil, Russia, India or China, of which the majority is attributable to regulatory approvals in the United States, (iii) sales milestones of up to an aggregate of $170.0 million, and (iv) tiered royalties on annual net sales of licensed products at percentages ranging from mid-single to low double digits.</w:t>
      </w:r>
    </w:p>
    <w:p>
      <w:pPr>
        <w:spacing w:after="0" w:line="14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 However, the Company is in discussions with Sanofi to extend the research term for the first indication by one year (until November 27, 2016).</w:t>
      </w:r>
    </w:p>
    <w:p>
      <w:pPr>
        <w:spacing w:after="0" w:line="162" w:lineRule="exact"/>
        <w:rPr>
          <w:sz w:val="20"/>
          <w:szCs w:val="20"/>
          <w:color w:val="auto"/>
        </w:rPr>
      </w:pPr>
    </w:p>
    <w:p>
      <w:pPr>
        <w:ind w:right="60"/>
        <w:spacing w:after="0" w:line="313" w:lineRule="auto"/>
        <w:rPr>
          <w:sz w:val="20"/>
          <w:szCs w:val="20"/>
          <w:color w:val="auto"/>
        </w:rPr>
      </w:pPr>
      <w:r>
        <w:rPr>
          <w:rFonts w:ascii="Arial" w:cs="Arial" w:eastAsia="Arial" w:hAnsi="Arial"/>
          <w:sz w:val="13"/>
          <w:szCs w:val="13"/>
          <w:color w:val="auto"/>
        </w:rPr>
        <w:t>The Company identified the deliverables under the arrangement as the license, the research necessary to identify the development candidate, and participation on the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$2.1 million of revenue during each of the years ended December 31, 2014 and 2015, and $0.5 million and $0.1 million during the three months ended March 31, 2015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263" w:name="page264"/>
    <w:bookmarkEnd w:id="26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research and collaboration agreements</w:t>
      </w:r>
    </w:p>
    <w:p>
      <w:pPr>
        <w:spacing w:after="0" w:line="195" w:lineRule="exact"/>
        <w:rPr>
          <w:sz w:val="20"/>
          <w:szCs w:val="20"/>
          <w:color w:val="auto"/>
        </w:rPr>
      </w:pPr>
    </w:p>
    <w:p>
      <w:pPr>
        <w:ind w:right="20"/>
        <w:spacing w:after="0" w:line="362" w:lineRule="auto"/>
        <w:rPr>
          <w:sz w:val="20"/>
          <w:szCs w:val="20"/>
          <w:color w:val="auto"/>
        </w:rPr>
      </w:pPr>
      <w:r>
        <w:rPr>
          <w:rFonts w:ascii="Arial" w:cs="Arial" w:eastAsia="Arial" w:hAnsi="Arial"/>
          <w:sz w:val="13"/>
          <w:szCs w:val="13"/>
          <w:color w:val="auto"/>
        </w:rPr>
        <w:t>The Company has entered into other research and collaboration agreements in 2014 and 2015 for which the Company did not recognize any revenue for the period ended December 31, 2014 and recognized revenue in the amount of $0.3 million for the period ended December 31, 2015, and less than $0.1 million for the three months ended March 31, 2015 and 2016.</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jc w:val="both"/>
        <w:ind w:right="440"/>
        <w:spacing w:after="0" w:line="270" w:lineRule="auto"/>
        <w:rPr>
          <w:sz w:val="20"/>
          <w:szCs w:val="20"/>
          <w:color w:val="auto"/>
        </w:rPr>
      </w:pPr>
      <w:r>
        <w:rPr>
          <w:rFonts w:ascii="Arial" w:cs="Arial" w:eastAsia="Arial" w:hAnsi="Arial"/>
          <w:sz w:val="15"/>
          <w:szCs w:val="15"/>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NIH</w:t>
      </w:r>
    </w:p>
    <w:p>
      <w:pPr>
        <w:spacing w:after="0" w:line="198" w:lineRule="exact"/>
        <w:rPr>
          <w:sz w:val="20"/>
          <w:szCs w:val="20"/>
          <w:color w:val="auto"/>
        </w:rPr>
      </w:pPr>
    </w:p>
    <w:p>
      <w:pPr>
        <w:ind w:right="280"/>
        <w:spacing w:after="0" w:line="266" w:lineRule="auto"/>
        <w:rPr>
          <w:sz w:val="20"/>
          <w:szCs w:val="20"/>
          <w:color w:val="auto"/>
        </w:rPr>
      </w:pPr>
      <w:r>
        <w:rPr>
          <w:rFonts w:ascii="Arial" w:cs="Arial" w:eastAsia="Arial" w:hAnsi="Arial"/>
          <w:sz w:val="15"/>
          <w:szCs w:val="15"/>
          <w:color w:val="auto"/>
        </w:rPr>
        <w:t>The Company has two grants through the Department of Health and Human Services, National Institutes of Health ("NIH"). The first grant, for an aggregate amount of $8.1 million, was awarded in May 2014 to support research in the development of a next generation vaccine for smoking cessation and relapse prevention. The Company recognized $0.6 million and $2.4 million of revenue for the periods ending December 31, 2014 and 2015, respectively, and $0.4 million and $1.8 million for the three months ended March 31, 2015 and 2016, respectively, under the arrangement.</w:t>
      </w:r>
    </w:p>
    <w:p>
      <w:pPr>
        <w:spacing w:after="0" w:line="162"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The second grant is for an aggregate amount of $0.2 million, which was awarded in September 2015 for the development of nanoparticles for immune tolerance to factor VIII. The company recognized revenue in the amount of $0.1 million for the year ended December 31, 2015 and less than $0.1 million for the three months ended March 31, 2016.</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JDRF</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 Company had two contracts in effect with JDRF during 2014, and only one of those contracts was in effect during 2015. The first contract was a continuation and completion of the 2011 grant for $0.8 million. The Company recognized the remaining $0.2 million of revenue during the year ended December 31, 2014 under this contract. The second JDRF grant is a joint grant with Sanofi entered into in September 2014 for $0.4 million to conduct Type 1 Diabetes research. The Company recognized less than $0.1 million and $0.2 million of revenue related to this contract during the years ended December 31, 2014 and 2015, respectively, and less than $0.1 million and $0.1 million for the three months ended March 31, 2015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Bill and Melinda Gates Foundation</w:t>
      </w:r>
    </w:p>
    <w:p>
      <w:pPr>
        <w:spacing w:after="0" w:line="198" w:lineRule="exact"/>
        <w:rPr>
          <w:sz w:val="20"/>
          <w:szCs w:val="20"/>
          <w:color w:val="auto"/>
        </w:rPr>
      </w:pPr>
    </w:p>
    <w:p>
      <w:pPr>
        <w:ind w:right="240"/>
        <w:spacing w:after="0" w:line="297" w:lineRule="auto"/>
        <w:rPr>
          <w:sz w:val="20"/>
          <w:szCs w:val="20"/>
          <w:color w:val="auto"/>
        </w:rPr>
      </w:pPr>
      <w:r>
        <w:rPr>
          <w:rFonts w:ascii="Arial" w:cs="Arial" w:eastAsia="Arial" w:hAnsi="Arial"/>
          <w:sz w:val="14"/>
          <w:szCs w:val="14"/>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recognized for the years ending December 31, 2014 and 2015 was $0.2 million and $0.6 million, respectively, and was less than $0.1 million and $0.1 million 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64" w:name="page265"/>
    <w:bookmarkEnd w:id="26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2015 and 2016, respectively. Revenue is recognized on a proportional performance basis as it relates to employee time expended on the research, along reimbursement for external costs directly related to, and approved, by the grant terms.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Minpromtorg</w:t>
      </w:r>
    </w:p>
    <w:p>
      <w:pPr>
        <w:spacing w:after="0" w:line="198"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clinical trial was delayed or terminated prior to completion. As a result of the penalty provision, the Company concluded the amounts received under the agreement were not fixed or determinable. Therefore, no revenue has been recognized to date. Through December 31, 2014, the Company received payments totaling approximately $1.4 million, which has been recorded as a contingently repayable grant funding liability in the accompanying consolidated balance sheets. The agreement also required the Company to maintain a deposit in a restricted bank account equal to approximately one year of expected contract payments, which approximates $1.0 million, to cover the potential penalty. The amount is classified as restricted cash in the consolidated balance sheets for the years ended December 31, 2014 and 2015. In January 2016, the deposit was released from the restricted deposit requirement. In 2014, the Company terminated its plan to conduct the clinical trial in Russia subjecting the Company to the penalty obligation.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In February 2015, the Company received an executed final settlement agreement from Minpromtorg that included the repayment of funds previously received by the Company totaling</w:t>
      </w:r>
    </w:p>
    <w:p>
      <w:pPr>
        <w:spacing w:after="0" w:line="2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The first audit period expired on December 31, 2015, and as a result $0.4 million of revenue was recognized for the year ending December 31, 2015. The remaining amount of unrecognized revenue is classified contingent repayable grant funding in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Skolkovo</w:t>
      </w:r>
    </w:p>
    <w:p>
      <w:pPr>
        <w:spacing w:after="0" w:line="198"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received from Skolkovo $1.0 million in 2014, no additional funds were received for the year ending December 31, 2015 and $0.7 million was received for the three months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65" w:name="page266"/>
    <w:bookmarkEnd w:id="26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Skolkovo's audit or the expiration of the audit term.</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Related-party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part of the Series B Preferred and Series D Preferred financings (as described in Note 9), the Company's landlord (the "Landlord") purchased 49,254 shares of Series B Preferred at</w:t>
      </w:r>
    </w:p>
    <w:p>
      <w:pPr>
        <w:spacing w:after="0" w:line="29"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$2.0303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9). The Landlord paid the same price as the price paid by other investors in each of these Preferred Stock purchases.</w:t>
      </w:r>
    </w:p>
    <w:p>
      <w:pPr>
        <w:spacing w:after="0" w:line="163"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The Company incurred expenses for consulting services provided by its founders totaling $0.3 million during each of the years ended December 31, 2014 and 2015, and $0.1 million for each of the three months ended March 31, 2015 and 2016.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Technology license agreements</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On November 25, 2008, the Company entered into an Exclusive Patent License agreement with the Massachusetts Institute of Technology ("MIT"). The Company received an exclusive royalty-bearing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patent-cross-license agreement with BIND Therapeutics, Inc. whereby each party receives a license for the use of the other patents in their respective fields of use. In exchange for this license, the Company paid a one-time expense in 2008.</w:t>
      </w:r>
    </w:p>
    <w:p>
      <w:pPr>
        <w:spacing w:after="0" w:line="167"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In May 2014, the Company entered into a license agreement with Shenyang Sunshine Pharmaceutical Co., Ltd., or 3SBio, which is referred to as the 3SBio License. Pursuant to the 3SBio License, the Company was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66" w:name="page267"/>
    <w:bookmarkEnd w:id="26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therapeutic, diagnostic and prophylactic use. The Company was also granted a co-exclusive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159"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milestone-based payments under the 3SBio License.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country-by-country and product-by-product basis) related to the pegsiticase component of products at percentages ranging from the low-to-mid single digits for products containing the Company's SVP technology, and a range of no more than ten percentage points from the mid-single digits to low double-digits for products without the Company's SVP technology. The Company will pay these royalties to 3SBio, subject to specified reductions,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14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3SBio License expires on the date of expiration of all of the Company's royalty payment obligations unless earlier terminated by either party for an uncured material default or for the other party's bankruptcy. Any such termination by 3SBio for material default may be on a country-by-country or product-by-product basis in certain circumstances. The Company may also terminate the 3SBio License on a country-by-country or product-by-product basis for any reason effective upon 60 days' prior written notice to 3SBio or, with respect to a given product, immediately upon written notice to 3SBio if the Company identifies a safety or efficacy concern related to such product.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Income taxes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67" w:name="page268"/>
    <w:bookmarkEnd w:id="26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For the years ended December 31, 2014 and 2015, the Company did not record a current or deferred income tax expense or benefit. A reconciliation of the Company's effective tax rate to the statutory federal rate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7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2"/>
                <w:szCs w:val="12"/>
                <w:b w:val="1"/>
                <w:bCs w:val="1"/>
                <w:color w:val="auto"/>
              </w:rPr>
              <w:t>2014</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Statutory U.S. federal rate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State income taxes—net of federal benefit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w w:val="86"/>
              </w:rPr>
              <w:t>5.9</w:t>
            </w: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Permanent items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(0.7)</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Research tax credits/others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w w:val="86"/>
              </w:rPr>
              <w:t>1.6</w:t>
            </w: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net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(33.0)</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gridSpan w:val="5"/>
          </w:tcPr>
          <w:p>
            <w:pPr>
              <w:jc w:val="right"/>
              <w:ind w:right="80"/>
              <w:spacing w:after="0"/>
              <w:rPr>
                <w:sz w:val="20"/>
                <w:szCs w:val="20"/>
                <w:color w:val="auto"/>
              </w:rPr>
            </w:pPr>
            <w:r>
              <w:rPr>
                <w:rFonts w:ascii="Arial" w:cs="Arial" w:eastAsia="Arial" w:hAnsi="Arial"/>
                <w:sz w:val="15"/>
                <w:szCs w:val="15"/>
                <w:color w:val="auto"/>
              </w:rPr>
              <w:t>(7.8)</w:t>
            </w:r>
          </w:p>
        </w:tc>
        <w:tc>
          <w:tcPr>
            <w:tcW w:w="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vMerge w:val="continue"/>
          </w:tcPr>
          <w:p>
            <w:pPr>
              <w:spacing w:after="0"/>
              <w:rPr>
                <w:sz w:val="15"/>
                <w:szCs w:val="15"/>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8"/>
        </w:trPr>
        <w:tc>
          <w:tcPr>
            <w:tcW w:w="8740" w:type="dxa"/>
            <w:vAlign w:val="bottom"/>
            <w:gridSpan w:val="4"/>
          </w:tcPr>
          <w:p>
            <w:pPr>
              <w:jc w:val="right"/>
              <w:ind w:right="32"/>
              <w:spacing w:after="0"/>
              <w:rPr>
                <w:sz w:val="20"/>
                <w:szCs w:val="20"/>
                <w:color w:val="auto"/>
              </w:rPr>
            </w:pPr>
            <w:r>
              <w:rPr>
                <w:rFonts w:ascii="Arial" w:cs="Arial" w:eastAsia="Arial" w:hAnsi="Arial"/>
                <w:sz w:val="15"/>
                <w:szCs w:val="15"/>
                <w:color w:val="auto"/>
                <w:w w:val="89"/>
              </w:rPr>
              <w:t>The tax effects of temporary differences that give rise to the Company's net deferred tax assets as of December 31 are as follows (in thousands):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5"/>
          </w:tcPr>
          <w:p>
            <w:pPr>
              <w:jc w:val="right"/>
              <w:ind w:right="14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8"/>
          </w:tcPr>
          <w:p>
            <w:pPr>
              <w:jc w:val="right"/>
              <w:ind w:right="285"/>
              <w:spacing w:after="0" w:line="136"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Net operating loss carryforwards</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22,444</w:t>
            </w: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5"/>
              </w:rPr>
              <w:t>31,958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credits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1,835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2,305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355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Deferred rent and other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2,283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1,582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Patent costs/amortization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Tenant improvement 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Warrant liability</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Gross deferred tax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30,221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5"/>
              </w:rPr>
              <w:t>40,522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140" w:type="dxa"/>
            <w:vAlign w:val="bottom"/>
          </w:tcPr>
          <w:p>
            <w:pPr>
              <w:spacing w:after="0"/>
              <w:rPr>
                <w:sz w:val="24"/>
                <w:szCs w:val="2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Liabilities</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Depreciation</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(388)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Debt discount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Unrealized foreign exchange gain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(1,352)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5"/>
                <w:szCs w:val="15"/>
                <w:color w:val="auto"/>
              </w:rPr>
              <w:t>(1,728)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Gross deferred tax liabilities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Net deferred tax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28,422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5"/>
              </w:rPr>
              <w:t>38,500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(28,422)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89"/>
              </w:rPr>
              <w:t>(38,500)</w:t>
            </w:r>
          </w:p>
        </w:tc>
        <w:tc>
          <w:tcPr>
            <w:tcW w:w="0" w:type="dxa"/>
            <w:vAlign w:val="bottom"/>
          </w:tcPr>
          <w:p>
            <w:pPr>
              <w:spacing w:after="0"/>
              <w:rPr>
                <w:sz w:val="1"/>
                <w:szCs w:val="1"/>
                <w:color w:val="auto"/>
              </w:rPr>
            </w:pPr>
          </w:p>
        </w:tc>
      </w:tr>
      <w:tr>
        <w:trPr>
          <w:trHeight w:val="177"/>
        </w:trPr>
        <w:tc>
          <w:tcPr>
            <w:tcW w:w="8600" w:type="dxa"/>
            <w:vAlign w:val="bottom"/>
            <w:gridSpan w:val="2"/>
          </w:tcPr>
          <w:p>
            <w:pPr>
              <w:ind w:left="1140"/>
              <w:spacing w:after="0"/>
              <w:rPr>
                <w:sz w:val="20"/>
                <w:szCs w:val="20"/>
                <w:color w:val="auto"/>
              </w:rPr>
            </w:pPr>
            <w:r>
              <w:rPr>
                <w:rFonts w:ascii="Arial" w:cs="Arial" w:eastAsia="Arial" w:hAnsi="Arial"/>
                <w:sz w:val="15"/>
                <w:szCs w:val="15"/>
                <w:color w:val="auto"/>
              </w:rPr>
              <w:t>Net deferred tax assets</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The Company has provided a full valuation allowance against its net deferred tax assets, as the Company believes that it is more likely than not that the deferred tax assets will not be realized. 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68" w:name="page269"/>
    <w:bookmarkEnd w:id="26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concluded that it is more likely than not that the Company will not realize the benefit of its deferred tax assets. The valuation allowance increased by $4.3 million and $10.1 million for the years ended December 31, 2014 and 2015, respectively, primarily as a result of an increase in net operating loss. In 2014, the Company's Russian subsidiary was granted a 10 year tax holiday in Russia. As a result, previously reported deferred tax assets were adjusted for the change in tax rate. There has been no change to the tax holiday status for the subsidiary as of December 31, 2015.</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At December 31, 2015, the Company had federal and state net operating loss carryforwards of $82.4 million and $76.3 million, which will expire at various times through 2035. Included in the net operating loss above is approximately $0.2 million related to excess stock option deductions. The Company also has federal and state research and development tax credit carryforwards of $1.6 million and $1.1 million available to reduce future tax liabilities, which will expire at various times through 2035.</w:t>
      </w:r>
    </w:p>
    <w:p>
      <w:pPr>
        <w:spacing w:after="0" w:line="159"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Company applies ASC 740, Income Taxes to uncertain tax positions. As of the adoption date on January 1, 2009 and through December 31, 2015, the Company had no unrecognized tax benefits or related interest and penalties accrued.</w:t>
      </w:r>
    </w:p>
    <w:p>
      <w:pPr>
        <w:spacing w:after="0" w:line="151" w:lineRule="exact"/>
        <w:rPr>
          <w:sz w:val="20"/>
          <w:szCs w:val="20"/>
          <w:color w:val="auto"/>
        </w:rPr>
      </w:pPr>
    </w:p>
    <w:p>
      <w:pPr>
        <w:ind w:right="40"/>
        <w:spacing w:after="0" w:line="319" w:lineRule="auto"/>
        <w:rPr>
          <w:sz w:val="20"/>
          <w:szCs w:val="20"/>
          <w:color w:val="auto"/>
        </w:rPr>
      </w:pPr>
      <w:r>
        <w:rPr>
          <w:rFonts w:ascii="Arial" w:cs="Arial" w:eastAsia="Arial" w:hAnsi="Arial"/>
          <w:sz w:val="13"/>
          <w:szCs w:val="13"/>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3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Interest and penalty charges, if any, related to unrecognized tax benefits would be classified as income tax expense in the accompanying statement of operations and comprehensive loss. As of December 31, 2015, the Company had no accrued interest related to uncertain tax positions.</w:t>
      </w:r>
    </w:p>
    <w:p>
      <w:pPr>
        <w:spacing w:after="0" w:line="15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401(k) Savings Plan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Company maintains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69" w:name="page270"/>
    <w:bookmarkEnd w:id="26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contributions pursuant to the 401(k) Plan's matching formula. All matching contributions vest ratably over 4 years and participant contributions vest immediately.</w:t>
      </w:r>
    </w:p>
    <w:p>
      <w:pPr>
        <w:spacing w:after="0" w:line="198"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Contributions by the Company totaling $0.1 million and $0.1 million for the years ended December 31, 2014 and 2015, respectively, and $0.1 million for each of the three months ended March 31, 2015 and 2016, have been recorded in the consolidated statements of operations and comprehensive loss.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Subsequent Events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 License Agreement</w:t>
      </w:r>
      <w:r>
        <w:rPr>
          <w:rFonts w:ascii="Arial" w:cs="Arial" w:eastAsia="Arial" w:hAnsi="Arial"/>
          <w:sz w:val="15"/>
          <w:szCs w:val="15"/>
          <w:color w:val="auto"/>
        </w:rPr>
        <w:t xml:space="preserve"> (unaudited)</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 May 2016, the Company entered into a license agreement with the Massachusetts Eye and Ear Infirmary and The Schepens Eye Research Institute, Inc., or, collectively, MEE,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w:t>
      </w:r>
    </w:p>
    <w:p>
      <w:pPr>
        <w:spacing w:after="0" w:line="148"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44"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44"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Pursuant to the MEE Agreement, the Company agreed to pay MEE a license fee in the low six figures, annual license maintenance fees ranging from the mid-twenty thousands to mid-seventy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product-by-licensed product basis, totaling up to an aggregate of between $4,175,000 to $37,025,000 and sales milestones on a licensed product-by-licensed product basis, totaling up to an aggregate of between $50,000,000 to $70,000,000; tiered royalties on a licensed product-by-licensed product and country-by-country basis equal to a percentage of net sales ranging from mid-single digits to mid-teens, subject to the prevalence of the targeted disease and certain reductions; and a percentage, in a range expected to be in the mid-teens depending on timing, of any sublicense income the Company receives from sublicensing its rights granted thereunder, subject to certain reductions and exclusions.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0" w:name="page271"/>
    <w:bookmarkEnd w:id="270"/>
    <w:p>
      <w:pPr>
        <w:ind w:left="7"/>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4"/>
          <w:szCs w:val="14"/>
          <w:color w:val="auto"/>
        </w:rPr>
        <w:t>exercise of each option, the Company agreed to pay MEE an option exercise fee ranging from low-six figures to mid-six figures, depending on the prevalence of the targeted disease.</w:t>
      </w:r>
    </w:p>
    <w:p>
      <w:pPr>
        <w:spacing w:after="0" w:line="210" w:lineRule="exact"/>
        <w:rPr>
          <w:sz w:val="20"/>
          <w:szCs w:val="20"/>
          <w:color w:val="auto"/>
        </w:rPr>
      </w:pPr>
    </w:p>
    <w:p>
      <w:pPr>
        <w:ind w:left="7"/>
        <w:spacing w:after="0" w:line="284" w:lineRule="auto"/>
        <w:rPr>
          <w:sz w:val="20"/>
          <w:szCs w:val="20"/>
          <w:color w:val="auto"/>
        </w:rPr>
      </w:pPr>
      <w:r>
        <w:rPr>
          <w:rFonts w:ascii="Arial" w:cs="Arial" w:eastAsia="Arial" w:hAnsi="Arial"/>
          <w:sz w:val="14"/>
          <w:szCs w:val="14"/>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sequence-by-target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u w:val="single" w:color="auto"/>
          <w:color w:val="auto"/>
        </w:rPr>
        <w:t>b) Reverse Stock Split</w:t>
      </w:r>
    </w:p>
    <w:p>
      <w:pPr>
        <w:spacing w:after="0" w:line="198" w:lineRule="exact"/>
        <w:rPr>
          <w:sz w:val="20"/>
          <w:szCs w:val="20"/>
          <w:color w:val="auto"/>
        </w:rPr>
      </w:pPr>
    </w:p>
    <w:p>
      <w:pPr>
        <w:jc w:val="both"/>
        <w:ind w:left="7" w:right="100"/>
        <w:spacing w:after="0" w:line="290" w:lineRule="auto"/>
        <w:rPr>
          <w:sz w:val="20"/>
          <w:szCs w:val="20"/>
          <w:color w:val="auto"/>
        </w:rPr>
      </w:pPr>
      <w:r>
        <w:rPr>
          <w:rFonts w:ascii="Arial" w:cs="Arial" w:eastAsia="Arial" w:hAnsi="Arial"/>
          <w:sz w:val="14"/>
          <w:szCs w:val="14"/>
          <w:color w:val="auto"/>
        </w:rPr>
        <w:t>The Company's Board of Directors and stockholders approved a 1-for-3.9 reverse stock split of the Company's common stock. The reverse stock split became effective on June 7, 2016. All common stock share and per share amounts in the consolidated financial statements and notes thereto have been retroactively adjusted for all periods presented to give effect to this reverse stock split. The shares of common stock retained a par value of $0.0001 per share. Accordingly, the stockholder's deficit reflects the reverse stock split by reclassifying from common stock to additional paid in capital an amount equal to the par value of the decreased shares resulting from the effect of the reverse stock split.</w:t>
      </w:r>
    </w:p>
    <w:p>
      <w:pPr>
        <w:spacing w:after="0" w:line="148" w:lineRule="exact"/>
        <w:rPr>
          <w:sz w:val="20"/>
          <w:szCs w:val="20"/>
          <w:color w:val="auto"/>
        </w:rPr>
      </w:pPr>
    </w:p>
    <w:p>
      <w:pPr>
        <w:ind w:left="147" w:hanging="147"/>
        <w:spacing w:after="0"/>
        <w:tabs>
          <w:tab w:leader="none" w:pos="147" w:val="left"/>
        </w:tabs>
        <w:numPr>
          <w:ilvl w:val="0"/>
          <w:numId w:val="140"/>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Equity Plan</w:t>
      </w:r>
      <w:r>
        <w:rPr>
          <w:rFonts w:ascii="Arial" w:cs="Arial" w:eastAsia="Arial" w:hAnsi="Arial"/>
          <w:sz w:val="15"/>
          <w:szCs w:val="15"/>
          <w:color w:val="auto"/>
        </w:rPr>
        <w:t xml:space="preserve"> (unaudited)</w:t>
      </w:r>
    </w:p>
    <w:p>
      <w:pPr>
        <w:spacing w:after="0" w:line="198"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The Company's Board of Directors adopted and the Company's stockholders approved the Selecta Bioscience, Inc. 2016 incentive plan ("2016 Plan"), which became effective on the date immediately prior to the date of effectiveness of the registration statement on Form S-1 for the Company's initial public offering. The 2016 Plan provides for the grant of incentive stock options, nonstatutory stock options, restricted stock awards, restricted stock units, stock appreciation rights and other stock-based awards. The Company's employees, officers, directors and consultants and advisors are eligible to receive awards under the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71" w:name="page272"/>
    <w:bookmarkEnd w:id="27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130175</wp:posOffset>
            </wp:positionV>
            <wp:extent cx="4699635" cy="11766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699635" cy="117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Until July 16, 2016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71385" cy="203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060"/>
          </w:cols>
          <w:pgMar w:left="240" w:top="132" w:right="599" w:bottom="1440" w:gutter="0" w:footer="0" w:header="0"/>
        </w:sectPr>
      </w:pPr>
    </w:p>
    <w:bookmarkStart w:id="272" w:name="page273"/>
    <w:bookmarkEnd w:id="2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1)"/>
      <w:numFmt w:val="decimal"/>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1)"/>
      <w:numFmt w:val="decimal"/>
      <w:start w:val="1"/>
    </w:lvl>
  </w:abstractNum>
  <w:abstractNum w:abstractNumId="11">
    <w:nsid w:val="613EFDC5"/>
    <w:multiLevelType w:val="hybridMultilevel"/>
    <w:lvl w:ilvl="0">
      <w:lvlJc w:val="left"/>
      <w:lvlText w:val="(%1)"/>
      <w:numFmt w:val="decimal"/>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1)"/>
      <w:numFmt w:val="decimal"/>
      <w:start w:val="4"/>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1)"/>
      <w:numFmt w:val="decimal"/>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1)"/>
      <w:numFmt w:val="decimal"/>
      <w:start w:val="1"/>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1)"/>
      <w:numFmt w:val="lowerRoman"/>
      <w:start w:val="4"/>
    </w:lvl>
  </w:abstractNum>
  <w:abstractNum w:abstractNumId="59">
    <w:nsid w:val="6A5F7029"/>
    <w:multiLevelType w:val="hybridMultilevel"/>
    <w:lvl w:ilvl="0">
      <w:lvlJc w:val="left"/>
      <w:lvlText w:val="(%1)"/>
      <w:numFmt w:val="decimal"/>
      <w:start w:val="1"/>
    </w:lvl>
  </w:abstractNum>
  <w:abstractNum w:abstractNumId="60">
    <w:nsid w:val="7D5E18F8"/>
    <w:multiLevelType w:val="hybridMultilevel"/>
    <w:lvl w:ilvl="0">
      <w:lvlJc w:val="left"/>
      <w:lvlText w:val="(%1)"/>
      <w:numFmt w:val="decimal"/>
      <w:start w:val="2"/>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1)"/>
      <w:numFmt w:val="decimal"/>
      <w:start w:val="1"/>
    </w:lvl>
  </w:abstractNum>
  <w:abstractNum w:abstractNumId="65">
    <w:nsid w:val="3FA62ACA"/>
    <w:multiLevelType w:val="hybridMultilevel"/>
    <w:lvl w:ilvl="0">
      <w:lvlJc w:val="left"/>
      <w:lvlText w:val="(%1)"/>
      <w:numFmt w:val="decimal"/>
      <w:start w:val="2"/>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1."/>
      <w:numFmt w:val="decimal"/>
      <w:start w:val="212"/>
    </w:lvl>
  </w:abstractNum>
  <w:abstractNum w:abstractNumId="68">
    <w:nsid w:val="71C91298"/>
    <w:multiLevelType w:val="hybridMultilevel"/>
    <w:lvl w:ilvl="0">
      <w:lvlJc w:val="left"/>
      <w:lvlText w:val="(%1)"/>
      <w:numFmt w:val="lowerRoman"/>
      <w:start w:val="1"/>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
      <w:numFmt w:val="bullet"/>
      <w:start w:val="1"/>
    </w:lvl>
  </w:abstractNum>
  <w:abstractNum w:abstractNumId="78">
    <w:nsid w:val="97E1B4E"/>
    <w:multiLevelType w:val="hybridMultilevel"/>
    <w:lvl w:ilvl="0">
      <w:lvlJc w:val="left"/>
      <w:lvlText w:val="•"/>
      <w:numFmt w:val="bullet"/>
      <w:start w:val="1"/>
    </w:lvl>
  </w:abstractNum>
  <w:abstractNum w:abstractNumId="79">
    <w:nsid w:val="51088277"/>
    <w:multiLevelType w:val="hybridMultilevel"/>
    <w:lvl w:ilvl="0">
      <w:lvlJc w:val="left"/>
      <w:lvlText w:val="•"/>
      <w:numFmt w:val="bullet"/>
      <w:start w:val="1"/>
    </w:lvl>
  </w:abstractNum>
  <w:abstractNum w:abstractNumId="80">
    <w:nsid w:val="1CA0C5FA"/>
    <w:multiLevelType w:val="hybridMultilevel"/>
    <w:lvl w:ilvl="0">
      <w:lvlJc w:val="left"/>
      <w:lvlText w:val="•"/>
      <w:numFmt w:val="bullet"/>
      <w:start w:val="1"/>
    </w:lvl>
  </w:abstractNum>
  <w:abstractNum w:abstractNumId="81">
    <w:nsid w:val="53584BCB"/>
    <w:multiLevelType w:val="hybridMultilevel"/>
    <w:lvl w:ilvl="0">
      <w:lvlJc w:val="left"/>
      <w:lvlText w:val="•"/>
      <w:numFmt w:val="bullet"/>
      <w:start w:val="1"/>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
      <w:numFmt w:val="bullet"/>
      <w:start w:val="1"/>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
      <w:numFmt w:val="bullet"/>
      <w:start w:val="1"/>
    </w:lvl>
  </w:abstractNum>
  <w:abstractNum w:abstractNumId="87">
    <w:nsid w:val="E7FFA2B"/>
    <w:multiLevelType w:val="hybridMultilevel"/>
    <w:lvl w:ilvl="0">
      <w:lvlJc w:val="left"/>
      <w:lvlText w:val="•"/>
      <w:numFmt w:val="bullet"/>
      <w:start w:val="1"/>
    </w:lvl>
  </w:abstractNum>
  <w:abstractNum w:abstractNumId="88">
    <w:nsid w:val="3C5991AA"/>
    <w:multiLevelType w:val="hybridMultilevel"/>
    <w:lvl w:ilvl="0">
      <w:lvlJc w:val="left"/>
      <w:lvlText w:val="•"/>
      <w:numFmt w:val="bullet"/>
      <w:start w:val="1"/>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
      <w:numFmt w:val="bullet"/>
      <w:start w:val="1"/>
    </w:lvl>
  </w:abstractNum>
  <w:abstractNum w:abstractNumId="91">
    <w:nsid w:val="39B7AAA2"/>
    <w:multiLevelType w:val="hybridMultilevel"/>
    <w:lvl w:ilvl="0">
      <w:lvlJc w:val="left"/>
      <w:lvlText w:val="•"/>
      <w:numFmt w:val="bullet"/>
      <w:start w:val="1"/>
    </w:lvl>
    <w:lvl w:ilvl="1">
      <w:lvlJc w:val="left"/>
      <w:lvlText w:val="•"/>
      <w:numFmt w:val="bullet"/>
      <w:start w:val="1"/>
    </w:lvl>
  </w:abstractNum>
  <w:abstractNum w:abstractNumId="92">
    <w:nsid w:val="2B0D8DBE"/>
    <w:multiLevelType w:val="hybridMultilevel"/>
    <w:lvl w:ilvl="0">
      <w:lvlJc w:val="left"/>
      <w:lvlText w:val="(%1)"/>
      <w:numFmt w:val="decimal"/>
      <w:start w:val="1"/>
    </w:lvl>
  </w:abstractNum>
  <w:abstractNum w:abstractNumId="93">
    <w:nsid w:val="6C80EC70"/>
    <w:multiLevelType w:val="hybridMultilevel"/>
    <w:lvl w:ilvl="0">
      <w:lvlJc w:val="left"/>
      <w:lvlText w:val="•"/>
      <w:numFmt w:val="bullet"/>
      <w:start w:val="1"/>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
      <w:numFmt w:val="bullet"/>
      <w:start w:val="1"/>
    </w:lvl>
  </w:abstractNum>
  <w:abstractNum w:abstractNumId="96">
    <w:nsid w:val="2C27173B"/>
    <w:multiLevelType w:val="hybridMultilevel"/>
    <w:lvl w:ilvl="0">
      <w:lvlJc w:val="left"/>
      <w:lvlText w:val="•"/>
      <w:numFmt w:val="bullet"/>
      <w:start w:val="1"/>
    </w:lvl>
  </w:abstractNum>
  <w:abstractNum w:abstractNumId="97">
    <w:nsid w:val="4C9B0904"/>
    <w:multiLevelType w:val="hybridMultilevel"/>
    <w:lvl w:ilvl="0">
      <w:lvlJc w:val="left"/>
      <w:lvlText w:val="(%1)"/>
      <w:numFmt w:val="lowerLetter"/>
      <w:start w:val="2"/>
    </w:lvl>
  </w:abstractNum>
  <w:abstractNum w:abstractNumId="98">
    <w:nsid w:val="6AA7B75C"/>
    <w:multiLevelType w:val="hybridMultilevel"/>
    <w:lvl w:ilvl="0">
      <w:lvlJc w:val="left"/>
      <w:lvlText w:val="•"/>
      <w:numFmt w:val="bullet"/>
      <w:start w:val="1"/>
    </w:lvl>
  </w:abstractNum>
  <w:abstractNum w:abstractNumId="99">
    <w:nsid w:val="1DF029D3"/>
    <w:multiLevelType w:val="hybridMultilevel"/>
    <w:lvl w:ilvl="0">
      <w:lvlJc w:val="left"/>
      <w:lvlText w:val="(%1)"/>
      <w:numFmt w:val="decimal"/>
      <w:start w:val="1"/>
    </w:lvl>
  </w:abstractNum>
  <w:abstractNum w:abstractNumId="100">
    <w:nsid w:val="5675FF36"/>
    <w:multiLevelType w:val="hybridMultilevel"/>
    <w:lvl w:ilvl="0">
      <w:lvlJc w:val="left"/>
      <w:lvlText w:val="•"/>
      <w:numFmt w:val="bullet"/>
      <w:start w:val="1"/>
    </w:lvl>
  </w:abstractNum>
  <w:abstractNum w:abstractNumId="101">
    <w:nsid w:val="3DD15094"/>
    <w:multiLevelType w:val="hybridMultilevel"/>
    <w:lvl w:ilvl="0">
      <w:lvlJc w:val="left"/>
      <w:lvlText w:val="•"/>
      <w:numFmt w:val="bullet"/>
      <w:start w:val="1"/>
    </w:lvl>
  </w:abstractNum>
  <w:abstractNum w:abstractNumId="102">
    <w:nsid w:val="3DB012B3"/>
    <w:multiLevelType w:val="hybridMultilevel"/>
    <w:lvl w:ilvl="0">
      <w:lvlJc w:val="left"/>
      <w:lvlText w:val="•"/>
      <w:numFmt w:val="bullet"/>
      <w:start w:val="1"/>
    </w:lvl>
  </w:abstractNum>
  <w:abstractNum w:abstractNumId="103">
    <w:nsid w:val="2708C9AF"/>
    <w:multiLevelType w:val="hybridMultilevel"/>
    <w:lvl w:ilvl="0">
      <w:lvlJc w:val="left"/>
      <w:lvlText w:val="•"/>
      <w:numFmt w:val="bullet"/>
      <w:start w:val="1"/>
    </w:lvl>
  </w:abstractNum>
  <w:abstractNum w:abstractNumId="104">
    <w:nsid w:val="5B25ACE2"/>
    <w:multiLevelType w:val="hybridMultilevel"/>
    <w:lvl w:ilvl="0">
      <w:lvlJc w:val="left"/>
      <w:lvlText w:val="•"/>
      <w:numFmt w:val="bullet"/>
      <w:start w:val="1"/>
    </w:lvl>
  </w:abstractNum>
  <w:abstractNum w:abstractNumId="105">
    <w:nsid w:val="175DFCF0"/>
    <w:multiLevelType w:val="hybridMultilevel"/>
    <w:lvl w:ilvl="0">
      <w:lvlJc w:val="left"/>
      <w:lvlText w:val="•"/>
      <w:numFmt w:val="bullet"/>
      <w:start w:val="1"/>
    </w:lvl>
  </w:abstractNum>
  <w:abstractNum w:abstractNumId="106">
    <w:nsid w:val="4F97E3E4"/>
    <w:multiLevelType w:val="hybridMultilevel"/>
    <w:lvl w:ilvl="0">
      <w:lvlJc w:val="left"/>
      <w:lvlText w:val="•"/>
      <w:numFmt w:val="bullet"/>
      <w:start w:val="1"/>
    </w:lvl>
  </w:abstractNum>
  <w:abstractNum w:abstractNumId="107">
    <w:nsid w:val="53B0A9E"/>
    <w:multiLevelType w:val="hybridMultilevel"/>
    <w:lvl w:ilvl="0">
      <w:lvlJc w:val="left"/>
      <w:lvlText w:val="(%1)"/>
      <w:numFmt w:val="decimal"/>
      <w:start w:val="1"/>
    </w:lvl>
  </w:abstractNum>
  <w:abstractNum w:abstractNumId="108">
    <w:nsid w:val="34FD6B4F"/>
    <w:multiLevelType w:val="hybridMultilevel"/>
    <w:lvl w:ilvl="0">
      <w:lvlJc w:val="left"/>
      <w:lvlText w:val="(%1)"/>
      <w:numFmt w:val="decimal"/>
      <w:start w:val="1"/>
    </w:lvl>
  </w:abstractNum>
  <w:abstractNum w:abstractNumId="109">
    <w:nsid w:val="5915FF32"/>
    <w:multiLevelType w:val="hybridMultilevel"/>
    <w:lvl w:ilvl="0">
      <w:lvlJc w:val="left"/>
      <w:lvlText w:val="•"/>
      <w:numFmt w:val="bullet"/>
      <w:start w:val="1"/>
    </w:lvl>
  </w:abstractNum>
  <w:abstractNum w:abstractNumId="110">
    <w:nsid w:val="56438D15"/>
    <w:multiLevelType w:val="hybridMultilevel"/>
    <w:lvl w:ilvl="0">
      <w:lvlJc w:val="left"/>
      <w:lvlText w:val="•"/>
      <w:numFmt w:val="bullet"/>
      <w:start w:val="1"/>
    </w:lvl>
  </w:abstractNum>
  <w:abstractNum w:abstractNumId="111">
    <w:nsid w:val="519E3149"/>
    <w:multiLevelType w:val="hybridMultilevel"/>
    <w:lvl w:ilvl="0">
      <w:lvlJc w:val="left"/>
      <w:lvlText w:val="(%1)"/>
      <w:numFmt w:val="decimal"/>
      <w:start w:val="4"/>
    </w:lvl>
  </w:abstractNum>
  <w:abstractNum w:abstractNumId="112">
    <w:nsid w:val="2C6E4AFD"/>
    <w:multiLevelType w:val="hybridMultilevel"/>
    <w:lvl w:ilvl="0">
      <w:lvlJc w:val="left"/>
      <w:lvlText w:val="(%1)"/>
      <w:numFmt w:val="decimal"/>
      <w:start w:val="1"/>
    </w:lvl>
  </w:abstractNum>
  <w:abstractNum w:abstractNumId="113">
    <w:nsid w:val="17A1B582"/>
    <w:multiLevelType w:val="hybridMultilevel"/>
    <w:lvl w:ilvl="0">
      <w:lvlJc w:val="left"/>
      <w:lvlText w:val="(%1)"/>
      <w:numFmt w:val="decimal"/>
      <w:start w:val="1"/>
    </w:lvl>
  </w:abstractNum>
  <w:abstractNum w:abstractNumId="114">
    <w:nsid w:val="4DF72E4E"/>
    <w:multiLevelType w:val="hybridMultilevel"/>
    <w:lvl w:ilvl="0">
      <w:lvlJc w:val="left"/>
      <w:lvlText w:val="•"/>
      <w:numFmt w:val="bullet"/>
      <w:start w:val="1"/>
    </w:lvl>
  </w:abstractNum>
  <w:abstractNum w:abstractNumId="115">
    <w:nsid w:val="5046B5A9"/>
    <w:multiLevelType w:val="hybridMultilevel"/>
    <w:lvl w:ilvl="0">
      <w:lvlJc w:val="left"/>
      <w:lvlText w:val="•"/>
      <w:numFmt w:val="bullet"/>
      <w:start w:val="1"/>
    </w:lvl>
    <w:lvl w:ilvl="1">
      <w:lvlJc w:val="left"/>
      <w:lvlText w:val="•"/>
      <w:numFmt w:val="bullet"/>
      <w:start w:val="1"/>
    </w:lvl>
  </w:abstractNum>
  <w:abstractNum w:abstractNumId="116">
    <w:nsid w:val="5D888A08"/>
    <w:multiLevelType w:val="hybridMultilevel"/>
    <w:lvl w:ilvl="0">
      <w:lvlJc w:val="left"/>
      <w:lvlText w:val="(%1)"/>
      <w:numFmt w:val="decimal"/>
      <w:start w:val="1"/>
    </w:lvl>
  </w:abstractNum>
  <w:abstractNum w:abstractNumId="117">
    <w:nsid w:val="2A082C70"/>
    <w:multiLevelType w:val="hybridMultilevel"/>
    <w:lvl w:ilvl="0">
      <w:lvlJc w:val="left"/>
      <w:lvlText w:val="(%1)"/>
      <w:numFmt w:val="decimal"/>
      <w:start w:val="3"/>
    </w:lvl>
  </w:abstractNum>
  <w:abstractNum w:abstractNumId="118">
    <w:nsid w:val="5EC6AFD4"/>
    <w:multiLevelType w:val="hybridMultilevel"/>
    <w:lvl w:ilvl="0">
      <w:lvlJc w:val="left"/>
      <w:lvlText w:val="(%1)"/>
      <w:numFmt w:val="decimal"/>
      <w:start w:val="1"/>
    </w:lvl>
  </w:abstractNum>
  <w:abstractNum w:abstractNumId="119">
    <w:nsid w:val="19E21BB2"/>
    <w:multiLevelType w:val="hybridMultilevel"/>
    <w:lvl w:ilvl="0">
      <w:lvlJc w:val="left"/>
      <w:lvlText w:val="•"/>
      <w:numFmt w:val="bullet"/>
      <w:start w:val="1"/>
    </w:lvl>
  </w:abstractNum>
  <w:abstractNum w:abstractNumId="120">
    <w:nsid w:val="75E0858A"/>
    <w:multiLevelType w:val="hybridMultilevel"/>
    <w:lvl w:ilvl="0">
      <w:lvlJc w:val="left"/>
      <w:lvlText w:val="*"/>
      <w:numFmt w:val="bullet"/>
      <w:start w:val="1"/>
    </w:lvl>
  </w:abstractNum>
  <w:abstractNum w:abstractNumId="121">
    <w:nsid w:val="57A61A29"/>
    <w:multiLevelType w:val="hybridMultilevel"/>
    <w:lvl w:ilvl="0">
      <w:lvlJc w:val="left"/>
      <w:lvlText w:val="(%1)"/>
      <w:numFmt w:val="decimal"/>
      <w:start w:val="1"/>
    </w:lvl>
  </w:abstractNum>
  <w:abstractNum w:abstractNumId="122">
    <w:nsid w:val="5399C654"/>
    <w:multiLevelType w:val="hybridMultilevel"/>
    <w:lvl w:ilvl="0">
      <w:lvlJc w:val="left"/>
      <w:lvlText w:val="(%1)"/>
      <w:numFmt w:val="decimal"/>
      <w:start w:val="3"/>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
      <w:numFmt w:val="bullet"/>
      <w:start w:val="1"/>
    </w:lvl>
  </w:abstractNum>
  <w:abstractNum w:abstractNumId="125">
    <w:nsid w:val="B37E80A"/>
    <w:multiLevelType w:val="hybridMultilevel"/>
    <w:lvl w:ilvl="0">
      <w:lvlJc w:val="left"/>
      <w:lvlText w:val="•"/>
      <w:numFmt w:val="bullet"/>
      <w:start w:val="1"/>
    </w:lvl>
  </w:abstractNum>
  <w:abstractNum w:abstractNumId="126">
    <w:nsid w:val="2157F6BC"/>
    <w:multiLevelType w:val="hybridMultilevel"/>
    <w:lvl w:ilvl="0">
      <w:lvlJc w:val="left"/>
      <w:lvlText w:val="•"/>
      <w:numFmt w:val="bullet"/>
      <w:start w:val="1"/>
    </w:lvl>
  </w:abstractNum>
  <w:abstractNum w:abstractNumId="127">
    <w:nsid w:val="704E1DD5"/>
    <w:multiLevelType w:val="hybridMultilevel"/>
    <w:lvl w:ilvl="0">
      <w:lvlJc w:val="left"/>
      <w:lvlText w:val="•"/>
      <w:numFmt w:val="bullet"/>
      <w:start w:val="1"/>
    </w:lvl>
  </w:abstractNum>
  <w:abstractNum w:abstractNumId="128">
    <w:nsid w:val="57D2F10E"/>
    <w:multiLevelType w:val="hybridMultilevel"/>
    <w:lvl w:ilvl="0">
      <w:lvlJc w:val="left"/>
      <w:lvlText w:val="(%1)"/>
      <w:numFmt w:val="lowerRoman"/>
      <w:start w:val="2"/>
    </w:lvl>
  </w:abstractNum>
  <w:abstractNum w:abstractNumId="129">
    <w:nsid w:val="BFFAE18"/>
    <w:multiLevelType w:val="hybridMultilevel"/>
    <w:lvl w:ilvl="0">
      <w:lvlJc w:val="left"/>
      <w:lvlText w:val="•"/>
      <w:numFmt w:val="bullet"/>
      <w:start w:val="1"/>
    </w:lvl>
  </w:abstractNum>
  <w:abstractNum w:abstractNumId="130">
    <w:nsid w:val="E3E47A8"/>
    <w:multiLevelType w:val="hybridMultilevel"/>
    <w:lvl w:ilvl="0">
      <w:lvlJc w:val="left"/>
      <w:lvlText w:val="•"/>
      <w:numFmt w:val="bullet"/>
      <w:start w:val="1"/>
    </w:lvl>
  </w:abstractNum>
  <w:abstractNum w:abstractNumId="131">
    <w:nsid w:val="2E48F044"/>
    <w:multiLevelType w:val="hybridMultilevel"/>
    <w:lvl w:ilvl="0">
      <w:lvlJc w:val="left"/>
      <w:lvlText w:val="•"/>
      <w:numFmt w:val="bullet"/>
      <w:start w:val="1"/>
    </w:lvl>
  </w:abstractNum>
  <w:abstractNum w:abstractNumId="132">
    <w:nsid w:val="49D0FEAC"/>
    <w:multiLevelType w:val="hybridMultilevel"/>
    <w:lvl w:ilvl="0">
      <w:lvlJc w:val="left"/>
      <w:lvlText w:val="•"/>
      <w:numFmt w:val="bullet"/>
      <w:start w:val="1"/>
    </w:lvl>
  </w:abstractNum>
  <w:abstractNum w:abstractNumId="133">
    <w:nsid w:val="4BEE5A5B"/>
    <w:multiLevelType w:val="hybridMultilevel"/>
    <w:lvl w:ilvl="0">
      <w:lvlJc w:val="left"/>
      <w:lvlText w:val="(%1)"/>
      <w:numFmt w:val="lowerLetter"/>
      <w:start w:val="1"/>
    </w:lvl>
  </w:abstractNum>
  <w:abstractNum w:abstractNumId="134">
    <w:nsid w:val="5551B9F3"/>
    <w:multiLevelType w:val="hybridMultilevel"/>
    <w:lvl w:ilvl="0">
      <w:lvlJc w:val="left"/>
      <w:lvlText w:val="(%1)"/>
      <w:numFmt w:val="lowerLetter"/>
      <w:start w:val="1"/>
    </w:lvl>
    <w:lvl w:ilvl="1">
      <w:lvlJc w:val="left"/>
      <w:lvlText w:val="(%2)"/>
      <w:numFmt w:val="decimal"/>
      <w:start w:val="1"/>
    </w:lvl>
  </w:abstractNum>
  <w:abstractNum w:abstractNumId="135">
    <w:nsid w:val="24F6AB8E"/>
    <w:multiLevelType w:val="hybridMultilevel"/>
    <w:lvl w:ilvl="0">
      <w:lvlJc w:val="left"/>
      <w:lvlText w:val="%1."/>
      <w:numFmt w:val="decimal"/>
      <w:start w:val="2"/>
    </w:lvl>
  </w:abstractNum>
  <w:abstractNum w:abstractNumId="136">
    <w:nsid w:val="634C574C"/>
    <w:multiLevelType w:val="hybridMultilevel"/>
    <w:lvl w:ilvl="0">
      <w:lvlJc w:val="left"/>
      <w:lvlText w:val="•"/>
      <w:numFmt w:val="bullet"/>
      <w:start w:val="1"/>
    </w:lvl>
  </w:abstractNum>
  <w:abstractNum w:abstractNumId="137">
    <w:nsid w:val="24E99DD7"/>
    <w:multiLevelType w:val="hybridMultilevel"/>
    <w:lvl w:ilvl="0">
      <w:lvlJc w:val="left"/>
      <w:lvlText w:val="(%1)"/>
      <w:numFmt w:val="lowerRoman"/>
      <w:start w:val="2"/>
    </w:lvl>
  </w:abstractNum>
  <w:abstractNum w:abstractNumId="138">
    <w:nsid w:val="2A31B62D"/>
    <w:multiLevelType w:val="hybridMultilevel"/>
    <w:lvl w:ilvl="0">
      <w:lvlJc w:val="left"/>
      <w:lvlText w:val="%1."/>
      <w:numFmt w:val="decimal"/>
      <w:start w:val="12"/>
    </w:lvl>
  </w:abstractNum>
  <w:abstractNum w:abstractNumId="139">
    <w:nsid w:val="1849C29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jpeg"/><Relationship Id="rId831" Type="http://schemas.openxmlformats.org/officeDocument/2006/relationships/image" Target="media/image8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2019-12-08T19:04:41Z</dcterms:created>
  <dcterms:modified xsi:type="dcterms:W3CDTF">2019-12-08T19:04:41Z</dcterms:modified>
</cp:coreProperties>
</file>