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23,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001-37798</w:t>
            </w:r>
          </w:p>
        </w:tc>
        <w:tc>
          <w:tcPr>
            <w:tcW w:w="194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8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3"/>
              </w:rPr>
              <w:t>(Commission</w:t>
            </w:r>
          </w:p>
        </w:tc>
        <w:tc>
          <w:tcPr>
            <w:tcW w:w="1940" w:type="dxa"/>
            <w:vAlign w:val="bottom"/>
          </w:tcPr>
          <w:p>
            <w:pPr>
              <w:jc w:val="center"/>
              <w:ind w:left="51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80" w:type="dxa"/>
            <w:vAlign w:val="bottom"/>
          </w:tcPr>
          <w:p>
            <w:pPr>
              <w:jc w:val="center"/>
              <w:ind w:right="150"/>
              <w:spacing w:after="0"/>
              <w:rPr>
                <w:sz w:val="20"/>
                <w:szCs w:val="20"/>
                <w:color w:val="auto"/>
              </w:rPr>
            </w:pPr>
            <w:r>
              <w:rPr>
                <w:rFonts w:ascii="Arial" w:cs="Arial" w:eastAsia="Arial" w:hAnsi="Arial"/>
                <w:sz w:val="18"/>
                <w:szCs w:val="18"/>
                <w:color w:val="auto"/>
                <w:w w:val="94"/>
              </w:rPr>
              <w:t>File Number)</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r>
        <w:trPr>
          <w:trHeight w:val="646"/>
        </w:trPr>
        <w:tc>
          <w:tcPr>
            <w:tcW w:w="2460" w:type="dxa"/>
            <w:vAlign w:val="bottom"/>
          </w:tcPr>
          <w:p>
            <w:pPr>
              <w:spacing w:after="0"/>
              <w:rPr>
                <w:sz w:val="24"/>
                <w:szCs w:val="24"/>
                <w:color w:val="auto"/>
              </w:rPr>
            </w:pPr>
          </w:p>
        </w:tc>
        <w:tc>
          <w:tcPr>
            <w:tcW w:w="4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4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ind w:left="680"/>
              <w:spacing w:after="0"/>
              <w:rPr>
                <w:sz w:val="20"/>
                <w:szCs w:val="20"/>
                <w:color w:val="auto"/>
              </w:rPr>
            </w:pPr>
            <w:r>
              <w:rPr>
                <w:rFonts w:ascii="Arial" w:cs="Arial" w:eastAsia="Arial" w:hAnsi="Arial"/>
                <w:sz w:val="18"/>
                <w:szCs w:val="18"/>
                <w:color w:val="auto"/>
              </w:rPr>
              <w:t>(Address of principal executive offices) (Zip Code)</w:t>
            </w:r>
          </w:p>
        </w:tc>
        <w:tc>
          <w:tcPr>
            <w:tcW w:w="194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(617) 923-1400</w:t>
            </w:r>
          </w:p>
        </w:tc>
        <w:tc>
          <w:tcPr>
            <w:tcW w:w="194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59"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9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50" w:type="dxa"/>
        <w:tblCellMar>
          <w:top w:w="0" w:type="dxa"/>
          <w:left w:w="0" w:type="dxa"/>
          <w:bottom w:w="0" w:type="dxa"/>
          <w:right w:w="0" w:type="dxa"/>
        </w:tblCellMar>
      </w:tblPr>
      <w:tr>
        <w:trPr>
          <w:trHeight w:val="22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ind w:right="2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On June 23, 2021, the Board of Directors (the “Board”) of Selecta Biosciences, Inc. (the “Company”) appointed Nishan de Silva, M.D., M.B.A. as a Class III director, and expanded the size of the Board to nine directors. Dr. de Silva has been appointed to serve until the Company’s annual meeting of stockholders to be held in 2022 and until his successor is duly elected and qualified or his earlier death, disqualification, resignation or removal.</w:t>
      </w:r>
    </w:p>
    <w:p>
      <w:pPr>
        <w:spacing w:after="0" w:line="162" w:lineRule="exact"/>
        <w:rPr>
          <w:sz w:val="20"/>
          <w:szCs w:val="20"/>
          <w:color w:val="auto"/>
        </w:rPr>
      </w:pPr>
    </w:p>
    <w:p>
      <w:pPr>
        <w:ind w:firstLine="324"/>
        <w:spacing w:after="0" w:line="214" w:lineRule="auto"/>
        <w:rPr>
          <w:sz w:val="20"/>
          <w:szCs w:val="20"/>
          <w:color w:val="auto"/>
        </w:rPr>
      </w:pPr>
      <w:r>
        <w:rPr>
          <w:rFonts w:ascii="Arial" w:cs="Arial" w:eastAsia="Arial" w:hAnsi="Arial"/>
          <w:sz w:val="18"/>
          <w:szCs w:val="18"/>
          <w:color w:val="auto"/>
        </w:rPr>
        <w:t>Dr. de Silva, age 48, has served as Chief Executive Officer of AFYX Therapeutics, a private biotechnology company since April 2018, and has served as a director at AFYX Therapeutics since May 2020. Previously, Dr. de Silva served as President, Chief Operating Officer, and director of Poseida Therapeutics, a private gene therapy-focused biopharmaceutical company, from June 2015 to March 2018. Dr. de Silva also previously served as Vice President, Finance and Strategy, and Chief Financial Officer at Ligand Pharmaceuticals. Dr. de Silva graduated Summa Cum Laude with a Bachelor of Arts degree in Biology from Harvard University, and received his M.D. degree from the University of Pennsylvania School of Medicine, as well as an M.B.A. degree from The Wharton School of the University of Pennsylvania.</w:t>
      </w:r>
    </w:p>
    <w:p>
      <w:pPr>
        <w:spacing w:after="0" w:line="189" w:lineRule="exact"/>
        <w:rPr>
          <w:sz w:val="20"/>
          <w:szCs w:val="20"/>
          <w:color w:val="auto"/>
        </w:rPr>
      </w:pPr>
    </w:p>
    <w:p>
      <w:pPr>
        <w:ind w:right="140" w:firstLine="324"/>
        <w:spacing w:after="0" w:line="244" w:lineRule="auto"/>
        <w:rPr>
          <w:sz w:val="20"/>
          <w:szCs w:val="20"/>
          <w:color w:val="auto"/>
        </w:rPr>
      </w:pPr>
      <w:r>
        <w:rPr>
          <w:rFonts w:ascii="Arial" w:cs="Arial" w:eastAsia="Arial" w:hAnsi="Arial"/>
          <w:sz w:val="16"/>
          <w:szCs w:val="16"/>
          <w:color w:val="auto"/>
        </w:rPr>
        <w:t>Dr. de Silva is eligible to participate in the Company’s Non-Employee Director Compensation Plan, which provides for an annual retainer of $40,000 for his Board service, and an initial award of options to purchase 80,000 shares of the Company’s common stock (the “Initial Award”). The Initial Award has an exercise price equal to $4.57 per share, the fair market value of a share of the Company’s common stock on the date of grant, and will vest and become exercisable in 36 substantially equal monthly installments following the date of grant, subject to Dr. de Silva’s continued service on the Board through each such vesting date. Dr. de Silva has also entered into the Company’s standard indemnification agreement for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834390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Arial" w:cs="Arial" w:eastAsia="Arial" w:hAnsi="Arial"/>
                <w:sz w:val="18"/>
                <w:szCs w:val="18"/>
                <w:color w:val="auto"/>
              </w:rPr>
              <w:t>SELECTA BIOSCIENCES, INC.</w:t>
            </w:r>
          </w:p>
        </w:tc>
      </w:tr>
      <w:tr>
        <w:trPr>
          <w:trHeight w:val="688"/>
        </w:trPr>
        <w:tc>
          <w:tcPr>
            <w:tcW w:w="3460" w:type="dxa"/>
            <w:vAlign w:val="bottom"/>
          </w:tcPr>
          <w:p>
            <w:pPr>
              <w:spacing w:after="0"/>
              <w:rPr>
                <w:sz w:val="20"/>
                <w:szCs w:val="20"/>
                <w:color w:val="auto"/>
              </w:rPr>
            </w:pPr>
            <w:r>
              <w:rPr>
                <w:rFonts w:ascii="Arial" w:cs="Arial" w:eastAsia="Arial" w:hAnsi="Arial"/>
                <w:sz w:val="18"/>
                <w:szCs w:val="18"/>
                <w:color w:val="auto"/>
              </w:rPr>
              <w:t>Date: June 24, 2021</w:t>
            </w: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4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8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2021-06-24T07:18:08Z</dcterms:created>
  <dcterms:modified xsi:type="dcterms:W3CDTF">2021-06-24T07:18:08Z</dcterms:modified>
</cp:coreProperties>
</file>