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47253745.xml.htm"/>
      <w:bookmarkStart w:id="1" w:name="kswkform4_174725374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English Emily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CARTESIAN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7495 NEW HORIZON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FREDERICK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21703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Cartesian Therapeutics, Inc.</w:t>
              </w:r>
            </w:hyperlink>
            <w:r>
              <w:rPr/>
              <w:t xml:space="preserve"> [ </w:t>
            </w:r>
            <w:r>
              <w:rPr>
                <w:rFonts w:ascii="Times;serif" w:hAnsi="Times;serif"/>
                <w:color w:val="0000FF"/>
                <w:sz w:val="24"/>
                <w:shd w:fill="FFFFFF" w:val="clear"/>
              </w:rPr>
              <w:t>RNAC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Operations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05/12/2025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05/12/2025</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w:t>
            </w:r>
            <w:r>
              <w:rPr/>
              <w:t xml:space="preserve"> </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55,226</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05/12/2025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04/25/2031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34,369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options are currently fully vested and exercisable.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November 13, 2023, the issuer acquired the Delaware corporation which was then-known as Cartesian Therapeutics, Inc. ("Old Cartesian") in accordance with the terms of an Agreement and Plan of Merger, dated November 13, 2023. Options to purchase Old Cartesian common stock held by the reporting person were converted into options to purchase shares of the issuer's common stock in connection with the merger.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Bartholomae, Attorney-in-Fact for Emily English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05/14/2025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19791" TargetMode="External"/><Relationship Id="rId5" Type="http://schemas.openxmlformats.org/officeDocument/2006/relationships/hyperlink" Target="http://www.sec.gov/cgi-bin/browse-edgar?action=getcompany&amp;CIK=00014536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658</Words>
  <Characters>3596</Characters>
  <CharactersWithSpaces>4181</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