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7, 2024</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7495 New Horizon Way, Frederick, MD 21703</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(301) 348-8698</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On November 7, 2024, Cartesian Therapeutics, Inc. (the “Company”) announced its financial results for the quarter ended September 30, 2024. The full text of the press release issued in connection with the announcement is furnished as Exhibit 99.1 to this Current Report on Form 8-K.</w:t>
      </w:r>
    </w:p>
    <w:p>
      <w:pPr>
        <w:spacing w:after="0" w:line="54"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420" w:type="dxa"/>
            <w:vAlign w:val="bottom"/>
            <w:gridSpan w:val="2"/>
            <w:vMerge w:val="restart"/>
          </w:tcPr>
          <w:p>
            <w:pPr>
              <w:ind w:left="4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20" w:type="dxa"/>
            <w:vAlign w:val="bottom"/>
            <w:tcBorders>
              <w:bottom w:val="single" w:sz="8" w:color="auto"/>
            </w:tcBorders>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540" w:type="dxa"/>
            <w:vAlign w:val="bottom"/>
          </w:tcPr>
          <w:p>
            <w:pPr>
              <w:spacing w:after="0"/>
              <w:rPr>
                <w:sz w:val="24"/>
                <w:szCs w:val="24"/>
                <w:color w:val="auto"/>
              </w:rPr>
            </w:pP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Press Release of Cartesian Therapeutics, Inc. dated November 7, 2024</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shd w:val="clear" w:color="auto" w:fill="0000FF"/>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52"/>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5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24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6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00"/>
          </w:cols>
          <w:pgMar w:left="320" w:top="765"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19685</wp:posOffset>
            </wp:positionV>
            <wp:extent cx="2031365" cy="505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136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Cartesian Therapeutcs Reports Third Quarter 2024 Financial Results and Provides Business Update</w:t>
      </w:r>
    </w:p>
    <w:p>
      <w:pPr>
        <w:spacing w:after="0" w:line="225" w:lineRule="exact"/>
        <w:rPr>
          <w:sz w:val="20"/>
          <w:szCs w:val="20"/>
          <w:color w:val="auto"/>
        </w:rPr>
      </w:pPr>
    </w:p>
    <w:p>
      <w:pPr>
        <w:jc w:val="center"/>
        <w:spacing w:after="0" w:line="214" w:lineRule="auto"/>
        <w:rPr>
          <w:sz w:val="20"/>
          <w:szCs w:val="20"/>
          <w:color w:val="auto"/>
        </w:rPr>
      </w:pPr>
      <w:r>
        <w:rPr>
          <w:rFonts w:ascii="Calibri" w:cs="Calibri" w:eastAsia="Calibri" w:hAnsi="Calibri"/>
          <w:sz w:val="20"/>
          <w:szCs w:val="20"/>
          <w:i w:val="1"/>
          <w:iCs w:val="1"/>
          <w:color w:val="auto"/>
        </w:rPr>
        <w:t>Company expects to commence Phase 3 trial of Descartes-08 in patents with myasthenia gravis in 1H2025 following recent meetng with U.S. Food and Drug Administraton</w:t>
      </w:r>
    </w:p>
    <w:p>
      <w:pPr>
        <w:spacing w:after="0" w:line="226" w:lineRule="exact"/>
        <w:rPr>
          <w:sz w:val="20"/>
          <w:szCs w:val="20"/>
          <w:color w:val="auto"/>
        </w:rPr>
      </w:pPr>
    </w:p>
    <w:p>
      <w:pPr>
        <w:jc w:val="center"/>
        <w:spacing w:after="0" w:line="221" w:lineRule="auto"/>
        <w:rPr>
          <w:sz w:val="20"/>
          <w:szCs w:val="20"/>
          <w:color w:val="auto"/>
        </w:rPr>
      </w:pPr>
      <w:r>
        <w:rPr>
          <w:rFonts w:ascii="Calibri" w:cs="Calibri" w:eastAsia="Calibri" w:hAnsi="Calibri"/>
          <w:sz w:val="20"/>
          <w:szCs w:val="20"/>
          <w:i w:val="1"/>
          <w:iCs w:val="1"/>
          <w:color w:val="auto"/>
        </w:rPr>
        <w:t>Presentaton of updated efcacy and safety data from Phase 2b trial and Phase 3 trial design of Descartes-08 in patents with myasthenia gravis expected by year-end</w:t>
      </w:r>
    </w:p>
    <w:p>
      <w:pPr>
        <w:spacing w:after="0" w:line="202" w:lineRule="exact"/>
        <w:rPr>
          <w:sz w:val="20"/>
          <w:szCs w:val="20"/>
          <w:color w:val="auto"/>
        </w:rPr>
      </w:pPr>
    </w:p>
    <w:p>
      <w:pPr>
        <w:jc w:val="center"/>
        <w:spacing w:after="0"/>
        <w:rPr>
          <w:sz w:val="20"/>
          <w:szCs w:val="20"/>
          <w:color w:val="auto"/>
        </w:rPr>
      </w:pPr>
      <w:r>
        <w:rPr>
          <w:rFonts w:ascii="Calibri" w:cs="Calibri" w:eastAsia="Calibri" w:hAnsi="Calibri"/>
          <w:sz w:val="20"/>
          <w:szCs w:val="20"/>
          <w:i w:val="1"/>
          <w:iCs w:val="1"/>
          <w:color w:val="auto"/>
        </w:rPr>
        <w:t>Dosing underway in Phase 2 trial of Descartes-08 in patents with systemic lupus erythematosus</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i w:val="1"/>
          <w:iCs w:val="1"/>
          <w:color w:val="auto"/>
        </w:rPr>
        <w:t>Dosing underway in frst-in-human Phase 1 trial of Descartes-15</w:t>
      </w:r>
    </w:p>
    <w:p>
      <w:pPr>
        <w:spacing w:after="0" w:line="225" w:lineRule="exact"/>
        <w:rPr>
          <w:sz w:val="20"/>
          <w:szCs w:val="20"/>
          <w:color w:val="auto"/>
        </w:rPr>
      </w:pPr>
    </w:p>
    <w:p>
      <w:pPr>
        <w:jc w:val="center"/>
        <w:ind w:left="340" w:right="20"/>
        <w:spacing w:after="0" w:line="221" w:lineRule="auto"/>
        <w:rPr>
          <w:sz w:val="20"/>
          <w:szCs w:val="20"/>
          <w:color w:val="auto"/>
        </w:rPr>
      </w:pPr>
      <w:r>
        <w:rPr>
          <w:rFonts w:ascii="Calibri" w:cs="Calibri" w:eastAsia="Calibri" w:hAnsi="Calibri"/>
          <w:sz w:val="20"/>
          <w:szCs w:val="20"/>
          <w:i w:val="1"/>
          <w:iCs w:val="1"/>
          <w:color w:val="auto"/>
        </w:rPr>
        <w:t>Approximately $220.9M of cash, cash equivalents, and restricted cash as of September 30, 2024 expected to support planned operatons, including completon of planned Phase 3 trial of Descartes-08 for myasthenia gravis, into mid-2027</w:t>
      </w:r>
    </w:p>
    <w:p>
      <w:pPr>
        <w:spacing w:after="0" w:line="200" w:lineRule="exact"/>
        <w:rPr>
          <w:sz w:val="20"/>
          <w:szCs w:val="20"/>
          <w:color w:val="auto"/>
        </w:rPr>
      </w:pPr>
    </w:p>
    <w:p>
      <w:pPr>
        <w:spacing w:after="0" w:line="255" w:lineRule="exact"/>
        <w:rPr>
          <w:sz w:val="20"/>
          <w:szCs w:val="20"/>
          <w:color w:val="auto"/>
        </w:rPr>
      </w:pPr>
    </w:p>
    <w:p>
      <w:pPr>
        <w:jc w:val="both"/>
        <w:spacing w:after="0" w:line="218" w:lineRule="auto"/>
        <w:rPr>
          <w:sz w:val="20"/>
          <w:szCs w:val="20"/>
          <w:color w:val="auto"/>
        </w:rPr>
      </w:pPr>
      <w:r>
        <w:rPr>
          <w:rFonts w:ascii="Calibri" w:cs="Calibri" w:eastAsia="Calibri" w:hAnsi="Calibri"/>
          <w:sz w:val="20"/>
          <w:szCs w:val="20"/>
          <w:color w:val="auto"/>
        </w:rPr>
        <w:t>Frederick, MD, November 7, 2024 (GLOBE NEWSWIRE) – Cartesian Therapeutcs, Inc. (NASDAQ: RNAC) (the “Company”), a clinical-stage biotechnology company pioneering mRNA cell therapy for autoimmune diseases, today reported fnancial results for the third quarter of 2024, and provided business and corporate updates.</w:t>
      </w:r>
    </w:p>
    <w:p>
      <w:pPr>
        <w:spacing w:after="0" w:line="212"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“As we approach the end of what has been a year of tremendous progress for Cartesian, we remain focused on advancing our innovatve pipeline as we strive toward our mission to extend the potental of cell therapy to patents with autoimmune diseases,” said Carsten Brunn, Ph.D., President and Chief Executve Ofcer of Cartesian. “Notably, for our lead Descartes-08 program in MG, we expect to share additonal data from our Phase 2b trial and the design of our upcoming Phase 3 trial by the end of the year. With a growing body of clinical evidence supportng the potental for Descartes-08 to serve as a meaningful additon to the MG treatment landscape, we are encouraged by our recent interacton with FDA regarding our plans for a Phase 3 program in MG and plan to initate the trial in the frst half of 2025.”</w:t>
      </w:r>
    </w:p>
    <w:p>
      <w:pPr>
        <w:spacing w:after="0" w:line="263" w:lineRule="exact"/>
        <w:rPr>
          <w:sz w:val="20"/>
          <w:szCs w:val="20"/>
          <w:color w:val="auto"/>
        </w:rPr>
      </w:pPr>
    </w:p>
    <w:p>
      <w:pPr>
        <w:jc w:val="both"/>
        <w:spacing w:after="0" w:line="213" w:lineRule="auto"/>
        <w:rPr>
          <w:sz w:val="20"/>
          <w:szCs w:val="20"/>
          <w:color w:val="auto"/>
        </w:rPr>
      </w:pPr>
      <w:r>
        <w:rPr>
          <w:rFonts w:ascii="Calibri" w:cs="Calibri" w:eastAsia="Calibri" w:hAnsi="Calibri"/>
          <w:sz w:val="20"/>
          <w:szCs w:val="20"/>
          <w:color w:val="auto"/>
        </w:rPr>
        <w:t>Dr. Brunn contnued, “In additon to our MG development program, enrollment remains ongoing in our Phase 2 trial of Descartes-08 in patents with SLE, and we also remain on track to fle an IND applicaton for a pediatric basket study of Descartes-08 by year-end. Beyond Descartes-08, enrollment also contnues in our frst-in-human Phase 1 trial of Descartes-15, our next-generaton autologous ant-BCMA mRNA CAR-T product candidate.”</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Recent Pipeline Progress and Antcipated Milestones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Descartes-08 in Generalized Myasthenia Gravis (MG)</w:t>
      </w:r>
    </w:p>
    <w:p>
      <w:pPr>
        <w:spacing w:after="0" w:line="319" w:lineRule="exact"/>
        <w:rPr>
          <w:sz w:val="20"/>
          <w:szCs w:val="20"/>
          <w:color w:val="auto"/>
        </w:rPr>
      </w:pPr>
    </w:p>
    <w:p>
      <w:pPr>
        <w:jc w:val="both"/>
        <w:ind w:left="340" w:hanging="332"/>
        <w:spacing w:after="0" w:line="212" w:lineRule="auto"/>
        <w:tabs>
          <w:tab w:leader="none" w:pos="333" w:val="left"/>
        </w:tabs>
        <w:numPr>
          <w:ilvl w:val="0"/>
          <w:numId w:val="2"/>
        </w:numPr>
        <w:rPr>
          <w:rFonts w:ascii="Calibri" w:cs="Calibri" w:eastAsia="Calibri" w:hAnsi="Calibri"/>
          <w:sz w:val="20"/>
          <w:szCs w:val="20"/>
          <w:color w:val="0000FF"/>
        </w:rPr>
      </w:pPr>
      <w:r>
        <w:rPr>
          <w:rFonts w:ascii="Calibri" w:cs="Calibri" w:eastAsia="Calibri" w:hAnsi="Calibri"/>
          <w:sz w:val="20"/>
          <w:szCs w:val="20"/>
          <w:b w:val="1"/>
          <w:bCs w:val="1"/>
          <w:color w:val="auto"/>
        </w:rPr>
        <w:t xml:space="preserve">Results from Phase 2b Trial of Descartes-08 in Patents with MG Featured at the 2024 Myasthenia Gravis Foundaton of America (MGFA) Scientfc Session of the American Associaton of Neuromuscular and Electrodiagnostc Medicine (AANEM) Annual Meetng. </w:t>
      </w:r>
      <w:r>
        <w:rPr>
          <w:rFonts w:ascii="Calibri" w:cs="Calibri" w:eastAsia="Calibri" w:hAnsi="Calibri"/>
          <w:sz w:val="20"/>
          <w:szCs w:val="20"/>
          <w:color w:val="auto"/>
        </w:rPr>
        <w:t>In October 2024, data from the Company’s Phase 2b trial of Descartes-08 in patents with MG were presented at the 2024</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MGFA Scientfc Session of the AANEM Annual Meetng. Descartes-08, Cartesian’s lead product candidate, is an autologous ant-B cell maturaton antgen (BCMA) mRNA-engineered chimeric antgen receptor T-cell therapy (mRNA CAR-T). Positve topline results were </w:t>
      </w:r>
      <w:hyperlink r:id="rId14">
        <w:r>
          <w:rPr>
            <w:rFonts w:ascii="Calibri" w:cs="Calibri" w:eastAsia="Calibri" w:hAnsi="Calibri"/>
            <w:sz w:val="20"/>
            <w:szCs w:val="20"/>
            <w:u w:val="single" w:color="auto"/>
            <w:color w:val="0000FF"/>
          </w:rPr>
          <w:t>previously announced</w:t>
        </w:r>
        <w:r>
          <w:rPr>
            <w:rFonts w:ascii="Calibri" w:cs="Calibri" w:eastAsia="Calibri" w:hAnsi="Calibri"/>
            <w:sz w:val="20"/>
            <w:szCs w:val="20"/>
            <w:color w:val="0000FF"/>
          </w:rPr>
          <w:t xml:space="preserve"> </w:t>
        </w:r>
      </w:hyperlink>
      <w:r>
        <w:rPr>
          <w:rFonts w:ascii="Calibri" w:cs="Calibri" w:eastAsia="Calibri" w:hAnsi="Calibri"/>
          <w:sz w:val="20"/>
          <w:szCs w:val="20"/>
          <w:color w:val="000000"/>
        </w:rPr>
        <w:t>in</w:t>
      </w:r>
      <w:r>
        <w:rPr>
          <w:rFonts w:ascii="Calibri" w:cs="Calibri" w:eastAsia="Calibri" w:hAnsi="Calibri"/>
          <w:sz w:val="20"/>
          <w:szCs w:val="20"/>
          <w:color w:val="0000FF"/>
        </w:rPr>
        <w:t xml:space="preserve"> </w:t>
      </w:r>
      <w:r>
        <w:rPr>
          <w:rFonts w:ascii="Calibri" w:cs="Calibri" w:eastAsia="Calibri" w:hAnsi="Calibri"/>
          <w:sz w:val="20"/>
          <w:szCs w:val="20"/>
          <w:color w:val="000000"/>
        </w:rPr>
        <w:t>July 2024, with the trial meetng its primary endpoint with statstcal signifcance as 71% of MG patents</w:t>
      </w:r>
      <w:r>
        <w:rPr>
          <w:rFonts w:ascii="Calibri" w:cs="Calibri" w:eastAsia="Calibri" w:hAnsi="Calibri"/>
          <w:sz w:val="20"/>
          <w:szCs w:val="20"/>
          <w:color w:val="0000FF"/>
        </w:rPr>
        <w:t xml:space="preserve"> </w:t>
      </w:r>
      <w:r>
        <w:rPr>
          <w:rFonts w:ascii="Calibri" w:cs="Calibri" w:eastAsia="Calibri" w:hAnsi="Calibri"/>
          <w:sz w:val="20"/>
          <w:szCs w:val="20"/>
          <w:color w:val="000000"/>
        </w:rPr>
        <w:t>treated with Descartes-08 were observed to have a clinically meaningful improvement in MG Composite score at Month 3 compared to 25% for placebo. In additon, Descartes-08 was observed to have a favorable safety profle supportng outpatent administraton without the need for lymphodepletng chemotherapy.</w:t>
      </w:r>
    </w:p>
    <w:p>
      <w:pPr>
        <w:spacing w:after="0" w:line="97" w:lineRule="exact"/>
        <w:rPr>
          <w:rFonts w:ascii="Calibri" w:cs="Calibri" w:eastAsia="Calibri" w:hAnsi="Calibri"/>
          <w:sz w:val="20"/>
          <w:szCs w:val="20"/>
          <w:color w:val="0000FF"/>
        </w:rPr>
      </w:pPr>
    </w:p>
    <w:p>
      <w:pPr>
        <w:jc w:val="both"/>
        <w:ind w:left="340" w:right="20"/>
        <w:spacing w:after="0" w:line="213" w:lineRule="auto"/>
        <w:rPr>
          <w:rFonts w:ascii="Calibri" w:cs="Calibri" w:eastAsia="Calibri" w:hAnsi="Calibri"/>
          <w:sz w:val="20"/>
          <w:szCs w:val="20"/>
          <w:color w:val="0000FF"/>
        </w:rPr>
      </w:pPr>
      <w:r>
        <w:rPr>
          <w:rFonts w:ascii="Calibri" w:cs="Calibri" w:eastAsia="Calibri" w:hAnsi="Calibri"/>
          <w:sz w:val="20"/>
          <w:szCs w:val="20"/>
          <w:color w:val="auto"/>
        </w:rPr>
        <w:t>In additon to previously announced topline results, at Month 3, patents treated with Descartes-08 were observed to have a reducton in ant-acetylcholine receptor antbody tter levels, which is believed to be an early prognostc indicator for clinical improvement in patents with MG. Additonally, treatment with Descartes-08 was</w:t>
      </w:r>
    </w:p>
    <w:p>
      <w:pPr>
        <w:sectPr>
          <w:pgSz w:w="11900" w:h="16838" w:orient="portrait"/>
          <w:cols w:equalWidth="0" w:num="1">
            <w:col w:w="11240"/>
          </w:cols>
          <w:pgMar w:left="320" w:top="117" w:right="339" w:bottom="1440" w:gutter="0" w:footer="0" w:header="0"/>
        </w:sectPr>
      </w:pPr>
    </w:p>
    <w:bookmarkStart w:id="4" w:name="page5"/>
    <w:bookmarkEnd w:id="4"/>
    <w:p>
      <w:pPr>
        <w:ind w:left="340" w:right="20"/>
        <w:spacing w:after="0" w:line="221" w:lineRule="auto"/>
        <w:rPr>
          <w:sz w:val="20"/>
          <w:szCs w:val="20"/>
          <w:color w:val="auto"/>
        </w:rPr>
      </w:pPr>
      <w:r>
        <w:rPr>
          <w:rFonts w:ascii="Calibri" w:cs="Calibri" w:eastAsia="Calibri" w:hAnsi="Calibri"/>
          <w:sz w:val="20"/>
          <w:szCs w:val="20"/>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6095"/>
                    </a:xfrm>
                    <a:prstGeom prst="rect">
                      <a:avLst/>
                    </a:prstGeom>
                    <a:noFill/>
                  </pic:spPr>
                </pic:pic>
              </a:graphicData>
            </a:graphic>
          </wp:anchor>
        </w:drawing>
        <w:t>not observed to lead to a decrease in vaccine tters for common viruses and was not associated with increased rates of infecton or hypogammaglobulinemia.</w:t>
      </w:r>
    </w:p>
    <w:p>
      <w:pPr>
        <w:spacing w:after="0" w:line="81" w:lineRule="exact"/>
        <w:rPr>
          <w:sz w:val="20"/>
          <w:szCs w:val="20"/>
          <w:color w:val="auto"/>
        </w:rPr>
      </w:pPr>
    </w:p>
    <w:p>
      <w:pPr>
        <w:ind w:left="340"/>
        <w:spacing w:after="0"/>
        <w:rPr>
          <w:sz w:val="20"/>
          <w:szCs w:val="20"/>
          <w:color w:val="auto"/>
        </w:rPr>
      </w:pPr>
      <w:r>
        <w:rPr>
          <w:rFonts w:ascii="Calibri" w:cs="Calibri" w:eastAsia="Calibri" w:hAnsi="Calibri"/>
          <w:sz w:val="20"/>
          <w:szCs w:val="20"/>
          <w:color w:val="auto"/>
        </w:rPr>
        <w:t>The Company announced today that it plans to present updated efcacy and safety data from the Phase 2b trial by year-end.</w:t>
      </w:r>
    </w:p>
    <w:p>
      <w:pPr>
        <w:spacing w:after="0" w:line="319" w:lineRule="exact"/>
        <w:rPr>
          <w:sz w:val="20"/>
          <w:szCs w:val="20"/>
          <w:color w:val="auto"/>
        </w:rPr>
      </w:pPr>
    </w:p>
    <w:p>
      <w:pPr>
        <w:jc w:val="both"/>
        <w:ind w:left="340" w:hanging="332"/>
        <w:spacing w:after="0" w:line="213" w:lineRule="auto"/>
        <w:tabs>
          <w:tab w:leader="none" w:pos="333" w:val="left"/>
        </w:tabs>
        <w:numPr>
          <w:ilvl w:val="0"/>
          <w:numId w:val="3"/>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Planned Phase 3 Trial Expected to Commence in First Half of 2025 Following Recent Meetng with U.S. Food and Drug Administraton (FDA). </w:t>
      </w:r>
      <w:r>
        <w:rPr>
          <w:rFonts w:ascii="Calibri" w:cs="Calibri" w:eastAsia="Calibri" w:hAnsi="Calibri"/>
          <w:sz w:val="20"/>
          <w:szCs w:val="20"/>
          <w:color w:val="auto"/>
        </w:rPr>
        <w:t>Following a recent meetng with the FDA, the Company expects to commence its planned Phase 3 study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Descartes-08 in patents with MG in the frst half of 2025. The Company plans to announce details regarding the trial design by year-end. Descartes-08 was previously granted Regeneratve Medicine Advanced Therapy Designaton and Orphan Drug Designaton by the FDA for the treatment of MG.</w:t>
      </w:r>
    </w:p>
    <w:p>
      <w:pPr>
        <w:spacing w:after="0" w:line="226" w:lineRule="exact"/>
        <w:rPr>
          <w:rFonts w:ascii="Calibri" w:cs="Calibri" w:eastAsia="Calibri" w:hAnsi="Calibri"/>
          <w:sz w:val="20"/>
          <w:szCs w:val="20"/>
          <w:color w:val="auto"/>
        </w:rPr>
      </w:pPr>
    </w:p>
    <w:p>
      <w:pPr>
        <w:jc w:val="both"/>
        <w:ind w:left="340" w:hanging="332"/>
        <w:spacing w:after="0" w:line="213" w:lineRule="auto"/>
        <w:tabs>
          <w:tab w:leader="none" w:pos="33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 xml:space="preserve">As previously </w:t>
      </w:r>
      <w:hyperlink r:id="rId16">
        <w:r>
          <w:rPr>
            <w:rFonts w:ascii="Calibri" w:cs="Calibri" w:eastAsia="Calibri" w:hAnsi="Calibri"/>
            <w:sz w:val="20"/>
            <w:szCs w:val="20"/>
            <w:u w:val="single" w:color="auto"/>
            <w:color w:val="0000FF"/>
          </w:rPr>
          <w:t>announced</w:t>
        </w:r>
      </w:hyperlink>
      <w:r>
        <w:rPr>
          <w:rFonts w:ascii="Calibri" w:cs="Calibri" w:eastAsia="Calibri" w:hAnsi="Calibri"/>
          <w:sz w:val="20"/>
          <w:szCs w:val="20"/>
          <w:color w:val="auto"/>
        </w:rPr>
        <w:t>, the Company’s new corporate headquarters and approximately 30,000 square foot state-of-the-art current good manufacturing practce (cGMP) facility in Frederick, Maryland, is expected to support scaling of its wholly-owned, in-house cGMP manufacturing capabilites for the planned Phase 3 study in MG and commercial supply.</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Descartes-08 in Systemic Lupus Erythematosus (SLE)</w:t>
      </w:r>
    </w:p>
    <w:p>
      <w:pPr>
        <w:spacing w:after="0" w:line="225" w:lineRule="exact"/>
        <w:rPr>
          <w:sz w:val="20"/>
          <w:szCs w:val="20"/>
          <w:color w:val="auto"/>
        </w:rPr>
      </w:pPr>
    </w:p>
    <w:p>
      <w:pPr>
        <w:jc w:val="both"/>
        <w:ind w:left="340" w:hanging="332"/>
        <w:spacing w:after="0" w:line="210" w:lineRule="auto"/>
        <w:tabs>
          <w:tab w:leader="none" w:pos="333" w:val="left"/>
        </w:tabs>
        <w:numPr>
          <w:ilvl w:val="0"/>
          <w:numId w:val="4"/>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First Patent Dosed in Phase 2 Trial of Descartes-08 in SLE. </w:t>
      </w:r>
      <w:r>
        <w:rPr>
          <w:rFonts w:ascii="Calibri" w:cs="Calibri" w:eastAsia="Calibri" w:hAnsi="Calibri"/>
          <w:sz w:val="20"/>
          <w:szCs w:val="20"/>
          <w:color w:val="auto"/>
        </w:rPr>
        <w:t>In July 2024, the Company announced dosing of the frst patent in a</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Phase 2 open-label clinical trial evaluatng Descartes-08 in SLE. The trial is designed to assess the safety, tolerability and clinical actvity of outpatent Descartes-08 administraton without preconditoning chemotherapy in patents with SLE. SLE is an incurable autoimmune disease marked by systemic infammaton that afects multple organ systems and impacts approximately 1.5 million people in the United States.</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Descartes-08 in Additonal Indicatons</w:t>
      </w:r>
    </w:p>
    <w:p>
      <w:pPr>
        <w:spacing w:after="0" w:line="225" w:lineRule="exact"/>
        <w:rPr>
          <w:sz w:val="20"/>
          <w:szCs w:val="20"/>
          <w:color w:val="auto"/>
        </w:rPr>
      </w:pPr>
    </w:p>
    <w:p>
      <w:pPr>
        <w:jc w:val="both"/>
        <w:ind w:left="340" w:hanging="332"/>
        <w:spacing w:after="0" w:line="210" w:lineRule="auto"/>
        <w:tabs>
          <w:tab w:leader="none" w:pos="333" w:val="left"/>
        </w:tabs>
        <w:numPr>
          <w:ilvl w:val="0"/>
          <w:numId w:val="5"/>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Rare Pediatric Disease Designaton for Descartes-08 for the Treatment of Juvenile Dermatomyosits (JDM). </w:t>
      </w:r>
      <w:r>
        <w:rPr>
          <w:rFonts w:ascii="Calibri" w:cs="Calibri" w:eastAsia="Calibri" w:hAnsi="Calibri"/>
          <w:sz w:val="20"/>
          <w:szCs w:val="20"/>
          <w:color w:val="auto"/>
        </w:rPr>
        <w:t>In September 2024,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Company announced that the FDA granted Rare Pediatric Disease Designaton to Descartes-08 for the treatment of JDM. JDM is a rare pediatric autoimmune disorder marked by pathognomonic skin rash and muscle infammaton that afects multple organ systems and impacts approximately 4,000 people in the United States. Under the FDA’s Rare Pediatric Disease Designaton and Voucher Program, if Descartes-08 is approved for marketng in JDM, Cartesian may qualify for a priority review voucher that can be redeemed to receive priority review of a subsequent marketng applicaton for a diferent product.</w:t>
      </w:r>
    </w:p>
    <w:p>
      <w:pPr>
        <w:spacing w:after="0" w:line="230" w:lineRule="exact"/>
        <w:rPr>
          <w:rFonts w:ascii="Calibri" w:cs="Calibri" w:eastAsia="Calibri" w:hAnsi="Calibri"/>
          <w:sz w:val="20"/>
          <w:szCs w:val="20"/>
          <w:color w:val="auto"/>
        </w:rPr>
      </w:pPr>
    </w:p>
    <w:p>
      <w:pPr>
        <w:ind w:left="340" w:right="20"/>
        <w:spacing w:after="0" w:line="221" w:lineRule="auto"/>
        <w:rPr>
          <w:rFonts w:ascii="Calibri" w:cs="Calibri" w:eastAsia="Calibri" w:hAnsi="Calibri"/>
          <w:sz w:val="20"/>
          <w:szCs w:val="20"/>
          <w:color w:val="auto"/>
        </w:rPr>
      </w:pPr>
      <w:r>
        <w:rPr>
          <w:rFonts w:ascii="Calibri" w:cs="Calibri" w:eastAsia="Calibri" w:hAnsi="Calibri"/>
          <w:sz w:val="20"/>
          <w:szCs w:val="20"/>
          <w:color w:val="auto"/>
        </w:rPr>
        <w:t>By year-end 2024, the Company plans to fle an investgatonal new drug (IND) applicaton for a pediatric basket trial of Descartes-08 in certain autoimmune diseases, including JDM.</w:t>
      </w:r>
    </w:p>
    <w:p>
      <w:pPr>
        <w:spacing w:after="0" w:line="211" w:lineRule="exact"/>
        <w:rPr>
          <w:rFonts w:ascii="Calibri" w:cs="Calibri" w:eastAsia="Calibri" w:hAnsi="Calibri"/>
          <w:sz w:val="20"/>
          <w:szCs w:val="20"/>
          <w:color w:val="auto"/>
        </w:rPr>
      </w:pPr>
    </w:p>
    <w:p>
      <w:pPr>
        <w:jc w:val="both"/>
        <w:ind w:left="340" w:hanging="332"/>
        <w:spacing w:after="0" w:line="213" w:lineRule="auto"/>
        <w:tabs>
          <w:tab w:leader="none" w:pos="333" w:val="left"/>
        </w:tabs>
        <w:numPr>
          <w:ilvl w:val="0"/>
          <w:numId w:val="5"/>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Safety and Tolerability Data to be Featured at 66th American Society of Hematology (ASH) Annual Meetng and Expositon. </w:t>
      </w:r>
      <w:r>
        <w:rPr>
          <w:rFonts w:ascii="Calibri" w:cs="Calibri" w:eastAsia="Calibri" w:hAnsi="Calibri"/>
          <w:sz w:val="20"/>
          <w:szCs w:val="20"/>
          <w:color w:val="auto"/>
        </w:rPr>
        <w:t>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November 2024, the Company announced that safety and tolerability data from patents treated with Descartes-08 will be featured during a poster presentaton at the upcoming 66th American Society of Hematology (ASH) Annual Meetng and Expositon, being held December 7-10, 2024, in San Diego.</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Descartes-15 Program</w:t>
      </w:r>
    </w:p>
    <w:p>
      <w:pPr>
        <w:spacing w:after="0" w:line="225" w:lineRule="exact"/>
        <w:rPr>
          <w:sz w:val="20"/>
          <w:szCs w:val="20"/>
          <w:color w:val="auto"/>
        </w:rPr>
      </w:pPr>
    </w:p>
    <w:p>
      <w:pPr>
        <w:jc w:val="both"/>
        <w:ind w:left="340" w:right="20" w:hanging="332"/>
        <w:spacing w:after="0" w:line="211" w:lineRule="auto"/>
        <w:tabs>
          <w:tab w:leader="none" w:pos="333" w:val="left"/>
        </w:tabs>
        <w:numPr>
          <w:ilvl w:val="0"/>
          <w:numId w:val="6"/>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First Patent Dosed in First-in-Human Phase 1 Trial of Descartes-15. </w:t>
      </w:r>
      <w:r>
        <w:rPr>
          <w:rFonts w:ascii="Calibri" w:cs="Calibri" w:eastAsia="Calibri" w:hAnsi="Calibri"/>
          <w:sz w:val="20"/>
          <w:szCs w:val="20"/>
          <w:color w:val="auto"/>
        </w:rPr>
        <w:t>In September 2024, the Company announced dosing of the frst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patent in its frst-in-human Phase 1 clinical trial evaluatng Descartes-15, the Company’s next-generaton autologous ant-BCMA mRNA CAR-T product candidate. Descartes-15 is designed to be administered without preconditoning chemotherapy, eliminatng integratng vectors, and to have predictable and controllable pharmacokinetcs, including technological advances that enhance CAR stability even in the presence of target-driven suppression of CAR. The Phase 1 dose escalaton trial is designed to assess the safety and tolerability of outpatent Descartes-15 administraton in patents with multple myeloma. Following the Phase 1 dose escalaton trial, the Company expects to subsequently assess Descartes-15 in autoimmune indicatons.</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Corporate Updates</w:t>
      </w:r>
    </w:p>
    <w:p>
      <w:pPr>
        <w:sectPr>
          <w:pgSz w:w="11900" w:h="16838" w:orient="portrait"/>
          <w:cols w:equalWidth="0" w:num="1">
            <w:col w:w="11240"/>
          </w:cols>
          <w:pgMar w:left="320" w:top="1344" w:right="339" w:bottom="1440" w:gutter="0" w:footer="0" w:header="0"/>
        </w:sectPr>
      </w:pPr>
    </w:p>
    <w:bookmarkStart w:id="5" w:name="page6"/>
    <w:bookmarkEnd w:id="5"/>
    <w:p>
      <w:pPr>
        <w:jc w:val="both"/>
        <w:ind w:left="340" w:hanging="332"/>
        <w:spacing w:after="0" w:line="213" w:lineRule="auto"/>
        <w:tabs>
          <w:tab w:leader="none" w:pos="333" w:val="left"/>
        </w:tabs>
        <w:numPr>
          <w:ilvl w:val="0"/>
          <w:numId w:val="7"/>
        </w:numPr>
        <w:rPr>
          <w:rFonts w:ascii="Calibri" w:cs="Calibri" w:eastAsia="Calibri" w:hAnsi="Calibri"/>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 xml:space="preserve">Completed $130.0 Million Private Placement Equity Financing. </w:t>
      </w:r>
      <w:r>
        <w:rPr>
          <w:rFonts w:ascii="Calibri" w:cs="Calibri" w:eastAsia="Calibri" w:hAnsi="Calibri"/>
          <w:sz w:val="20"/>
          <w:szCs w:val="20"/>
          <w:color w:val="auto"/>
        </w:rPr>
        <w:t>In July 2024, Cartesian announced a private investment in public</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equity (PIPE) fnancing, which included partcipaton from both new and existng investors, resultng in gross proceeds of approximately $130.0 million.</w:t>
      </w:r>
    </w:p>
    <w:p>
      <w:pPr>
        <w:spacing w:after="0" w:line="227" w:lineRule="exact"/>
        <w:rPr>
          <w:rFonts w:ascii="Calibri" w:cs="Calibri" w:eastAsia="Calibri" w:hAnsi="Calibri"/>
          <w:sz w:val="20"/>
          <w:szCs w:val="20"/>
          <w:color w:val="auto"/>
        </w:rPr>
      </w:pPr>
    </w:p>
    <w:p>
      <w:pPr>
        <w:jc w:val="both"/>
        <w:ind w:left="340" w:hanging="332"/>
        <w:spacing w:after="0" w:line="213" w:lineRule="auto"/>
        <w:tabs>
          <w:tab w:leader="none" w:pos="333" w:val="left"/>
        </w:tabs>
        <w:numPr>
          <w:ilvl w:val="0"/>
          <w:numId w:val="7"/>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Strengthened Board of Directors with Appointment of Kemal Malik. </w:t>
      </w:r>
      <w:r>
        <w:rPr>
          <w:rFonts w:ascii="Calibri" w:cs="Calibri" w:eastAsia="Calibri" w:hAnsi="Calibri"/>
          <w:sz w:val="20"/>
          <w:szCs w:val="20"/>
          <w:color w:val="auto"/>
        </w:rPr>
        <w:t>In July 2024, the Company announced the appointment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Kemal Malik, MBBS to its Board of Directors. Dr. Malik’s appointment provides regulatory and clinical expertse and deepens the Company’s strategic leadership experience. Dr. Malik has over 30 years of global development, regulatory, and commercial experience at leading pharmaceutcal organizatons.</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Third Quarter 2024 Financial Results</w:t>
      </w:r>
    </w:p>
    <w:p>
      <w:pPr>
        <w:spacing w:after="0" w:line="225" w:lineRule="exact"/>
        <w:rPr>
          <w:sz w:val="20"/>
          <w:szCs w:val="20"/>
          <w:color w:val="auto"/>
        </w:rPr>
      </w:pPr>
    </w:p>
    <w:p>
      <w:pPr>
        <w:jc w:val="both"/>
        <w:ind w:left="340" w:hanging="332"/>
        <w:spacing w:after="0" w:line="213" w:lineRule="auto"/>
        <w:tabs>
          <w:tab w:leader="none" w:pos="333"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Cash, cash equivalents, and restricted cash were approximately $220.9 million as of September 30, 2024. The Company’s cash, cash equivalents, and restricted cash as of September 30, 2024 are expected to support planned operatons into mid-2027 through completon of the planned Phase 3 clinical trial of Descartes-08 in MG, including antcipated manufacturing costs associated with the planned trial, the advancement and expansion of the Company’s autoimmune pipeline, including Descartes-08 for SLE and other potental indicatons, and enhancements to the Company’s process development and manufacturing capabilites.</w:t>
      </w:r>
    </w:p>
    <w:p>
      <w:pPr>
        <w:spacing w:after="0" w:line="226" w:lineRule="exact"/>
        <w:rPr>
          <w:rFonts w:ascii="Calibri" w:cs="Calibri" w:eastAsia="Calibri" w:hAnsi="Calibri"/>
          <w:sz w:val="20"/>
          <w:szCs w:val="20"/>
          <w:color w:val="auto"/>
        </w:rPr>
      </w:pPr>
    </w:p>
    <w:p>
      <w:pPr>
        <w:jc w:val="both"/>
        <w:ind w:left="340" w:hanging="332"/>
        <w:spacing w:after="0" w:line="213" w:lineRule="auto"/>
        <w:tabs>
          <w:tab w:leader="none" w:pos="333"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Research and development expenses were $11.4 million for the quarter ended September 30, 2024, compared to $13.0 million for the quarter ended September 30, 2023. The decrease in research and development expenses of $1.6 million for the quarter ended September 30, 2024, was due to reductons in clinical development expenses.</w:t>
      </w:r>
    </w:p>
    <w:p>
      <w:pPr>
        <w:spacing w:after="0" w:line="227" w:lineRule="exact"/>
        <w:rPr>
          <w:rFonts w:ascii="Calibri" w:cs="Calibri" w:eastAsia="Calibri" w:hAnsi="Calibri"/>
          <w:sz w:val="20"/>
          <w:szCs w:val="20"/>
          <w:color w:val="auto"/>
        </w:rPr>
      </w:pPr>
    </w:p>
    <w:p>
      <w:pPr>
        <w:ind w:left="340" w:hanging="332"/>
        <w:spacing w:after="0" w:line="221" w:lineRule="auto"/>
        <w:tabs>
          <w:tab w:leader="none" w:pos="333"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General and administratve expenses were $6.6 million for the quarters ended September 30, 2024 and September 30, 2023, remaining consistent.</w:t>
      </w:r>
    </w:p>
    <w:p>
      <w:pPr>
        <w:spacing w:after="0" w:line="225" w:lineRule="exact"/>
        <w:rPr>
          <w:rFonts w:ascii="Calibri" w:cs="Calibri" w:eastAsia="Calibri" w:hAnsi="Calibri"/>
          <w:sz w:val="20"/>
          <w:szCs w:val="20"/>
          <w:color w:val="auto"/>
        </w:rPr>
      </w:pPr>
    </w:p>
    <w:p>
      <w:pPr>
        <w:ind w:left="340" w:hanging="332"/>
        <w:spacing w:after="0" w:line="221" w:lineRule="auto"/>
        <w:tabs>
          <w:tab w:leader="none" w:pos="333"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Net loss was $(24.2) million, or $(1.13) basic net loss per share, for the quarter ended September 30, 2024, compared to net loss of $(9.0) million, or $(1.74) basic net loss per share, for the quarter ended September 30, 2023.</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Descartes-08</w:t>
      </w:r>
    </w:p>
    <w:p>
      <w:pPr>
        <w:spacing w:after="0" w:line="211" w:lineRule="exact"/>
        <w:rPr>
          <w:sz w:val="20"/>
          <w:szCs w:val="20"/>
          <w:color w:val="auto"/>
        </w:rPr>
      </w:pPr>
    </w:p>
    <w:p>
      <w:pPr>
        <w:jc w:val="both"/>
        <w:spacing w:after="0" w:line="211" w:lineRule="auto"/>
        <w:rPr>
          <w:sz w:val="20"/>
          <w:szCs w:val="20"/>
          <w:color w:val="auto"/>
        </w:rPr>
      </w:pPr>
      <w:r>
        <w:rPr>
          <w:rFonts w:ascii="Calibri" w:cs="Calibri" w:eastAsia="Calibri" w:hAnsi="Calibri"/>
          <w:sz w:val="20"/>
          <w:szCs w:val="20"/>
          <w:color w:val="auto"/>
        </w:rPr>
        <w:t>Descartes-08, Cartesian’s lead mRNA cell therapy candidate, is an autologous mRNA-engineered chimeric antgen receptor T-cell therapy (mRNA CAR-T) product targetng B-cell maturaton antgen (BCMA) in clinical development for generalized myasthenia gravis (MG) and systemic lupus erythematosus. In contrast to conventonal DNA-based CAR T-cell therapies, mRNA CAR-T administraton is designed to not require preconditoning chemotherapy, can be administered in the outpatent setng, and does not carry the risk of genomic integraton associated with cancerous transformaton. Descartes-08 has been granted Orphan Drug Designaton and Regeneratve Medicine Advanced Therapy Designaton by the U.S. Food and Drug Administraton for the treatment of MG, and Rare Pediatric Disease Designaton for the treatment of juvenile dermatomyosits.</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Cartesian Therapeutcs</w:t>
      </w:r>
    </w:p>
    <w:p>
      <w:pPr>
        <w:spacing w:after="0" w:line="225" w:lineRule="exact"/>
        <w:rPr>
          <w:sz w:val="20"/>
          <w:szCs w:val="20"/>
          <w:color w:val="auto"/>
        </w:rPr>
      </w:pPr>
    </w:p>
    <w:p>
      <w:pPr>
        <w:jc w:val="both"/>
        <w:spacing w:after="0" w:line="213" w:lineRule="auto"/>
        <w:rPr>
          <w:sz w:val="20"/>
          <w:szCs w:val="20"/>
          <w:color w:val="auto"/>
        </w:rPr>
      </w:pPr>
      <w:r>
        <w:rPr>
          <w:rFonts w:ascii="Calibri" w:cs="Calibri" w:eastAsia="Calibri" w:hAnsi="Calibri"/>
          <w:sz w:val="20"/>
          <w:szCs w:val="20"/>
          <w:color w:val="auto"/>
        </w:rPr>
        <w:t>Cartesian Therapeutcs is a clinical-stage company pioneering mRNA cell therapies for the treatment of autoimmune diseases. The Company’s lead asset, Descartes-08, is an mRNA CAR-T in Phase 2b clinical development for patents with generalized myasthenia gravis and Phase 2 development for systematc lupus erythematosus, with a Phase 2 basket trial planned in additonal autoimmune indicatons. The Company’s clinical-stage pipeline also includes Descartes-15, a next-generaton, autologous ant-BCMA mRNA CAR-T. For more informaton, please visit www.cartesiantherapeutcs.com or follow the Company on LinkedIn or X, formerly known as Twiter.</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 Looking Statements</w:t>
      </w:r>
    </w:p>
    <w:p>
      <w:pPr>
        <w:spacing w:after="0" w:line="225" w:lineRule="exact"/>
        <w:rPr>
          <w:sz w:val="20"/>
          <w:szCs w:val="20"/>
          <w:color w:val="auto"/>
        </w:rPr>
      </w:pPr>
    </w:p>
    <w:p>
      <w:pPr>
        <w:jc w:val="both"/>
        <w:spacing w:after="0" w:line="210" w:lineRule="auto"/>
        <w:rPr>
          <w:sz w:val="20"/>
          <w:szCs w:val="20"/>
          <w:color w:val="auto"/>
        </w:rPr>
      </w:pPr>
      <w:r>
        <w:rPr>
          <w:rFonts w:ascii="Calibri" w:cs="Calibri" w:eastAsia="Calibri" w:hAnsi="Calibri"/>
          <w:sz w:val="20"/>
          <w:szCs w:val="20"/>
          <w:color w:val="auto"/>
        </w:rPr>
        <w:t>Any statements in this press release about the future expectatons, plans and prospects of the Company, including without limitaton, statements regarding the Company’s expectaton to initate a Phase 3 trial in myasthenia gravis in 2025, the Company’s plan to release the myasthenia gravis Phase 3 trial design by the end of 2024, observatons and data from the myasthenia gravis Phase 2b trial, the Company’s expectaton to share additonal data from the Descartes-08 myasthenia gravis Phase 2b trial by the end of 2024, the Company’s plan to fle an IND applicaton for a pediatric basket trial of Descartes-08 by the end of 2024, the ability of Descartes-08 or Descartes-15 to be administered in an outpatent setng or without the need for preconditoning lymphodepletng chemotherapy, the</w:t>
      </w:r>
    </w:p>
    <w:p>
      <w:pPr>
        <w:sectPr>
          <w:pgSz w:w="11900" w:h="16838" w:orient="portrait"/>
          <w:cols w:equalWidth="0" w:num="1">
            <w:col w:w="11240"/>
          </w:cols>
          <w:pgMar w:left="320" w:top="1236" w:right="339" w:bottom="1440" w:gutter="0" w:footer="0" w:header="0"/>
        </w:sectPr>
      </w:pPr>
    </w:p>
    <w:bookmarkStart w:id="6" w:name="page7"/>
    <w:bookmarkEnd w:id="6"/>
    <w:p>
      <w:pPr>
        <w:jc w:val="both"/>
        <w:spacing w:after="0" w:line="216" w:lineRule="auto"/>
        <w:rPr>
          <w:sz w:val="20"/>
          <w:szCs w:val="20"/>
          <w:color w:val="auto"/>
        </w:rPr>
      </w:pPr>
      <w:r>
        <w:rPr>
          <w:rFonts w:ascii="Calibri" w:cs="Calibri" w:eastAsia="Calibri" w:hAnsi="Calibri"/>
          <w:sz w:val="20"/>
          <w:szCs w:val="20"/>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ability of Descartes-15 to have predictable and controllable pharmacokinetcs, the likelihood of the Company qualifying for a priority review voucher and receiving priority review, the potental of the Company’s technology to enable precision control and optmizaton of engineered cells for diverse cell therapies leveraging multple modalites, the potental of Descartes-08, Descartes-15, or any of the Company’s other product candidates to treat myasthenia gravis, systemic lupus erythematosus, Juvenile Dermatomyosits, multple myeloma, or any other disease, the amount and occurrence of any payments to holders of the Company’s contngent value rights, the antcipated tming or the outcome of ongoing and planned clinical trials, studies and data readouts, the antcipated tming or the outcome of the FDA’s review of the Company’s regulatory flings, the Company’s ability to conduct its clinical trials and preclinical studies, the tming or making of any regulatory flings, the antcipated tming or outcome of selecton of developmental product candidates, the ability of the Company to consummate any expected agreements and licenses and to realize the antcipated benefts thereof, the novelty of treatment paradigms that the Company is able to develop, the potental of any therapies developed by the Company to fulfll unmet medical needs, and enrollment in the Company’s clinical trials and other statements containing the words “antcipate,” “believe,” “contnue,” “could,” “estmate,” “expect,” “hypothesize,” “intend,” “may,” “plan,” “potental,” “predict,” “project,” “should,” “target,” “would,” and similar expressions, consttute forward-looking statements within the meaning of The Private Securites Litgaton Reform Act of 1995. Actual results may difer materially from those indicated by such forward-looking statements as a result of various important factors, including, but not limited to, the following: the uncertaintes inherent in the initaton, completon and cost of clinical trials including proof of concept trials, including uncertain outcomes, the availability and tming of data from ongoing and future clinical trials and the results of such trials, whether preliminary results from a partcular clinical trial will be predictve of the fnal results of that trial and whether results of early clinical trials will be indicatve of the results of later clinical trials, the ability to predict results of studies performed on human beings based on results of studies performed on non-human subjects, the unproven approach of the Company’s technology, potental delays in enrollment of patents, undesirable side efects of the Company’s product candidates, its reliance on third partes to conduct its clinical trials, the Company’s inability to maintain its existng or future collaboratons, licenses or contractual relatonships, its inability to protect its proprietary technology and intellectual property, potental delays in regulatory approvals, the availability of funding sufcient for its foreseeable and unforeseeable operatng expenses and capital expenditure requirements, the Company’s recurring losses from operatons and negatve cash fows, substantal fuctuaton in the price of the Company’s common stock, risks related to geopolitcal conficts and pandemics and other important factors discussed in the “Risk Factors” secton of the Company’s most recent Annual Report on Form 10-K and subsequently fled Quarterly Reports on Form 10-Q, and in other flings that the Company makes with the Securites and Exchange Commission. In additon, any forward-looking statements included in this press release represent the Company’s views only as of the date of its publicaton and should not be relied upon as representng its views as of any subsequent date. The Company specifcally disclaims any intenton to update any forward-looking statements included in this press release, except as required by law.</w:t>
      </w:r>
    </w:p>
    <w:p>
      <w:pPr>
        <w:sectPr>
          <w:pgSz w:w="11900" w:h="16838" w:orient="portrait"/>
          <w:cols w:equalWidth="0" w:num="1">
            <w:col w:w="11240"/>
          </w:cols>
          <w:pgMar w:left="320" w:top="1236"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Cartesian Therapeutics,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par value)</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76,911</w:t>
            </w: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5,870</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Unbilled receivables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229,136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90,729</w:t>
            </w:r>
          </w:p>
        </w:tc>
        <w:tc>
          <w:tcPr>
            <w:tcW w:w="0" w:type="dxa"/>
            <w:vAlign w:val="bottom"/>
          </w:tcPr>
          <w:p>
            <w:pPr>
              <w:spacing w:after="0"/>
              <w:rPr>
                <w:sz w:val="1"/>
                <w:szCs w:val="1"/>
                <w:color w:val="auto"/>
              </w:rPr>
            </w:pPr>
          </w:p>
        </w:tc>
      </w:tr>
      <w:tr>
        <w:trPr>
          <w:trHeight w:val="19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 net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10,068</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In-process research and development assets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2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455,316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305,050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deficit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7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15,572</w:t>
            </w: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liabilities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15,983</w:t>
            </w:r>
          </w:p>
        </w:tc>
        <w:tc>
          <w:tcPr>
            <w:tcW w:w="0" w:type="dxa"/>
            <w:vAlign w:val="bottom"/>
          </w:tcPr>
          <w:p>
            <w:pPr>
              <w:spacing w:after="0"/>
              <w:rPr>
                <w:sz w:val="1"/>
                <w:szCs w:val="1"/>
                <w:color w:val="auto"/>
              </w:rPr>
            </w:pPr>
          </w:p>
        </w:tc>
      </w:tr>
      <w:tr>
        <w:trPr>
          <w:trHeight w:val="19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Forward contract liabilities</w:t>
            </w:r>
          </w:p>
        </w:tc>
        <w:tc>
          <w:tcPr>
            <w:tcW w:w="16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28,307</w:t>
            </w:r>
          </w:p>
        </w:tc>
        <w:tc>
          <w:tcPr>
            <w:tcW w:w="0" w:type="dxa"/>
            <w:vAlign w:val="bottom"/>
          </w:tcPr>
          <w:p>
            <w:pPr>
              <w:spacing w:after="0"/>
              <w:rPr>
                <w:sz w:val="1"/>
                <w:szCs w:val="1"/>
                <w:color w:val="auto"/>
              </w:rPr>
            </w:pPr>
          </w:p>
        </w:tc>
      </w:tr>
      <w:tr>
        <w:trPr>
          <w:trHeight w:val="203"/>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68,209</w:t>
            </w:r>
          </w:p>
        </w:tc>
        <w:tc>
          <w:tcPr>
            <w:tcW w:w="0" w:type="dxa"/>
            <w:vAlign w:val="bottom"/>
          </w:tcPr>
          <w:p>
            <w:pPr>
              <w:spacing w:after="0"/>
              <w:rPr>
                <w:sz w:val="1"/>
                <w:szCs w:val="1"/>
                <w:color w:val="auto"/>
              </w:rPr>
            </w:pPr>
          </w:p>
        </w:tc>
      </w:tr>
      <w:tr>
        <w:trPr>
          <w:trHeight w:val="19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liability, net of current portion</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8,789</w:t>
            </w: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160" w:type="dxa"/>
            <w:vAlign w:val="bottom"/>
          </w:tcPr>
          <w:p>
            <w:pPr>
              <w:spacing w:after="0"/>
              <w:rPr>
                <w:sz w:val="16"/>
                <w:szCs w:val="16"/>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liabilities, net of current portion</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5,674</w:t>
            </w: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 net of current portion</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401,839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342,617</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15,853</w:t>
            </w:r>
          </w:p>
        </w:tc>
        <w:tc>
          <w:tcPr>
            <w:tcW w:w="0" w:type="dxa"/>
            <w:vAlign w:val="bottom"/>
          </w:tcPr>
          <w:p>
            <w:pPr>
              <w:spacing w:after="0"/>
              <w:rPr>
                <w:sz w:val="1"/>
                <w:szCs w:val="1"/>
                <w:color w:val="auto"/>
              </w:rPr>
            </w:pPr>
          </w:p>
        </w:tc>
      </w:tr>
      <w:tr>
        <w:trPr>
          <w:trHeight w:val="189"/>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454,564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444,680</w:t>
            </w:r>
          </w:p>
        </w:tc>
        <w:tc>
          <w:tcPr>
            <w:tcW w:w="0" w:type="dxa"/>
            <w:vAlign w:val="bottom"/>
          </w:tcPr>
          <w:p>
            <w:pPr>
              <w:spacing w:after="0"/>
              <w:rPr>
                <w:sz w:val="1"/>
                <w:szCs w:val="1"/>
                <w:color w:val="auto"/>
              </w:rPr>
            </w:pPr>
          </w:p>
        </w:tc>
      </w:tr>
      <w:tr>
        <w:trPr>
          <w:trHeight w:val="146"/>
        </w:trPr>
        <w:tc>
          <w:tcPr>
            <w:tcW w:w="77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Series A Preferred Stock, $0.0001 par value; no and 548,375 shares authorized as of September 30, 2024 and December 31, 2023,</w:t>
            </w:r>
          </w:p>
        </w:tc>
        <w:tc>
          <w:tcPr>
            <w:tcW w:w="160" w:type="dxa"/>
            <w:vAlign w:val="bottom"/>
            <w:shd w:val="clear" w:color="auto" w:fill="CCEEFF"/>
          </w:tcPr>
          <w:p>
            <w:pPr>
              <w:spacing w:after="0"/>
              <w:rPr>
                <w:sz w:val="12"/>
                <w:szCs w:val="12"/>
                <w:color w:val="auto"/>
              </w:rPr>
            </w:pPr>
          </w:p>
        </w:tc>
        <w:tc>
          <w:tcPr>
            <w:tcW w:w="1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296,851</w:t>
            </w:r>
          </w:p>
        </w:tc>
        <w:tc>
          <w:tcPr>
            <w:tcW w:w="0" w:type="dxa"/>
            <w:vAlign w:val="bottom"/>
          </w:tcPr>
          <w:p>
            <w:pPr>
              <w:spacing w:after="0"/>
              <w:rPr>
                <w:sz w:val="1"/>
                <w:szCs w:val="1"/>
                <w:color w:val="auto"/>
              </w:rPr>
            </w:pPr>
          </w:p>
        </w:tc>
      </w:tr>
      <w:tr>
        <w:trPr>
          <w:trHeight w:val="19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respectively; no and 435,120.513 shares issued and outstanding as of September 30, 2024 and December 31, 2023, respectively</w:t>
            </w:r>
          </w:p>
        </w:tc>
        <w:tc>
          <w:tcPr>
            <w:tcW w:w="160" w:type="dxa"/>
            <w:vAlign w:val="bottom"/>
            <w:shd w:val="clear" w:color="auto" w:fill="CCEEFF"/>
          </w:tcPr>
          <w:p>
            <w:pPr>
              <w:spacing w:after="0"/>
              <w:rPr>
                <w:sz w:val="17"/>
                <w:szCs w:val="17"/>
                <w:color w:val="auto"/>
              </w:rPr>
            </w:pPr>
          </w:p>
        </w:tc>
        <w:tc>
          <w:tcPr>
            <w:tcW w:w="16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for Series A Preferred Stock</w:t>
            </w:r>
          </w:p>
        </w:tc>
        <w:tc>
          <w:tcPr>
            <w:tcW w:w="160" w:type="dxa"/>
            <w:vAlign w:val="bottom"/>
          </w:tcPr>
          <w:p>
            <w:pPr>
              <w:spacing w:after="0"/>
              <w:rPr>
                <w:sz w:val="16"/>
                <w:szCs w:val="16"/>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deficit: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7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 Preferred Stock, $0.0001 par value; 180,455.753 and no shares authorized as of September 30, 2024 and December 31,</w:t>
            </w:r>
          </w:p>
        </w:tc>
        <w:tc>
          <w:tcPr>
            <w:tcW w:w="160" w:type="dxa"/>
            <w:vAlign w:val="bottom"/>
          </w:tcPr>
          <w:p>
            <w:pPr>
              <w:spacing w:after="0"/>
              <w:rPr>
                <w:sz w:val="12"/>
                <w:szCs w:val="12"/>
                <w:color w:val="auto"/>
              </w:rPr>
            </w:pPr>
          </w:p>
        </w:tc>
        <w:tc>
          <w:tcPr>
            <w:tcW w:w="1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 respectively; 166,341.592 and no shares issued and outstanding as of September 30, 2024 and December 31, 2023, respectively</w:t>
            </w:r>
          </w:p>
        </w:tc>
        <w:tc>
          <w:tcPr>
            <w:tcW w:w="1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7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Series B Preferred Stock, $0.0001 par value; 437,927 and no shares authorized as of September 30, 2024 and December 31, 2023,</w:t>
            </w:r>
          </w:p>
        </w:tc>
        <w:tc>
          <w:tcPr>
            <w:tcW w:w="160" w:type="dxa"/>
            <w:vAlign w:val="bottom"/>
            <w:shd w:val="clear" w:color="auto" w:fill="CCEEFF"/>
          </w:tcPr>
          <w:p>
            <w:pPr>
              <w:spacing w:after="0"/>
              <w:rPr>
                <w:sz w:val="12"/>
                <w:szCs w:val="12"/>
                <w:color w:val="auto"/>
              </w:rPr>
            </w:pPr>
          </w:p>
        </w:tc>
        <w:tc>
          <w:tcPr>
            <w:tcW w:w="1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respectively; 437,927 and no shares issued and outstanding as of September 30, 2024 and December 31, 2023, respectively</w:t>
            </w:r>
          </w:p>
        </w:tc>
        <w:tc>
          <w:tcPr>
            <w:tcW w:w="160" w:type="dxa"/>
            <w:vAlign w:val="bottom"/>
            <w:shd w:val="clear" w:color="auto" w:fill="CCEEFF"/>
          </w:tcPr>
          <w:p>
            <w:pPr>
              <w:spacing w:after="0"/>
              <w:rPr>
                <w:sz w:val="17"/>
                <w:szCs w:val="17"/>
                <w:color w:val="auto"/>
              </w:rPr>
            </w:pPr>
          </w:p>
        </w:tc>
        <w:tc>
          <w:tcPr>
            <w:tcW w:w="16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7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stock, $0.0001 par value; 9,381,617.247 and 9,451,625 shares authorized as of September 30, 2024 and December 31, 2023,</w:t>
            </w:r>
          </w:p>
        </w:tc>
        <w:tc>
          <w:tcPr>
            <w:tcW w:w="160" w:type="dxa"/>
            <w:vAlign w:val="bottom"/>
          </w:tcPr>
          <w:p>
            <w:pPr>
              <w:spacing w:after="0"/>
              <w:rPr>
                <w:sz w:val="12"/>
                <w:szCs w:val="12"/>
                <w:color w:val="auto"/>
              </w:rPr>
            </w:pPr>
          </w:p>
        </w:tc>
        <w:tc>
          <w:tcPr>
            <w:tcW w:w="1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respectively; no shares issued and outstanding as of September 30, 2024 and December 31, 2023</w:t>
            </w:r>
          </w:p>
        </w:tc>
        <w:tc>
          <w:tcPr>
            <w:tcW w:w="1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7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stock, $0.0001 par value; 350,000,000 shares authorized as of September 30, 2024 and December 31, 2023; 23,896,525 and</w:t>
            </w:r>
          </w:p>
        </w:tc>
        <w:tc>
          <w:tcPr>
            <w:tcW w:w="16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5,397,597 shares issued and outstanding as of September 30, 2024 and December 31, 2023, respectively</w:t>
            </w:r>
          </w:p>
        </w:tc>
        <w:tc>
          <w:tcPr>
            <w:tcW w:w="16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687,174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179,062</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(681,818)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(614,647)</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0" w:type="dxa"/>
            <w:vAlign w:val="bottom"/>
          </w:tcPr>
          <w:p>
            <w:pPr>
              <w:spacing w:after="0"/>
              <w:rPr>
                <w:sz w:val="1"/>
                <w:szCs w:val="1"/>
                <w:color w:val="auto"/>
              </w:rPr>
            </w:pPr>
          </w:p>
        </w:tc>
      </w:tr>
      <w:tr>
        <w:trPr>
          <w:trHeight w:val="19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(440,184)</w:t>
            </w: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convertible preferred stock, and stockholders’ deficit</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455,316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305,050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1"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Cartesian Therapeutics, Inc. and Subsidiaries</w:t>
      </w:r>
    </w:p>
    <w:p>
      <w:pPr>
        <w:spacing w:after="0" w:line="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(Loss)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2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4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6,551</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39,111</w:t>
            </w:r>
          </w:p>
        </w:tc>
        <w:tc>
          <w:tcPr>
            <w:tcW w:w="10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17,738</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 revenue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6,551</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39,672</w:t>
            </w: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17,738</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11,400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33,799</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49,408</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6,562</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23,039</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18,414</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17,962</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19,616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56,838</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67,822</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(17,166)</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(50,084)</w:t>
            </w:r>
          </w:p>
        </w:tc>
        <w:tc>
          <w:tcPr>
            <w:tcW w:w="0" w:type="dxa"/>
            <w:vAlign w:val="bottom"/>
          </w:tcPr>
          <w:p>
            <w:pPr>
              <w:spacing w:after="0"/>
              <w:rPr>
                <w:sz w:val="1"/>
                <w:szCs w:val="1"/>
                <w:color w:val="auto"/>
              </w:rPr>
            </w:pPr>
          </w:p>
        </w:tc>
      </w:tr>
      <w:tr>
        <w:trPr>
          <w:trHeight w:val="195"/>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income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2,573</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4,024</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transaction, net</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5"/>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8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5,669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6,049</w:t>
            </w:r>
          </w:p>
        </w:tc>
        <w:tc>
          <w:tcPr>
            <w:tcW w:w="0" w:type="dxa"/>
            <w:vAlign w:val="bottom"/>
          </w:tcPr>
          <w:p>
            <w:pPr>
              <w:spacing w:after="0"/>
              <w:rPr>
                <w:sz w:val="1"/>
                <w:szCs w:val="1"/>
                <w:color w:val="auto"/>
              </w:rPr>
            </w:pPr>
          </w:p>
        </w:tc>
      </w:tr>
      <w:tr>
        <w:trPr>
          <w:trHeight w:val="195"/>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contingent value right liability</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(51,900)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forward contract liabilities</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(24,183)</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(67,171)</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(42,052)</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(24,198)</w:t>
            </w:r>
          </w:p>
        </w:tc>
        <w:tc>
          <w:tcPr>
            <w:tcW w:w="1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(9,022)</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(67,177)</w:t>
            </w:r>
          </w:p>
        </w:tc>
        <w:tc>
          <w:tcPr>
            <w:tcW w:w="1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(42,110)</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share:</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 and diluted</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 and diluted</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21,471,408</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5,160,150</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14,561,613</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5,129,030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20" w:top="1251" w:right="359" w:bottom="1440" w:gutter="0" w:footer="0" w:header="0"/>
        </w:sectPr>
      </w:pPr>
    </w:p>
    <w:bookmarkStart w:id="9" w:name="page10"/>
    <w:bookmarkEnd w:id="9"/>
    <w:p>
      <w:pPr>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Investor Contact</w:t>
      </w:r>
    </w:p>
    <w:p>
      <w:pPr>
        <w:spacing w:after="0" w:line="212" w:lineRule="auto"/>
        <w:rPr>
          <w:sz w:val="20"/>
          <w:szCs w:val="20"/>
          <w:color w:val="auto"/>
        </w:rPr>
      </w:pPr>
      <w:r>
        <w:rPr>
          <w:rFonts w:ascii="Calibri" w:cs="Calibri" w:eastAsia="Calibri" w:hAnsi="Calibri"/>
          <w:sz w:val="20"/>
          <w:szCs w:val="20"/>
          <w:color w:val="auto"/>
        </w:rPr>
        <w:t>Blaine Davis</w:t>
      </w:r>
    </w:p>
    <w:p>
      <w:pPr>
        <w:spacing w:after="0" w:line="199" w:lineRule="auto"/>
        <w:rPr>
          <w:sz w:val="20"/>
          <w:szCs w:val="20"/>
          <w:color w:val="auto"/>
        </w:rPr>
      </w:pPr>
      <w:r>
        <w:rPr>
          <w:rFonts w:ascii="Calibri" w:cs="Calibri" w:eastAsia="Calibri" w:hAnsi="Calibri"/>
          <w:sz w:val="20"/>
          <w:szCs w:val="20"/>
          <w:color w:val="auto"/>
        </w:rPr>
        <w:t>Chief Financial Ofcer</w:t>
      </w:r>
    </w:p>
    <w:p>
      <w:pPr>
        <w:spacing w:after="0" w:line="212" w:lineRule="auto"/>
        <w:rPr>
          <w:sz w:val="20"/>
          <w:szCs w:val="20"/>
          <w:color w:val="auto"/>
        </w:rPr>
      </w:pPr>
      <w:r>
        <w:rPr>
          <w:rFonts w:ascii="Calibri" w:cs="Calibri" w:eastAsia="Calibri" w:hAnsi="Calibri"/>
          <w:sz w:val="20"/>
          <w:szCs w:val="20"/>
          <w:color w:val="auto"/>
        </w:rPr>
        <w:t>blaine@cartesiantx.com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Media Contact</w:t>
      </w:r>
    </w:p>
    <w:p>
      <w:pPr>
        <w:spacing w:after="0" w:line="199" w:lineRule="auto"/>
        <w:rPr>
          <w:sz w:val="20"/>
          <w:szCs w:val="20"/>
          <w:color w:val="auto"/>
        </w:rPr>
      </w:pPr>
      <w:r>
        <w:rPr>
          <w:rFonts w:ascii="Calibri" w:cs="Calibri" w:eastAsia="Calibri" w:hAnsi="Calibri"/>
          <w:sz w:val="20"/>
          <w:szCs w:val="20"/>
          <w:color w:val="auto"/>
        </w:rPr>
        <w:t>David Rosen</w:t>
      </w:r>
    </w:p>
    <w:p>
      <w:pPr>
        <w:spacing w:after="0" w:line="212" w:lineRule="auto"/>
        <w:rPr>
          <w:sz w:val="20"/>
          <w:szCs w:val="20"/>
          <w:color w:val="auto"/>
        </w:rPr>
      </w:pPr>
      <w:r>
        <w:rPr>
          <w:rFonts w:ascii="Calibri" w:cs="Calibri" w:eastAsia="Calibri" w:hAnsi="Calibri"/>
          <w:sz w:val="20"/>
          <w:szCs w:val="20"/>
          <w:color w:val="auto"/>
        </w:rPr>
        <w:t>Argot Partners</w:t>
      </w:r>
    </w:p>
    <w:p>
      <w:pPr>
        <w:spacing w:after="0" w:line="212" w:lineRule="auto"/>
        <w:rPr>
          <w:sz w:val="20"/>
          <w:szCs w:val="20"/>
          <w:color w:val="auto"/>
        </w:rPr>
      </w:pPr>
      <w:r>
        <w:rPr>
          <w:rFonts w:ascii="Calibri" w:cs="Calibri" w:eastAsia="Calibri" w:hAnsi="Calibri"/>
          <w:sz w:val="20"/>
          <w:szCs w:val="20"/>
          <w:color w:val="auto"/>
        </w:rPr>
        <w:t>david.rosen@argotpartners.com</w:t>
      </w:r>
    </w:p>
    <w:sectPr>
      <w:pgSz w:w="11900" w:h="16838" w:orient="portrait"/>
      <w:cols w:equalWidth="0" w:num="1">
        <w:col w:w="10139"/>
      </w:cols>
      <w:pgMar w:left="320" w:top="12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5"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12.jpeg"/><Relationship Id="rId14" Type="http://schemas.openxmlformats.org/officeDocument/2006/relationships/hyperlink" Target="https://www.sec.gov/Archives/edgar/data/1453687/000114036124032080/ef20031962_ex99-2.htm" TargetMode="External"/><Relationship Id="rId16" Type="http://schemas.openxmlformats.org/officeDocument/2006/relationships/hyperlink" Target="https://www.sec.gov/Archives/edgar/data/0001453687/000114036124011282/ef20023144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2024-11-07T06:18:24Z</dcterms:created>
  <dcterms:modified xsi:type="dcterms:W3CDTF">2024-11-07T06:18:24Z</dcterms:modified>
</cp:coreProperties>
</file>