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3037205</wp:posOffset>
            </wp:positionH>
            <wp:positionV relativeFrom="page">
              <wp:posOffset>157480</wp:posOffset>
            </wp:positionV>
            <wp:extent cx="1482725" cy="4718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December 1,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Tamika Sheppard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Cartesian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Filed on Form S-3, as amended on December 1, 2023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333-275171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4" w:right="300"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Cartesian Therapeutics, Inc. (the “Company”) hereby respectfully requests that the effective date for the above-referenced Registration Statement be accelerated to 5:00 p.m., Eastern Time, on December 1, 2023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" w:right="1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Brian K. Rosenzweig of Covington &amp; Burling LLP at (212) 841-1108 or brosenzweig@cov.com with any questions you may have regarding this request. In addition, please notify Mr. Rosenzweig by telephone when this request for acceleration has been granted.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Respectfully,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Cartesian Therapeutics,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Carsten Brunn, Ph.D.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Carsten Brunn, Ph.D.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President and Chief Executive Officer</w:t>
            </w: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Brian K. Rosenzweig, Covington &amp; Burling LLP</w:t>
      </w:r>
    </w:p>
    <w:sectPr>
      <w:pgSz w:w="11900" w:h="16838" w:orient="portrait"/>
      <w:cols w:equalWidth="0" w:num="1">
        <w:col w:w="11024"/>
      </w:cols>
      <w:pgMar w:left="436" w:top="129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2024-01-08T00:16:18Z</dcterms:created>
  <dcterms:modified xsi:type="dcterms:W3CDTF">2024-01-08T00:16:18Z</dcterms:modified>
</cp:coreProperties>
</file>