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5"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-221615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140" w:type="dxa"/>
            <w:vAlign w:val="bottom"/>
          </w:tcPr>
          <w:p>
            <w:pPr>
              <w:jc w:val="center"/>
              <w:ind w:right="36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8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4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5172710</wp:posOffset>
            </wp:positionH>
            <wp:positionV relativeFrom="paragraph">
              <wp:posOffset>-590550</wp:posOffset>
            </wp:positionV>
            <wp:extent cx="5651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388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-590550</wp:posOffset>
            </wp:positionV>
            <wp:extent cx="56515" cy="60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88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-1741170</wp:posOffset>
            </wp:positionH>
            <wp:positionV relativeFrom="paragraph">
              <wp:posOffset>22860</wp:posOffset>
            </wp:positionV>
            <wp:extent cx="705040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0405" cy="52882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20" w:space="600"/>
            <w:col w:w="8360"/>
          </w:cols>
          <w:pgMar w:left="460" w:top="212"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Miljkovic Milos</w:t>
        </w:r>
      </w:hyperlink>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(Last)</w:t>
            </w:r>
          </w:p>
        </w:tc>
        <w:tc>
          <w:tcPr>
            <w:tcW w:w="1520" w:type="dxa"/>
            <w:vAlign w:val="bottom"/>
          </w:tcPr>
          <w:p>
            <w:pPr>
              <w:ind w:left="440"/>
              <w:spacing w:after="0"/>
              <w:rPr>
                <w:sz w:val="20"/>
                <w:szCs w:val="20"/>
                <w:color w:val="auto"/>
              </w:rPr>
            </w:pPr>
            <w:r>
              <w:rPr>
                <w:rFonts w:ascii="Arial" w:cs="Arial" w:eastAsia="Arial" w:hAnsi="Arial"/>
                <w:sz w:val="12"/>
                <w:szCs w:val="12"/>
                <w:color w:val="auto"/>
              </w:rPr>
              <w:t>(First)</w:t>
            </w:r>
          </w:p>
        </w:tc>
        <w:tc>
          <w:tcPr>
            <w:tcW w:w="1340" w:type="dxa"/>
            <w:vAlign w:val="bottom"/>
          </w:tcPr>
          <w:p>
            <w:pPr>
              <w:ind w:left="140"/>
              <w:spacing w:after="0"/>
              <w:rPr>
                <w:sz w:val="20"/>
                <w:szCs w:val="20"/>
                <w:color w:val="auto"/>
              </w:rPr>
            </w:pPr>
            <w:r>
              <w:rPr>
                <w:rFonts w:ascii="Arial" w:cs="Arial" w:eastAsia="Arial" w:hAnsi="Arial"/>
                <w:sz w:val="12"/>
                <w:szCs w:val="12"/>
                <w:color w:val="auto"/>
              </w:rPr>
              <w:t>(Middle)</w:t>
            </w:r>
          </w:p>
        </w:tc>
      </w:tr>
      <w:tr>
        <w:trPr>
          <w:trHeight w:val="253"/>
        </w:trPr>
        <w:tc>
          <w:tcPr>
            <w:tcW w:w="20" w:type="dxa"/>
            <w:vAlign w:val="bottom"/>
          </w:tcPr>
          <w:p>
            <w:pPr>
              <w:spacing w:after="0"/>
              <w:rPr>
                <w:sz w:val="22"/>
                <w:szCs w:val="22"/>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CARTESIAN THERAPEUTICS, INC.</w:t>
            </w:r>
          </w:p>
        </w:tc>
      </w:tr>
      <w:tr>
        <w:trPr>
          <w:trHeight w:val="243"/>
        </w:trPr>
        <w:tc>
          <w:tcPr>
            <w:tcW w:w="20" w:type="dxa"/>
            <w:vAlign w:val="bottom"/>
          </w:tcPr>
          <w:p>
            <w:pPr>
              <w:spacing w:after="0"/>
              <w:rPr>
                <w:sz w:val="21"/>
                <w:szCs w:val="21"/>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704 QUINCE ORCHARD ROAD</w:t>
            </w:r>
          </w:p>
        </w:tc>
        <w:tc>
          <w:tcPr>
            <w:tcW w:w="1340" w:type="dxa"/>
            <w:vAlign w:val="bottom"/>
          </w:tcPr>
          <w:p>
            <w:pPr>
              <w:spacing w:after="0"/>
              <w:rPr>
                <w:sz w:val="21"/>
                <w:szCs w:val="21"/>
                <w:color w:val="auto"/>
              </w:rPr>
            </w:pPr>
          </w:p>
        </w:tc>
      </w:tr>
      <w:tr>
        <w:trPr>
          <w:trHeight w:val="139"/>
        </w:trPr>
        <w:tc>
          <w:tcPr>
            <w:tcW w:w="2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r>
        <w:trPr>
          <w:trHeight w:val="245"/>
        </w:trPr>
        <w:tc>
          <w:tcPr>
            <w:tcW w:w="8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5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GAITHERSBURG MD</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20878</w:t>
            </w:r>
          </w:p>
        </w:tc>
      </w:tr>
      <w:tr>
        <w:trPr>
          <w:trHeight w:val="139"/>
        </w:trPr>
        <w:tc>
          <w:tcPr>
            <w:tcW w:w="2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r>
        <w:trPr>
          <w:trHeight w:val="281"/>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(City)</w:t>
            </w:r>
          </w:p>
        </w:tc>
        <w:tc>
          <w:tcPr>
            <w:tcW w:w="1520" w:type="dxa"/>
            <w:vAlign w:val="bottom"/>
          </w:tcPr>
          <w:p>
            <w:pPr>
              <w:ind w:left="440"/>
              <w:spacing w:after="0"/>
              <w:rPr>
                <w:sz w:val="20"/>
                <w:szCs w:val="20"/>
                <w:color w:val="auto"/>
              </w:rPr>
            </w:pPr>
            <w:r>
              <w:rPr>
                <w:rFonts w:ascii="Arial" w:cs="Arial" w:eastAsia="Arial" w:hAnsi="Arial"/>
                <w:sz w:val="12"/>
                <w:szCs w:val="12"/>
                <w:color w:val="auto"/>
              </w:rPr>
              <w:t>(State)</w:t>
            </w:r>
          </w:p>
        </w:tc>
        <w:tc>
          <w:tcPr>
            <w:tcW w:w="1340" w:type="dxa"/>
            <w:vAlign w:val="bottom"/>
          </w:tcPr>
          <w:p>
            <w:pPr>
              <w:ind w:left="1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Cartesian Therapeutics,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RNAC</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40" w:type="dxa"/>
            <w:vAlign w:val="bottom"/>
          </w:tcPr>
          <w:p>
            <w:pPr>
              <w:ind w:left="100"/>
              <w:spacing w:after="0" w:line="115"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7"/>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04/08/2024</w:t>
            </w: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0000FF"/>
              </w:rPr>
              <w:t>Chief Medical Officer</w:t>
            </w: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332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3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207" w:lineRule="exact"/>
        <w:rPr>
          <w:sz w:val="24"/>
          <w:szCs w:val="24"/>
          <w:color w:val="auto"/>
        </w:rPr>
      </w:pPr>
    </w:p>
    <w:p>
      <w:pPr>
        <w:ind w:left="300" w:right="520"/>
        <w:spacing w:after="0" w:line="26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760" w:space="80"/>
            <w:col w:w="7240"/>
          </w:cols>
          <w:pgMar w:left="460" w:top="212"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gridSpan w:val="3"/>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200" w:type="dxa"/>
            <w:vAlign w:val="bottom"/>
          </w:tcPr>
          <w:p>
            <w:pPr>
              <w:spacing w:after="0"/>
              <w:rPr>
                <w:sz w:val="12"/>
                <w:szCs w:val="12"/>
                <w:color w:val="auto"/>
              </w:rPr>
            </w:pPr>
          </w:p>
        </w:tc>
        <w:tc>
          <w:tcPr>
            <w:tcW w:w="8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1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2"/>
                <w:szCs w:val="12"/>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8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2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8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  8)</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ind w:left="360"/>
              <w:spacing w:after="0" w:line="122"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4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6"/>
        </w:trPr>
        <w:tc>
          <w:tcPr>
            <w:tcW w:w="14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18,273</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40" w:type="dxa"/>
            <w:vAlign w:val="bottom"/>
            <w:gridSpan w:val="12"/>
          </w:tcPr>
          <w:p>
            <w:pPr>
              <w:ind w:lef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00" w:type="dxa"/>
            <w:vAlign w:val="bottom"/>
            <w:gridSpan w:val="10"/>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0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0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 Security (Instr.</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8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8)</w:t>
            </w:r>
          </w:p>
        </w:tc>
        <w:tc>
          <w:tcPr>
            <w:tcW w:w="10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4 and 5)</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2" w:lineRule="exact"/>
              <w:rPr>
                <w:sz w:val="20"/>
                <w:szCs w:val="20"/>
                <w:color w:val="auto"/>
              </w:rPr>
            </w:pPr>
            <w:r>
              <w:rPr>
                <w:rFonts w:ascii="Arial" w:cs="Arial" w:eastAsia="Arial" w:hAnsi="Arial"/>
                <w:sz w:val="11"/>
                <w:szCs w:val="11"/>
                <w:b w:val="1"/>
                <w:bCs w:val="1"/>
                <w:color w:val="auto"/>
              </w:rPr>
              <w:t>Expiration</w:t>
            </w:r>
          </w:p>
        </w:tc>
        <w:tc>
          <w:tcPr>
            <w:tcW w:w="70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ind w:left="40"/>
              <w:spacing w:after="0"/>
              <w:rPr>
                <w:sz w:val="20"/>
                <w:szCs w:val="20"/>
                <w:color w:val="auto"/>
              </w:rPr>
            </w:pPr>
            <w:r>
              <w:rPr>
                <w:rFonts w:ascii="Arial" w:cs="Arial" w:eastAsia="Arial" w:hAnsi="Arial"/>
                <w:sz w:val="11"/>
                <w:szCs w:val="11"/>
                <w:b w:val="1"/>
                <w:bCs w:val="1"/>
                <w:color w:val="auto"/>
                <w:w w:val="91"/>
              </w:rPr>
              <w:t>(A)</w:t>
            </w:r>
          </w:p>
        </w:tc>
        <w:tc>
          <w:tcPr>
            <w:tcW w:w="880" w:type="dxa"/>
            <w:vAlign w:val="bottom"/>
          </w:tcPr>
          <w:p>
            <w:pPr>
              <w:ind w:left="30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Series A</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9"/>
              </w:rPr>
              <w:t>Non-Voting</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2,565.872</w:t>
            </w:r>
          </w:p>
        </w:tc>
        <w:tc>
          <w:tcPr>
            <w:tcW w:w="7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660" w:type="dxa"/>
            <w:vAlign w:val="bottom"/>
            <w:vMerge w:val="continue"/>
          </w:tcPr>
          <w:p>
            <w:pPr>
              <w:spacing w:after="0"/>
              <w:rPr>
                <w:sz w:val="5"/>
                <w:szCs w:val="5"/>
                <w:color w:val="auto"/>
              </w:rPr>
            </w:pPr>
          </w:p>
        </w:tc>
        <w:tc>
          <w:tcPr>
            <w:tcW w:w="740" w:type="dxa"/>
            <w:vAlign w:val="bottom"/>
            <w:vMerge w:val="restart"/>
          </w:tcPr>
          <w:p>
            <w:pPr>
              <w:jc w:val="center"/>
              <w:spacing w:after="0" w:line="134" w:lineRule="exact"/>
              <w:rPr>
                <w:sz w:val="20"/>
                <w:szCs w:val="20"/>
                <w:color w:val="auto"/>
              </w:rPr>
            </w:pPr>
            <w:r>
              <w:rPr>
                <w:rFonts w:ascii="Arial" w:cs="Arial" w:eastAsia="Arial" w:hAnsi="Arial"/>
                <w:sz w:val="11"/>
                <w:szCs w:val="11"/>
                <w:color w:val="auto"/>
                <w:w w:val="97"/>
              </w:rPr>
              <w:t>$</w:t>
            </w:r>
            <w:r>
              <w:rPr>
                <w:rFonts w:ascii="Times New Roman" w:cs="Times New Roman" w:eastAsia="Times New Roman" w:hAnsi="Times New Roman"/>
                <w:sz w:val="12"/>
                <w:szCs w:val="12"/>
                <w:color w:val="0000FF"/>
                <w:w w:val="97"/>
              </w:rPr>
              <w:t>107.59</w:t>
            </w:r>
          </w:p>
        </w:tc>
        <w:tc>
          <w:tcPr>
            <w:tcW w:w="1020" w:type="dxa"/>
            <w:vAlign w:val="bottom"/>
            <w:vMerge w:val="restart"/>
          </w:tcPr>
          <w:p>
            <w:pPr>
              <w:jc w:val="right"/>
              <w:ind w:right="183"/>
              <w:spacing w:after="0" w:line="134" w:lineRule="exact"/>
              <w:rPr>
                <w:sz w:val="20"/>
                <w:szCs w:val="20"/>
                <w:color w:val="auto"/>
              </w:rPr>
            </w:pPr>
            <w:r>
              <w:rPr>
                <w:rFonts w:ascii="Times New Roman" w:cs="Times New Roman" w:eastAsia="Times New Roman" w:hAnsi="Times New Roman"/>
                <w:sz w:val="12"/>
                <w:szCs w:val="12"/>
                <w:color w:val="0000FF"/>
              </w:rPr>
              <w:t>04/08/2024</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5"/>
                <w:szCs w:val="5"/>
                <w:color w:val="auto"/>
              </w:rPr>
            </w:pPr>
          </w:p>
        </w:tc>
        <w:tc>
          <w:tcPr>
            <w:tcW w:w="880" w:type="dxa"/>
            <w:vAlign w:val="bottom"/>
            <w:vMerge w:val="restart"/>
          </w:tcPr>
          <w:p>
            <w:pPr>
              <w:ind w:left="300"/>
              <w:spacing w:after="0" w:line="134" w:lineRule="exact"/>
              <w:rPr>
                <w:sz w:val="20"/>
                <w:szCs w:val="20"/>
                <w:color w:val="auto"/>
              </w:rPr>
            </w:pPr>
            <w:r>
              <w:rPr>
                <w:rFonts w:ascii="Times New Roman" w:cs="Times New Roman" w:eastAsia="Times New Roman" w:hAnsi="Times New Roman"/>
                <w:sz w:val="12"/>
                <w:szCs w:val="12"/>
                <w:color w:val="0000FF"/>
              </w:rPr>
              <w:t>2,565.872</w:t>
            </w:r>
          </w:p>
        </w:tc>
        <w:tc>
          <w:tcPr>
            <w:tcW w:w="780" w:type="dxa"/>
            <w:vAlign w:val="bottom"/>
            <w:gridSpan w:val="2"/>
            <w:vMerge w:val="continue"/>
          </w:tcPr>
          <w:p>
            <w:pPr>
              <w:spacing w:after="0"/>
              <w:rPr>
                <w:sz w:val="5"/>
                <w:szCs w:val="5"/>
                <w:color w:val="auto"/>
              </w:rPr>
            </w:pPr>
          </w:p>
        </w:tc>
        <w:tc>
          <w:tcPr>
            <w:tcW w:w="620" w:type="dxa"/>
            <w:vAlign w:val="bottom"/>
            <w:vMerge w:val="restart"/>
          </w:tcPr>
          <w:p>
            <w:pPr>
              <w:spacing w:after="0" w:line="134" w:lineRule="exact"/>
              <w:rPr>
                <w:sz w:val="20"/>
                <w:szCs w:val="20"/>
                <w:color w:val="auto"/>
              </w:rPr>
            </w:pPr>
            <w:r>
              <w:rPr>
                <w:rFonts w:ascii="Times New Roman" w:cs="Times New Roman" w:eastAsia="Times New Roman" w:hAnsi="Times New Roman"/>
                <w:sz w:val="12"/>
                <w:szCs w:val="12"/>
                <w:color w:val="0000FF"/>
              </w:rPr>
              <w:t>09/12/2031</w:t>
            </w:r>
          </w:p>
        </w:tc>
        <w:tc>
          <w:tcPr>
            <w:tcW w:w="70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Convertible</w:t>
            </w: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60" w:type="dxa"/>
            <w:vAlign w:val="bottom"/>
            <w:vMerge w:val="restart"/>
          </w:tcPr>
          <w:p>
            <w:pPr>
              <w:jc w:val="center"/>
              <w:ind w:left="264"/>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3.23</w:t>
            </w:r>
          </w:p>
        </w:tc>
        <w:tc>
          <w:tcPr>
            <w:tcW w:w="1020" w:type="dxa"/>
            <w:vAlign w:val="bottom"/>
            <w:vMerge w:val="restart"/>
          </w:tcPr>
          <w:p>
            <w:pPr>
              <w:jc w:val="right"/>
              <w:ind w:right="183"/>
              <w:spacing w:after="0"/>
              <w:rPr>
                <w:sz w:val="20"/>
                <w:szCs w:val="20"/>
                <w:color w:val="auto"/>
              </w:rPr>
            </w:pPr>
            <w:r>
              <w:rPr>
                <w:rFonts w:ascii="Times New Roman" w:cs="Times New Roman" w:eastAsia="Times New Roman" w:hAnsi="Times New Roman"/>
                <w:sz w:val="12"/>
                <w:szCs w:val="12"/>
                <w:color w:val="0000FF"/>
              </w:rPr>
              <w:t>04/08/2024</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85,528</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09/12/2031</w:t>
            </w: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85,528</w:t>
            </w:r>
            <w:r>
              <w:rPr>
                <w:rFonts w:ascii="Times New Roman" w:cs="Times New Roman" w:eastAsia="Times New Roman" w:hAnsi="Times New Roman"/>
                <w:sz w:val="20"/>
                <w:szCs w:val="20"/>
                <w:color w:val="008000"/>
                <w:w w:val="93"/>
                <w:vertAlign w:val="superscript"/>
              </w:rPr>
              <w:t>(1)</w:t>
            </w:r>
          </w:p>
        </w:tc>
        <w:tc>
          <w:tcPr>
            <w:tcW w:w="7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(5)</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85,528</w:t>
            </w:r>
            <w:r>
              <w:rPr>
                <w:rFonts w:ascii="Times New Roman" w:cs="Times New Roman" w:eastAsia="Times New Roman" w:hAnsi="Times New Roman"/>
                <w:sz w:val="20"/>
                <w:szCs w:val="20"/>
                <w:color w:val="008000"/>
                <w:w w:val="94"/>
                <w:vertAlign w:val="superscript"/>
              </w:rPr>
              <w:t>(1)</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7"/>
              </w:rPr>
              <w:t>$</w:t>
            </w:r>
            <w:r>
              <w:rPr>
                <w:rFonts w:ascii="Times New Roman" w:cs="Times New Roman" w:eastAsia="Times New Roman" w:hAnsi="Times New Roman"/>
                <w:sz w:val="12"/>
                <w:szCs w:val="12"/>
                <w:color w:val="0000FF"/>
                <w:w w:val="97"/>
              </w:rPr>
              <w:t>19.656</w:t>
            </w: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01/01/2034</w:t>
            </w: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23,433</w:t>
            </w:r>
            <w:r>
              <w:rPr>
                <w:rFonts w:ascii="Times New Roman" w:cs="Times New Roman" w:eastAsia="Times New Roman" w:hAnsi="Times New Roman"/>
                <w:sz w:val="20"/>
                <w:szCs w:val="20"/>
                <w:color w:val="008000"/>
                <w:w w:val="93"/>
                <w:vertAlign w:val="superscript"/>
              </w:rPr>
              <w:t>(1)</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23,433</w:t>
            </w:r>
            <w:r>
              <w:rPr>
                <w:rFonts w:ascii="Times New Roman" w:cs="Times New Roman" w:eastAsia="Times New Roman" w:hAnsi="Times New Roman"/>
                <w:sz w:val="20"/>
                <w:szCs w:val="20"/>
                <w:color w:val="008000"/>
                <w:w w:val="94"/>
                <w:vertAlign w:val="superscript"/>
              </w:rPr>
              <w:t>(1)</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40" w:right="420" w:hanging="6"/>
        <w:spacing w:after="0" w:line="267"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4, 2024, the issuer effected a 1-for-30 reverse stock split (the "Reverse Stock Split") of its common stock ("Common Stock"). The amount of securities reported on this Form 4 has been adjusted to reflect the Reverse Stock Split.</w:t>
      </w:r>
    </w:p>
    <w:p>
      <w:pPr>
        <w:spacing w:after="0" w:line="8" w:lineRule="exact"/>
        <w:rPr>
          <w:rFonts w:ascii="Times New Roman" w:cs="Times New Roman" w:eastAsia="Times New Roman" w:hAnsi="Times New Roman"/>
          <w:sz w:val="12"/>
          <w:szCs w:val="12"/>
          <w:color w:val="008000"/>
        </w:rPr>
      </w:pPr>
    </w:p>
    <w:p>
      <w:pPr>
        <w:ind w:left="40" w:right="160" w:hanging="6"/>
        <w:spacing w:after="0" w:line="241"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27, 2024, the issuer held a special meeting of stockholders (the "Special Meeting"). At the Special Meeting, the stockholders of the issuer approved the Reverse Stock Split and the conversion of the issuer's Series A Non-Voting Convertible Preferred Stock ("Series A Preferred Stock") into shares of Common Stock. On April 8, 2024, the conversion of the majority of the shares of Series A Preferred Stock occurred automatically (the "Automatic Conversion"). The remaining shares of Series A Preferred Stock remain subject to certain beneficial ownership limitations described in the issuer's filings with the Securities and Exchange Commission. Prior to the Automatic Conversion, the option was exercisable for 1,282.936 shares of Series A Preferred Stock and would have become exercisable for the remaining 1,282.936 shares of Series A Preferred Stock in two equal tranches on September 13, 2024 and 2025.</w:t>
      </w:r>
    </w:p>
    <w:p>
      <w:pPr>
        <w:spacing w:after="0" w:line="24" w:lineRule="exact"/>
        <w:rPr>
          <w:rFonts w:ascii="Times New Roman" w:cs="Times New Roman" w:eastAsia="Times New Roman" w:hAnsi="Times New Roman"/>
          <w:sz w:val="12"/>
          <w:szCs w:val="12"/>
          <w:color w:val="008000"/>
        </w:rPr>
      </w:pPr>
    </w:p>
    <w:p>
      <w:pPr>
        <w:ind w:left="40" w:right="340" w:hanging="6"/>
        <w:spacing w:after="0" w:line="267"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13, 2023, the issuer acquired the private Delaware corporation which was then known as Cartesian Therapeutics, Inc. ("Old Cartesian") in accordance with the terms of an Agreement and Plan of Merger, dated November 13, 2023. Options to purchase Old Cartesian common stock held by the reporting person were converted into options to purchase shares of Series A Preferred Stock in connection with the acquisition.</w:t>
      </w:r>
    </w:p>
    <w:p>
      <w:pPr>
        <w:spacing w:after="0" w:line="8" w:lineRule="exact"/>
        <w:rPr>
          <w:rFonts w:ascii="Times New Roman" w:cs="Times New Roman" w:eastAsia="Times New Roman" w:hAnsi="Times New Roman"/>
          <w:sz w:val="12"/>
          <w:szCs w:val="12"/>
          <w:color w:val="008000"/>
        </w:rPr>
      </w:pPr>
    </w:p>
    <w:p>
      <w:pPr>
        <w:ind w:left="40" w:right="660" w:hanging="6"/>
        <w:spacing w:after="0" w:line="267"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Automatic Conversion, the option is currently exercisable for 42,764 shares of Common Stock and becomes exercisable for the remaining 42,764 shares of Common Stock in two equal tranches on September 13, 2024 and 2025.</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Automatic Conversion, options previously exercisable for Series A Preferred Stock may be exercised solely for shares of Common Stock.</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option vests as to 25% on January 2, 2025. The remainder of the underlying shares will vest in three equal annual installments thereafter so that the underlying shares will be fully vested on January 2, 2028.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-7620</wp:posOffset>
            </wp:positionV>
            <wp:extent cx="10445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4575" cy="7620"/>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Milos</w:t>
      </w:r>
      <w:r>
        <w:rPr>
          <w:sz w:val="20"/>
          <w:szCs w:val="20"/>
          <w:color w:val="auto"/>
        </w:rPr>
        <w:tab/>
      </w:r>
      <w:r>
        <w:rPr>
          <w:rFonts w:ascii="Times New Roman" w:cs="Times New Roman" w:eastAsia="Times New Roman" w:hAnsi="Times New Roman"/>
          <w:sz w:val="15"/>
          <w:szCs w:val="15"/>
          <w:color w:val="0000FF"/>
        </w:rPr>
        <w:t>04/10/2024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-15240</wp:posOffset>
            </wp:positionV>
            <wp:extent cx="18535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356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Miljkovic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-15240</wp:posOffset>
            </wp:positionV>
            <wp:extent cx="3956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5605" cy="7620"/>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40" w:hanging="6"/>
        <w:spacing w:after="0" w:line="317"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2000282"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2024-04-10T20:40:41Z</dcterms:created>
  <dcterms:modified xsi:type="dcterms:W3CDTF">2024-04-10T20:40:41Z</dcterms:modified>
</cp:coreProperties>
</file>