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634365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600710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9" w:lineRule="exact"/>
        <w:rPr>
          <w:sz w:val="24"/>
          <w:szCs w:val="24"/>
          <w:color w:val="auto"/>
        </w:rPr>
      </w:pPr>
    </w:p>
    <w:p>
      <w:pPr>
        <w:ind w:left="680" w:hanging="423"/>
        <w:spacing w:after="0"/>
        <w:tabs>
          <w:tab w:leader="none" w:pos="6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7" w:lineRule="exact"/>
        <w:rPr>
          <w:sz w:val="24"/>
          <w:szCs w:val="24"/>
          <w:color w:val="auto"/>
        </w:rPr>
      </w:pPr>
    </w:p>
    <w:p>
      <w:pPr>
        <w:ind w:left="680" w:hanging="423"/>
        <w:spacing w:after="0"/>
        <w:tabs>
          <w:tab w:leader="none" w:pos="6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color w:val="auto"/>
        </w:rPr>
        <w:t>Selecta Biosciences,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5" w:lineRule="exact"/>
        <w:rPr>
          <w:sz w:val="24"/>
          <w:szCs w:val="24"/>
          <w:color w:val="auto"/>
        </w:rPr>
      </w:pPr>
    </w:p>
    <w:tbl>
      <w:tblPr>
        <w:tblLayout w:type="fixed"/>
        <w:tblInd w:w="1980" w:type="dxa"/>
        <w:tblCellMar>
          <w:top w:w="0" w:type="dxa"/>
          <w:left w:w="0" w:type="dxa"/>
          <w:bottom w:w="0" w:type="dxa"/>
          <w:right w:w="0" w:type="dxa"/>
        </w:tblCellMar>
      </w:tblPr>
      <w:tr>
        <w:trPr>
          <w:trHeight w:val="231"/>
        </w:trPr>
        <w:tc>
          <w:tcPr>
            <w:tcW w:w="29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2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0"/>
        </w:trPr>
        <w:tc>
          <w:tcPr>
            <w:tcW w:w="29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42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9"/>
        </w:trPr>
        <w:tc>
          <w:tcPr>
            <w:tcW w:w="2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4220" w:type="dxa"/>
            <w:vAlign w:val="bottom"/>
          </w:tcPr>
          <w:p>
            <w:pPr>
              <w:spacing w:after="0"/>
              <w:rPr>
                <w:sz w:val="19"/>
                <w:szCs w:val="19"/>
                <w:color w:val="auto"/>
              </w:rPr>
            </w:pPr>
          </w:p>
        </w:tc>
      </w:tr>
      <w:tr>
        <w:trPr>
          <w:trHeight w:val="344"/>
        </w:trPr>
        <w:tc>
          <w:tcPr>
            <w:tcW w:w="29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65 Grove Street, Watertown, MA</w:t>
            </w:r>
          </w:p>
        </w:tc>
        <w:tc>
          <w:tcPr>
            <w:tcW w:w="422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51"/>
        </w:trPr>
        <w:tc>
          <w:tcPr>
            <w:tcW w:w="2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57"/>
        </w:trPr>
        <w:tc>
          <w:tcPr>
            <w:tcW w:w="2940" w:type="dxa"/>
            <w:vAlign w:val="bottom"/>
          </w:tcPr>
          <w:p>
            <w:pPr>
              <w:spacing w:after="0"/>
              <w:rPr>
                <w:sz w:val="24"/>
                <w:szCs w:val="24"/>
                <w:color w:val="auto"/>
              </w:rPr>
            </w:pPr>
          </w:p>
        </w:tc>
        <w:tc>
          <w:tcPr>
            <w:tcW w:w="4220" w:type="dxa"/>
            <w:vAlign w:val="bottom"/>
          </w:tcPr>
          <w:p>
            <w:pPr>
              <w:jc w:val="right"/>
              <w:ind w:right="2872"/>
              <w:spacing w:after="0"/>
              <w:rPr>
                <w:sz w:val="20"/>
                <w:szCs w:val="20"/>
                <w:color w:val="auto"/>
              </w:rPr>
            </w:pPr>
            <w:r>
              <w:rPr>
                <w:rFonts w:ascii="Times New Roman" w:cs="Times New Roman" w:eastAsia="Times New Roman" w:hAnsi="Times New Roman"/>
                <w:sz w:val="18"/>
                <w:szCs w:val="18"/>
                <w:b w:val="1"/>
                <w:bCs w:val="1"/>
                <w:color w:val="auto"/>
              </w:rPr>
              <w:t>(617) 923-1400</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8"/>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14" w:lineRule="exact"/>
        <w:rPr>
          <w:sz w:val="24"/>
          <w:szCs w:val="24"/>
          <w:color w:val="auto"/>
        </w:rPr>
      </w:pPr>
    </w:p>
    <w:p>
      <w:pPr>
        <w:ind w:right="180" w:firstLine="317"/>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317"/>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31" w:lineRule="exact"/>
        <w:rPr>
          <w:sz w:val="24"/>
          <w:szCs w:val="24"/>
          <w:color w:val="auto"/>
        </w:rPr>
      </w:pPr>
    </w:p>
    <w:p>
      <w:pPr>
        <w:ind w:right="80" w:firstLine="31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1860" w:type="dxa"/>
        <w:tblCellMar>
          <w:top w:w="0" w:type="dxa"/>
          <w:left w:w="0" w:type="dxa"/>
          <w:bottom w:w="0" w:type="dxa"/>
          <w:right w:w="0" w:type="dxa"/>
        </w:tblCellMar>
      </w:tblPr>
      <w:tr>
        <w:trPr>
          <w:trHeight w:val="212"/>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16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Non-accelerated filer</w:t>
            </w:r>
          </w:p>
        </w:tc>
        <w:tc>
          <w:tcPr>
            <w:tcW w:w="16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7"/>
        </w:trPr>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2" w:lineRule="exact"/>
        <w:rPr>
          <w:sz w:val="24"/>
          <w:szCs w:val="24"/>
          <w:color w:val="auto"/>
        </w:rPr>
      </w:pPr>
    </w:p>
    <w:p>
      <w:pPr>
        <w:ind w:right="60" w:firstLine="31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320" w:right="1940"/>
        <w:spacing w:after="0" w:line="23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28, 2022, the registrant had 153,031,097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601345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0"/>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15"/>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80" w:type="dxa"/>
            <w:vAlign w:val="bottom"/>
            <w:gridSpan w:val="11"/>
          </w:tcPr>
          <w:p>
            <w:pPr>
              <w:jc w:val="center"/>
              <w:ind w:right="3960"/>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840" w:type="dxa"/>
            <w:vAlign w:val="bottom"/>
            <w:gridSpan w:val="2"/>
          </w:tcPr>
          <w:p>
            <w:pPr>
              <w:spacing w:after="0"/>
              <w:rPr>
                <w:sz w:val="24"/>
                <w:szCs w:val="24"/>
                <w:color w:val="auto"/>
              </w:rPr>
            </w:pPr>
          </w:p>
        </w:tc>
        <w:tc>
          <w:tcPr>
            <w:tcW w:w="2820" w:type="dxa"/>
            <w:vAlign w:val="bottom"/>
            <w:tcBorders>
              <w:top w:val="single" w:sz="8" w:color="0000FF"/>
            </w:tcBorders>
            <w:gridSpan w:val="6"/>
          </w:tcPr>
          <w:p>
            <w:pPr>
              <w:spacing w:after="0"/>
              <w:rPr>
                <w:sz w:val="24"/>
                <w:szCs w:val="24"/>
                <w:color w:val="auto"/>
              </w:rPr>
            </w:pPr>
          </w:p>
        </w:tc>
        <w:tc>
          <w:tcPr>
            <w:tcW w:w="3960" w:type="dxa"/>
            <w:vAlign w:val="bottom"/>
            <w:gridSpan w:val="5"/>
          </w:tcPr>
          <w:p>
            <w:pPr>
              <w:spacing w:after="0"/>
              <w:rPr>
                <w:sz w:val="24"/>
                <w:szCs w:val="24"/>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99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as of September 30, 2022 and December 31, 2021</w:t>
            </w:r>
          </w:p>
        </w:tc>
        <w:tc>
          <w:tcPr>
            <w:tcW w:w="30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99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Nine Months ended September 30,</w:t>
            </w:r>
          </w:p>
        </w:tc>
        <w:tc>
          <w:tcPr>
            <w:tcW w:w="30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w:t>
            </w:r>
          </w:p>
        </w:tc>
      </w:tr>
      <w:tr>
        <w:trPr>
          <w:trHeight w:val="132"/>
        </w:trPr>
        <w:tc>
          <w:tcPr>
            <w:tcW w:w="98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4"/>
          </w:tcPr>
          <w:p>
            <w:pPr>
              <w:spacing w:after="0" w:line="132" w:lineRule="exact"/>
              <w:rPr>
                <w:sz w:val="20"/>
                <w:szCs w:val="20"/>
                <w:color w:val="auto"/>
              </w:rPr>
            </w:pPr>
            <w:r>
              <w:rPr>
                <w:rFonts w:ascii="Times New Roman" w:cs="Times New Roman" w:eastAsia="Times New Roman" w:hAnsi="Times New Roman"/>
                <w:sz w:val="15"/>
                <w:szCs w:val="15"/>
                <w:color w:val="0000FF"/>
              </w:rPr>
              <w:t>2022 and 2021</w:t>
            </w:r>
          </w:p>
        </w:tc>
        <w:tc>
          <w:tcPr>
            <w:tcW w:w="7980" w:type="dxa"/>
            <w:vAlign w:val="bottom"/>
            <w:tcBorders>
              <w:top w:val="single" w:sz="8" w:color="0000FF"/>
            </w:tcBorders>
            <w:gridSpan w:val="17"/>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218"/>
        </w:trPr>
        <w:tc>
          <w:tcPr>
            <w:tcW w:w="980" w:type="dxa"/>
            <w:vAlign w:val="bottom"/>
          </w:tcPr>
          <w:p>
            <w:pPr>
              <w:spacing w:after="0"/>
              <w:rPr>
                <w:sz w:val="18"/>
                <w:szCs w:val="18"/>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Three Months ended March 31, June 30, and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2"/>
        </w:trPr>
        <w:tc>
          <w:tcPr>
            <w:tcW w:w="98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September 30, 2022 and 2021</w:t>
            </w:r>
          </w:p>
        </w:tc>
        <w:tc>
          <w:tcPr>
            <w:tcW w:w="6560" w:type="dxa"/>
            <w:vAlign w:val="bottom"/>
            <w:tcBorders>
              <w:top w:val="single" w:sz="8" w:color="0000FF"/>
            </w:tcBorders>
            <w:gridSpan w:val="12"/>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18"/>
        </w:trPr>
        <w:tc>
          <w:tcPr>
            <w:tcW w:w="980" w:type="dxa"/>
            <w:vAlign w:val="bottom"/>
          </w:tcPr>
          <w:p>
            <w:pPr>
              <w:spacing w:after="0"/>
              <w:rPr>
                <w:sz w:val="18"/>
                <w:szCs w:val="18"/>
                <w:color w:val="auto"/>
              </w:rPr>
            </w:pPr>
          </w:p>
        </w:tc>
        <w:tc>
          <w:tcPr>
            <w:tcW w:w="6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Nine Months ended September 30, 2022 and 2021</w:t>
            </w:r>
          </w:p>
        </w:tc>
        <w:tc>
          <w:tcPr>
            <w:tcW w:w="3040" w:type="dxa"/>
            <w:vAlign w:val="bottom"/>
            <w:gridSpan w:val="3"/>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10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820" w:type="dxa"/>
            <w:vAlign w:val="bottom"/>
            <w:gridSpan w:val="9"/>
          </w:tcPr>
          <w:p>
            <w:pPr>
              <w:spacing w:after="0"/>
              <w:rPr>
                <w:sz w:val="17"/>
                <w:szCs w:val="17"/>
                <w:color w:val="auto"/>
              </w:rPr>
            </w:pPr>
          </w:p>
        </w:tc>
        <w:tc>
          <w:tcPr>
            <w:tcW w:w="3040" w:type="dxa"/>
            <w:vAlign w:val="bottom"/>
            <w:gridSpan w:val="3"/>
          </w:tcPr>
          <w:p>
            <w:pPr>
              <w:spacing w:after="0"/>
              <w:rPr>
                <w:sz w:val="17"/>
                <w:szCs w:val="17"/>
                <w:color w:val="auto"/>
              </w:rPr>
            </w:pPr>
          </w:p>
        </w:tc>
        <w:tc>
          <w:tcPr>
            <w:tcW w:w="30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9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680" w:type="dxa"/>
            <w:vAlign w:val="bottom"/>
            <w:gridSpan w:val="8"/>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9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30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88"/>
              </w:rPr>
              <w:t>43</w:t>
            </w:r>
          </w:p>
        </w:tc>
      </w:tr>
      <w:tr>
        <w:trPr>
          <w:trHeight w:val="469"/>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PART II. OTHER INFORMATION</w:t>
            </w:r>
          </w:p>
        </w:tc>
        <w:tc>
          <w:tcPr>
            <w:tcW w:w="4100" w:type="dxa"/>
            <w:vAlign w:val="bottom"/>
            <w:gridSpan w:val="6"/>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640" w:type="dxa"/>
            <w:vAlign w:val="bottom"/>
            <w:gridSpan w:val="16"/>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24"/>
                <w:szCs w:val="24"/>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906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9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0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88"/>
              </w:rPr>
              <w:t>45</w:t>
            </w: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7620" w:type="dxa"/>
            <w:vAlign w:val="bottom"/>
            <w:gridSpan w:val="13"/>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2"/>
          </w:tcPr>
          <w:p>
            <w:pPr>
              <w:spacing w:after="0"/>
              <w:rPr>
                <w:sz w:val="17"/>
                <w:szCs w:val="17"/>
                <w:color w:val="auto"/>
              </w:rPr>
            </w:pPr>
          </w:p>
        </w:tc>
        <w:tc>
          <w:tcPr>
            <w:tcW w:w="8220" w:type="dxa"/>
            <w:vAlign w:val="bottom"/>
            <w:gridSpan w:val="15"/>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17"/>
                <w:szCs w:val="17"/>
                <w:color w:val="auto"/>
              </w:rPr>
            </w:pP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Exhibits</w:t>
            </w:r>
          </w:p>
        </w:tc>
        <w:tc>
          <w:tcPr>
            <w:tcW w:w="9360" w:type="dxa"/>
            <w:vAlign w:val="bottom"/>
            <w:gridSpan w:val="21"/>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7"/>
                <w:szCs w:val="17"/>
                <w:color w:val="auto"/>
              </w:rPr>
            </w:pPr>
          </w:p>
        </w:tc>
      </w:tr>
      <w:tr>
        <w:trPr>
          <w:trHeight w:val="205"/>
        </w:trPr>
        <w:tc>
          <w:tcPr>
            <w:tcW w:w="980" w:type="dxa"/>
            <w:vAlign w:val="bottom"/>
          </w:tcPr>
          <w:p>
            <w:pPr>
              <w:spacing w:after="0"/>
              <w:rPr>
                <w:sz w:val="17"/>
                <w:szCs w:val="17"/>
                <w:color w:val="auto"/>
              </w:rPr>
            </w:pPr>
          </w:p>
        </w:tc>
        <w:tc>
          <w:tcPr>
            <w:tcW w:w="76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Signatures</w:t>
            </w:r>
          </w:p>
        </w:tc>
        <w:tc>
          <w:tcPr>
            <w:tcW w:w="920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97"/>
        </w:trPr>
        <w:tc>
          <w:tcPr>
            <w:tcW w:w="980" w:type="dxa"/>
            <w:vAlign w:val="bottom"/>
          </w:tcPr>
          <w:p>
            <w:pPr>
              <w:spacing w:after="0"/>
              <w:rPr>
                <w:sz w:val="24"/>
                <w:szCs w:val="24"/>
                <w:color w:val="auto"/>
              </w:rPr>
            </w:pPr>
          </w:p>
        </w:tc>
        <w:tc>
          <w:tcPr>
            <w:tcW w:w="5620" w:type="dxa"/>
            <w:vAlign w:val="bottom"/>
            <w:gridSpan w:val="15"/>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3"/>
        </w:trPr>
        <w:tc>
          <w:tcPr>
            <w:tcW w:w="9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2" w:lineRule="exact"/>
        <w:rPr>
          <w:sz w:val="20"/>
          <w:szCs w:val="20"/>
          <w:color w:val="auto"/>
        </w:rPr>
      </w:pPr>
    </w:p>
    <w:p>
      <w:pPr>
        <w:ind w:right="140" w:firstLine="317"/>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2" w:lineRule="exact"/>
        <w:rPr>
          <w:sz w:val="20"/>
          <w:szCs w:val="20"/>
          <w:color w:val="auto"/>
        </w:rPr>
      </w:pPr>
    </w:p>
    <w:p>
      <w:pPr>
        <w:ind w:right="60" w:firstLine="317"/>
        <w:spacing w:after="0" w:line="266"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70" w:lineRule="exact"/>
        <w:rPr>
          <w:sz w:val="20"/>
          <w:szCs w:val="20"/>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need to raise additional funds;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such pipeline;</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w:t>
      </w:r>
    </w:p>
    <w:p>
      <w:pPr>
        <w:spacing w:after="0" w:line="110" w:lineRule="exact"/>
        <w:rPr>
          <w:rFonts w:ascii="Times New Roman" w:cs="Times New Roman" w:eastAsia="Times New Roman" w:hAnsi="Times New Roman"/>
          <w:sz w:val="18"/>
          <w:szCs w:val="18"/>
          <w:color w:val="auto"/>
        </w:rPr>
      </w:pPr>
    </w:p>
    <w:p>
      <w:pPr>
        <w:ind w:left="640" w:right="340" w:hanging="317"/>
        <w:spacing w:after="0" w:line="270"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the COVID-19 pandemic on our operations, the continuity of our business, including our preclinical studies and clinical trials, and general economic conditions;</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110" w:lineRule="exact"/>
        <w:rPr>
          <w:sz w:val="20"/>
          <w:szCs w:val="20"/>
          <w:color w:val="auto"/>
        </w:rPr>
      </w:pPr>
    </w:p>
    <w:p>
      <w:pPr>
        <w:ind w:right="200" w:firstLine="317"/>
        <w:spacing w:after="0" w:line="270"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63"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0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as of September 30, 2022 and December</w:t>
            </w:r>
          </w:p>
        </w:tc>
        <w:tc>
          <w:tcPr>
            <w:tcW w:w="22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31, 2021</w:t>
            </w: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0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Common stock, $0.0001 par value; 350,000,000 and 200,000,000 shares authorized as of September 30, 2022 and December 31, 2021,</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153,028,822 and 123,622,965 shares issued and outstanding as of September 30, 2022 and December 31, 2021, respectively</w:t>
            </w: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9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48,418</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70,948</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63,815</w:t>
            </w: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(22,098)</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29,486</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(37,926)</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152,849,992</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141,969,449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152,849,992</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143,792,060</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1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2"/>
                <w:szCs w:val="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123,622,965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00" w:type="dxa"/>
            <w:vAlign w:val="bottom"/>
            <w:tcBorders>
              <w:top w:val="single" w:sz="8" w:color="CCEEFF"/>
            </w:tcBorders>
            <w:vMerge w:val="continue"/>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81,057</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89,142</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576,418</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16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124,380,844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461,888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(401,538)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55,764</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and common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27,428,572</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892,857</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152,713,211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487,008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(392,937)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59,928</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17,737</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198,126</w:t>
            </w:r>
          </w:p>
        </w:tc>
        <w:tc>
          <w:tcPr>
            <w:tcW w:w="14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2"/>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153,028,822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(Deficit)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1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2"/>
                <w:szCs w:val="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80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108,071,249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(18,006)</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153,278</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4,706,844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20,943</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112,977,004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414,214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(429,226)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242,278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1,849,072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115,079,292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424,984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(424,661)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115,443,500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74"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29,486</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(37,926)</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1"/>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1"/>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91"/>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payable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0" w:type="dxa"/>
            <w:vAlign w:val="bottom"/>
          </w:tcPr>
          <w:p>
            <w:pPr>
              <w:spacing w:after="0"/>
              <w:rPr>
                <w:sz w:val="1"/>
                <w:szCs w:val="1"/>
                <w:color w:val="auto"/>
              </w:rPr>
            </w:pPr>
          </w:p>
        </w:tc>
      </w:tr>
      <w:tr>
        <w:trPr>
          <w:trHeight w:val="191"/>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(28,424)</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184"/>
        </w:trPr>
        <w:tc>
          <w:tcPr>
            <w:tcW w:w="8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made for investments</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84"/>
        </w:trPr>
        <w:tc>
          <w:tcPr>
            <w:tcW w:w="8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(26,862)</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amendment fee included in debt discount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at-the-market offering</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30,906</w:t>
            </w: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and common warrants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31,741</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 in stock-based compensation expense</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offering costs in accrued liabilities</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(losses) on marketable securities</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12" w:lineRule="exact"/>
        <w:rPr>
          <w:sz w:val="20"/>
          <w:szCs w:val="20"/>
          <w:color w:val="auto"/>
        </w:rPr>
      </w:pPr>
    </w:p>
    <w:p>
      <w:pPr>
        <w:ind w:right="140" w:firstLine="317"/>
        <w:spacing w:after="0" w:line="232" w:lineRule="auto"/>
        <w:rPr>
          <w:sz w:val="20"/>
          <w:szCs w:val="20"/>
          <w:color w:val="auto"/>
        </w:rPr>
      </w:pPr>
      <w:r>
        <w:rPr>
          <w:rFonts w:ascii="Times New Roman" w:cs="Times New Roman" w:eastAsia="Times New Roman" w:hAnsi="Times New Roman"/>
          <w:sz w:val="18"/>
          <w:szCs w:val="18"/>
          <w:color w:val="auto"/>
        </w:rPr>
        <w:t>Selecta Biosciences, Inc., or the Company, was incorporated in Delaware on December 10, 2007, and is based in Watertown, Massachusetts. The Company is a clinical-stage biopharmaceutical company. The Company’s ImmTOR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encapsulates rapamycin, also known as sirolimus, an FDA approved immunomodulator, in biodegradable nanoparticles. ImmTOR is designed to induce antigen-specific immune tolerance. The Company believes, by combining ImmTOR with antigens of interest, the Company’s precision immune tolerance platform has the potential to restore self-tolerance to auto-antigens in autoimmune diseases, amplify the efficacy of biologics (including gene therapies) and mitigate the formation of anti-drug antibodies, or ADAs, against biologic drugs.</w:t>
      </w:r>
    </w:p>
    <w:p>
      <w:pPr>
        <w:spacing w:after="0" w:line="77" w:lineRule="exact"/>
        <w:rPr>
          <w:sz w:val="20"/>
          <w:szCs w:val="20"/>
          <w:color w:val="auto"/>
        </w:rPr>
      </w:pPr>
    </w:p>
    <w:p>
      <w:pPr>
        <w:ind w:right="20" w:firstLine="317"/>
        <w:spacing w:after="0" w:line="267" w:lineRule="auto"/>
        <w:rPr>
          <w:sz w:val="20"/>
          <w:szCs w:val="20"/>
          <w:color w:val="auto"/>
        </w:rPr>
      </w:pPr>
      <w:r>
        <w:rPr>
          <w:rFonts w:ascii="Times New Roman" w:cs="Times New Roman" w:eastAsia="Times New Roman" w:hAnsi="Times New Roman"/>
          <w:sz w:val="17"/>
          <w:szCs w:val="17"/>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12" w:lineRule="exact"/>
        <w:rPr>
          <w:sz w:val="20"/>
          <w:szCs w:val="20"/>
          <w:color w:val="auto"/>
        </w:rPr>
      </w:pPr>
    </w:p>
    <w:p>
      <w:pPr>
        <w:ind w:right="60" w:firstLine="317"/>
        <w:spacing w:after="0" w:line="24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nine months ended September 30, 2022 and 2021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2021 included in the Company’s Annual Report on Form 10-K that was filed with the SEC on March 10, 2022.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2022, the consolidated results of operations for the three and nine months ended September 30, 2022, and cash flows for the nine months ended September 30, 2022. Such adjustments are of a normal and recurring nature. The results of operations for the three and nine months ended September 30, 2022 are not necessarily indicative of the results of operations that may be expected for the year ending December 31, 2022.</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12" w:lineRule="exact"/>
        <w:rPr>
          <w:sz w:val="20"/>
          <w:szCs w:val="20"/>
          <w:color w:val="auto"/>
        </w:rPr>
      </w:pPr>
    </w:p>
    <w:p>
      <w:pPr>
        <w:ind w:right="60" w:firstLine="317"/>
        <w:spacing w:after="0" w:line="25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1"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the initial public offering of its common stock, private placements of its common stock, issuances of common and preferred stock, debt, research grants, research collaborations and licenses. The Company currently has no source of product revenue, and it does not expect to generate product revenue for the foreseeable future. To date, the Company’s revenue has primarily been from collaboration and license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firstLine="317"/>
        <w:spacing w:after="0" w:line="247" w:lineRule="auto"/>
        <w:rPr>
          <w:sz w:val="20"/>
          <w:szCs w:val="20"/>
          <w:color w:val="auto"/>
        </w:rPr>
      </w:pPr>
      <w:r>
        <w:rPr>
          <w:rFonts w:ascii="Times New Roman" w:cs="Times New Roman" w:eastAsia="Times New Roman" w:hAnsi="Times New Roman"/>
          <w:sz w:val="18"/>
          <w:szCs w:val="18"/>
          <w:color w:val="auto"/>
        </w:rPr>
        <w:t>As of September 30, 2022, the Company’s cash, cash equivalents, restricted cash and marketable securities were $148.0 million, of which $1.6 million was restricted cash related to lease commitments and $0.2 million was held by its Russian subsidiary designated solely for use in its operations. The Company believes the cash, cash equivalents, restricted cash and marketable securities as of September 30, 2022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The Company anticipates operating losses to continue for the foreseeable future due to, among other things, costs related to research and development of its product candidates and its administrative organization.</w:t>
      </w:r>
    </w:p>
    <w:p>
      <w:pPr>
        <w:spacing w:after="0" w:line="86" w:lineRule="exact"/>
        <w:rPr>
          <w:sz w:val="20"/>
          <w:szCs w:val="20"/>
          <w:color w:val="auto"/>
        </w:rPr>
      </w:pPr>
    </w:p>
    <w:p>
      <w:pPr>
        <w:ind w:right="20" w:firstLine="317"/>
        <w:spacing w:after="0" w:line="262" w:lineRule="auto"/>
        <w:rPr>
          <w:sz w:val="20"/>
          <w:szCs w:val="20"/>
          <w:color w:val="auto"/>
        </w:rPr>
      </w:pPr>
      <w:r>
        <w:rPr>
          <w:rFonts w:ascii="Times New Roman" w:cs="Times New Roman" w:eastAsia="Times New Roman" w:hAnsi="Times New Roman"/>
          <w:sz w:val="17"/>
          <w:szCs w:val="17"/>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or disruptions, supply chain disruptions, the ultimate impact on financial markets and the global economy, and the effectiveness of actions taken in the United States and other countries to contain and treat the disease.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12" w:lineRule="exact"/>
        <w:rPr>
          <w:sz w:val="20"/>
          <w:szCs w:val="20"/>
          <w:color w:val="auto"/>
        </w:rPr>
      </w:pPr>
    </w:p>
    <w:p>
      <w:pPr>
        <w:ind w:right="20" w:firstLine="317"/>
        <w:spacing w:after="0" w:line="253"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September 30,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2" w:lineRule="exact"/>
        <w:rPr>
          <w:sz w:val="20"/>
          <w:szCs w:val="20"/>
          <w:color w:val="auto"/>
        </w:rPr>
      </w:pPr>
    </w:p>
    <w:p>
      <w:pPr>
        <w:jc w:val="both"/>
        <w:ind w:right="180" w:firstLine="317"/>
        <w:spacing w:after="0" w:line="258"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Report on Form 10-K for the year ended December 31, 2021. There have been no material changes during the three months ended September 30, 2022, with the exception of the matters discussed in recent accounting pronouncements.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0" w:lineRule="exact"/>
        <w:rPr>
          <w:sz w:val="20"/>
          <w:szCs w:val="20"/>
          <w:color w:val="auto"/>
        </w:rPr>
      </w:pPr>
    </w:p>
    <w:p>
      <w:pPr>
        <w:ind w:firstLine="317"/>
        <w:spacing w:after="0" w:line="249"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Stock Compensation (Topic 718), and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ASU 2021-04 provides guidance as to how entities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This new standard was effective for all entities for fiscal years beginning after December 15, 2021. The adoption of ASU 2021-04 did not have an impact on the Company’s financial position or results of operations upon adoption.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0" w:lineRule="exact"/>
        <w:rPr>
          <w:sz w:val="20"/>
          <w:szCs w:val="20"/>
          <w:color w:val="auto"/>
        </w:rPr>
      </w:pPr>
    </w:p>
    <w:p>
      <w:pPr>
        <w:ind w:right="80" w:firstLine="317"/>
        <w:spacing w:after="0" w:line="252"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ASU 2020-06 simplifies the accounting for certain financial instruments with characteristics of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equity, including convertible instruments and contracts on an entity’s own equity. This new standard will be effective for smaller reporting companies for fiscal years beginning after December 15, 2023, including interim periods within those fiscal years. The Company is assessing the impact this standard will have on its consolidated financial statements and disclosures.</w:t>
      </w:r>
    </w:p>
    <w:p>
      <w:pPr>
        <w:spacing w:after="0" w:line="77" w:lineRule="exact"/>
        <w:rPr>
          <w:sz w:val="20"/>
          <w:szCs w:val="20"/>
          <w:color w:val="auto"/>
        </w:rPr>
      </w:pPr>
    </w:p>
    <w:p>
      <w:pPr>
        <w:jc w:val="both"/>
        <w:ind w:right="80" w:firstLine="317"/>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Subsequently, in November 2018, the FASB issued ASU 2018-19,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ASU 2016-13 requires entities to measure all expected credit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will be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 and Investments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marketable securities held as of September 30, 2022 and December 31, 2021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3"/>
                <w:szCs w:val="13"/>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40" w:firstLine="317"/>
        <w:spacing w:after="0" w:line="253" w:lineRule="auto"/>
        <w:rPr>
          <w:sz w:val="20"/>
          <w:szCs w:val="20"/>
          <w:color w:val="auto"/>
        </w:rPr>
      </w:pPr>
      <w:r>
        <w:rPr>
          <w:rFonts w:ascii="Times New Roman" w:cs="Times New Roman" w:eastAsia="Times New Roman" w:hAnsi="Times New Roman"/>
          <w:sz w:val="18"/>
          <w:szCs w:val="18"/>
          <w:color w:val="auto"/>
        </w:rPr>
        <w:t>All marketable securities held at September 30, 2022 and December 31, 2021 had maturities of less than 12 months when purchased and are classified as short-term marketable securities on the accompanying consolidated balance sheet. During the nine months ended September 30, 2022, there were no marketable securities adjusted for other than temporary declines in fair value. The Company does not intend to sell its investments and it is not more likely than not that the Company will be required to sell the investments before recovery of their amortized cost bases, which may be at maturity.</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2" w:lineRule="exact"/>
        <w:rPr>
          <w:sz w:val="20"/>
          <w:szCs w:val="20"/>
          <w:color w:val="auto"/>
        </w:rPr>
      </w:pPr>
    </w:p>
    <w:p>
      <w:pPr>
        <w:ind w:right="320" w:firstLine="317"/>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112" w:lineRule="exact"/>
        <w:rPr>
          <w:sz w:val="20"/>
          <w:szCs w:val="20"/>
          <w:color w:val="auto"/>
        </w:rPr>
      </w:pPr>
    </w:p>
    <w:p>
      <w:pPr>
        <w:ind w:right="240"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three and nine months ended September 30, 2022 and 2021 (in thousands, except share and per-share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4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00" w:type="dxa"/>
            <w:vAlign w:val="bottom"/>
          </w:tcPr>
          <w:p>
            <w:pPr>
              <w:spacing w:after="0"/>
              <w:rPr>
                <w:sz w:val="16"/>
                <w:szCs w:val="16"/>
                <w:color w:val="auto"/>
              </w:rPr>
            </w:pPr>
          </w:p>
        </w:tc>
        <w:tc>
          <w:tcPr>
            <w:tcW w:w="4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29,486</w:t>
            </w:r>
          </w:p>
        </w:tc>
        <w:tc>
          <w:tcPr>
            <w:tcW w:w="100" w:type="dxa"/>
            <w:vAlign w:val="bottom"/>
          </w:tcPr>
          <w:p>
            <w:pPr>
              <w:spacing w:after="0"/>
              <w:rPr>
                <w:sz w:val="16"/>
                <w:szCs w:val="16"/>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(37,926)</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Change in fair value of liability warrants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 net income (loss)</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22,157</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(37,926)</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152,849,992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141,969,449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140"/>
        </w:trPr>
        <w:tc>
          <w:tcPr>
            <w:tcW w:w="5640" w:type="dxa"/>
            <w:vAlign w:val="bottom"/>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Dilutive effect of employee equity incentive plans and</w:t>
            </w:r>
          </w:p>
        </w:tc>
        <w:tc>
          <w:tcPr>
            <w:tcW w:w="3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1,822,611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outstanding warrants</w:t>
            </w:r>
          </w:p>
        </w:tc>
        <w:tc>
          <w:tcPr>
            <w:tcW w:w="3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used in per share calculations - diluted</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152,849,992</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143,792,060</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540"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for all periods presented, as the effect would have been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8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6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RSUs and ESPP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16,147,192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11,701,844</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16,960,983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11,701,844</w:t>
            </w:r>
          </w:p>
        </w:tc>
      </w:tr>
      <w:tr>
        <w:trPr>
          <w:trHeight w:val="192"/>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12,378,016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213,339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12,378,016</w:t>
            </w:r>
          </w:p>
        </w:tc>
      </w:tr>
      <w:tr>
        <w:trPr>
          <w:trHeight w:val="22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47,375,471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24,079,860</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17,174,322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24,079,860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September 30, 2022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1"/>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47,448</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47,448</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2"/>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r>
      <w:tr>
        <w:trPr>
          <w:trHeight w:val="223"/>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1"/>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2"/>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right="1000"/>
        <w:spacing w:after="0" w:line="367" w:lineRule="auto"/>
        <w:rPr>
          <w:sz w:val="20"/>
          <w:szCs w:val="20"/>
          <w:color w:val="auto"/>
        </w:rPr>
      </w:pPr>
      <w:r>
        <w:rPr>
          <w:rFonts w:ascii="Times New Roman" w:cs="Times New Roman" w:eastAsia="Times New Roman" w:hAnsi="Times New Roman"/>
          <w:sz w:val="18"/>
          <w:szCs w:val="18"/>
          <w:color w:val="auto"/>
        </w:rPr>
        <w:t xml:space="preserve">There were no transfers within the fair value hierarchy during the nine months ended September 30, 2022 or year ended December 31, 2021. </w:t>
      </w:r>
      <w:r>
        <w:rPr>
          <w:rFonts w:ascii="Times New Roman" w:cs="Times New Roman" w:eastAsia="Times New Roman" w:hAnsi="Times New Roman"/>
          <w:sz w:val="18"/>
          <w:szCs w:val="18"/>
          <w:i w:val="1"/>
          <w:iCs w:val="1"/>
          <w:color w:val="auto"/>
        </w:rPr>
        <w:t>Cash, Cash Equivalents, and Restricted Cash</w:t>
      </w:r>
    </w:p>
    <w:p>
      <w:pPr>
        <w:spacing w:after="0" w:line="2" w:lineRule="exact"/>
        <w:rPr>
          <w:sz w:val="20"/>
          <w:szCs w:val="20"/>
          <w:color w:val="auto"/>
        </w:rPr>
      </w:pPr>
    </w:p>
    <w:p>
      <w:pPr>
        <w:ind w:right="180" w:firstLine="317"/>
        <w:spacing w:after="0" w:line="270" w:lineRule="auto"/>
        <w:rPr>
          <w:sz w:val="20"/>
          <w:szCs w:val="20"/>
          <w:color w:val="auto"/>
        </w:rPr>
      </w:pPr>
      <w:r>
        <w:rPr>
          <w:rFonts w:ascii="Times New Roman" w:cs="Times New Roman" w:eastAsia="Times New Roman" w:hAnsi="Times New Roman"/>
          <w:sz w:val="18"/>
          <w:szCs w:val="18"/>
          <w:color w:val="auto"/>
        </w:rPr>
        <w:t>As of September 30, 2022 and December 31, 2021, money market funds were classified as cash and cash equivalents on the accompanying consolidated balance sheets as they mature within 90 days from the date of purchase.</w:t>
      </w:r>
    </w:p>
    <w:p>
      <w:pPr>
        <w:spacing w:after="0" w:line="63" w:lineRule="exact"/>
        <w:rPr>
          <w:sz w:val="20"/>
          <w:szCs w:val="20"/>
          <w:color w:val="auto"/>
        </w:rPr>
      </w:pPr>
    </w:p>
    <w:p>
      <w:pPr>
        <w:ind w:right="200" w:firstLine="317"/>
        <w:spacing w:after="0" w:line="300" w:lineRule="auto"/>
        <w:rPr>
          <w:sz w:val="20"/>
          <w:szCs w:val="20"/>
          <w:color w:val="auto"/>
        </w:rPr>
      </w:pPr>
      <w:r>
        <w:rPr>
          <w:rFonts w:ascii="Times New Roman" w:cs="Times New Roman" w:eastAsia="Times New Roman" w:hAnsi="Times New Roman"/>
          <w:sz w:val="17"/>
          <w:szCs w:val="17"/>
          <w:color w:val="auto"/>
        </w:rPr>
        <w:t>As of September 30, 2022, the Company had restricted cash balances relating to a secured letter of credit in connection with its lease for the Company’s headquarters. The Company’s consolidated statements of cash flows include the following as of September 30, 2022 and 2021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
        </w:trPr>
        <w:tc>
          <w:tcPr>
            <w:tcW w:w="85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112,843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114,645</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22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114,443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2" w:lineRule="exact"/>
        <w:rPr>
          <w:sz w:val="20"/>
          <w:szCs w:val="20"/>
          <w:color w:val="auto"/>
        </w:rPr>
      </w:pPr>
    </w:p>
    <w:p>
      <w:pPr>
        <w:ind w:right="160" w:firstLine="317"/>
        <w:spacing w:after="0" w:line="251" w:lineRule="auto"/>
        <w:rPr>
          <w:sz w:val="20"/>
          <w:szCs w:val="20"/>
          <w:color w:val="auto"/>
        </w:rPr>
      </w:pPr>
      <w:r>
        <w:rPr>
          <w:rFonts w:ascii="Times New Roman" w:cs="Times New Roman" w:eastAsia="Times New Roman" w:hAnsi="Times New Roman"/>
          <w:sz w:val="18"/>
          <w:szCs w:val="18"/>
          <w:color w:val="auto"/>
        </w:rPr>
        <w:t>As of September 30, 2022, marketable securities classified as Level 2 within the valuation hierarchy consist of U.S. government agency securities and treasuries, corporate bonds and commercial paper which are available-for-sale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Loans Payable</w:t>
      </w:r>
    </w:p>
    <w:p>
      <w:pPr>
        <w:spacing w:after="0" w:line="112" w:lineRule="exact"/>
        <w:rPr>
          <w:sz w:val="20"/>
          <w:szCs w:val="20"/>
          <w:color w:val="auto"/>
        </w:rPr>
      </w:pPr>
    </w:p>
    <w:p>
      <w:pPr>
        <w:ind w:right="60" w:firstLine="317"/>
        <w:spacing w:after="0" w:line="258" w:lineRule="auto"/>
        <w:rPr>
          <w:sz w:val="20"/>
          <w:szCs w:val="20"/>
          <w:color w:val="auto"/>
        </w:rPr>
      </w:pPr>
      <w:r>
        <w:rPr>
          <w:rFonts w:ascii="Times New Roman" w:cs="Times New Roman" w:eastAsia="Times New Roman" w:hAnsi="Times New Roman"/>
          <w:sz w:val="18"/>
          <w:szCs w:val="18"/>
          <w:color w:val="auto"/>
        </w:rPr>
        <w:t>At September 30, 2022, in light of the issuance of the first tranche under the Company’s term loan pursuant the Loan and Security Agreement, dated August 31, 2020, as amended, among the Company, Oxford Finance LLC, or Oxford, as Collateral Agent and a Lender, and Silicon Valley Bank, or SVB, as a Lender, or the Loan and Security Agreement, the Company believes the carrying value approximates the fair value of the loan.</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2" w:lineRule="exact"/>
        <w:rPr>
          <w:sz w:val="20"/>
          <w:szCs w:val="20"/>
          <w:color w:val="auto"/>
        </w:rPr>
      </w:pPr>
    </w:p>
    <w:p>
      <w:pPr>
        <w:ind w:firstLine="317"/>
        <w:spacing w:after="0" w:line="258" w:lineRule="auto"/>
        <w:rPr>
          <w:sz w:val="20"/>
          <w:szCs w:val="20"/>
          <w:color w:val="auto"/>
        </w:rPr>
      </w:pPr>
      <w:r>
        <w:rPr>
          <w:rFonts w:ascii="Times New Roman" w:cs="Times New Roman" w:eastAsia="Times New Roman" w:hAnsi="Times New Roman"/>
          <w:sz w:val="18"/>
          <w:szCs w:val="18"/>
          <w:color w:val="auto"/>
        </w:rPr>
        <w:t>In December 2019, the Company issued warrants in connection with a private placement of shares of common stock, or the 2019 Warrants. Pursuant to the terms of the 2019 Warrants, the Company could be required to settle the 2019 Warrants in cash in the event of an acquisition of the Company under certain circumstances and, as a result, the 2019 Warrants are required to be measured at fair value and reported as a liability on the balance sheet.</w:t>
      </w:r>
    </w:p>
    <w:p>
      <w:pPr>
        <w:spacing w:after="0" w:line="73" w:lineRule="exact"/>
        <w:rPr>
          <w:sz w:val="20"/>
          <w:szCs w:val="20"/>
          <w:color w:val="auto"/>
        </w:rPr>
      </w:pPr>
    </w:p>
    <w:p>
      <w:pPr>
        <w:ind w:right="160" w:firstLine="317"/>
        <w:spacing w:after="0" w:line="253"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79" w:lineRule="exact"/>
        <w:rPr>
          <w:sz w:val="20"/>
          <w:szCs w:val="20"/>
          <w:color w:val="auto"/>
        </w:rPr>
      </w:pPr>
    </w:p>
    <w:p>
      <w:pPr>
        <w:ind w:right="60" w:firstLine="317"/>
        <w:spacing w:after="0" w:line="250"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fair values of the 2019 Warrants and the 2022 Warrants are determined using the following inputs to the Black-Scholes valuation model:</w:t>
      </w:r>
    </w:p>
    <w:p>
      <w:pPr>
        <w:spacing w:after="0" w:line="108" w:lineRule="exact"/>
        <w:rPr>
          <w:sz w:val="20"/>
          <w:szCs w:val="20"/>
          <w:color w:val="auto"/>
        </w:rPr>
      </w:pPr>
    </w:p>
    <w:p>
      <w:pPr>
        <w:ind w:left="640" w:right="20"/>
        <w:spacing w:after="0" w:line="273"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 end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reporting period.</w:t>
      </w:r>
    </w:p>
    <w:p>
      <w:pPr>
        <w:spacing w:after="0" w:line="58" w:lineRule="exact"/>
        <w:rPr>
          <w:sz w:val="20"/>
          <w:szCs w:val="20"/>
          <w:color w:val="auto"/>
        </w:rPr>
      </w:pPr>
    </w:p>
    <w:p>
      <w:pPr>
        <w:ind w:left="640" w:right="240"/>
        <w:spacing w:after="0" w:line="273"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97" w:lineRule="exact"/>
        <w:rPr>
          <w:sz w:val="20"/>
          <w:szCs w:val="20"/>
          <w:color w:val="auto"/>
        </w:rPr>
      </w:pPr>
    </w:p>
    <w:p>
      <w:pPr>
        <w:ind w:left="640" w:right="200"/>
        <w:spacing w:after="0" w:line="257"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 on December 23, 2024 and April 11, 2027, respectively.</w:t>
      </w:r>
    </w:p>
    <w:p>
      <w:pPr>
        <w:spacing w:after="0" w:line="72" w:lineRule="exact"/>
        <w:rPr>
          <w:sz w:val="20"/>
          <w:szCs w:val="20"/>
          <w:color w:val="auto"/>
        </w:rPr>
      </w:pPr>
    </w:p>
    <w:p>
      <w:pPr>
        <w:ind w:left="640"/>
        <w:spacing w:after="0" w:line="273"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and the historical volatility of peer companies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of time commensurate with the expected remaining life assumption.</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Black-Scholes valuation model assumptions used to record the fair value of the 2019 Warrants liability is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8300" w:type="dxa"/>
            <w:vAlign w:val="bottom"/>
          </w:tcPr>
          <w:p>
            <w:pPr>
              <w:spacing w:after="0"/>
              <w:rPr>
                <w:sz w:val="17"/>
                <w:szCs w:val="17"/>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184"/>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96.10 %</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Black-Scholes valuation model assumptions used to record the fair value of the 2022 Warrants liability is as follows: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At Issuance</w:t>
            </w:r>
          </w:p>
        </w:tc>
      </w:tr>
      <w:tr>
        <w:trPr>
          <w:trHeight w:val="198"/>
        </w:trPr>
        <w:tc>
          <w:tcPr>
            <w:tcW w:w="4960" w:type="dxa"/>
            <w:vAlign w:val="bottom"/>
          </w:tcPr>
          <w:p>
            <w:pPr>
              <w:spacing w:after="0"/>
              <w:rPr>
                <w:sz w:val="17"/>
                <w:szCs w:val="17"/>
                <w:color w:val="auto"/>
              </w:rPr>
            </w:pPr>
          </w:p>
        </w:tc>
        <w:tc>
          <w:tcPr>
            <w:tcW w:w="4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April 11,</w:t>
            </w:r>
          </w:p>
        </w:tc>
      </w:tr>
      <w:tr>
        <w:trPr>
          <w:trHeight w:val="198"/>
        </w:trPr>
        <w:tc>
          <w:tcPr>
            <w:tcW w:w="4960" w:type="dxa"/>
            <w:vAlign w:val="bottom"/>
          </w:tcPr>
          <w:p>
            <w:pPr>
              <w:spacing w:after="0"/>
              <w:rPr>
                <w:sz w:val="17"/>
                <w:szCs w:val="17"/>
                <w:color w:val="auto"/>
              </w:rPr>
            </w:pPr>
          </w:p>
        </w:tc>
        <w:tc>
          <w:tcPr>
            <w:tcW w:w="4980" w:type="dxa"/>
            <w:vAlign w:val="bottom"/>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4"/>
        </w:trPr>
        <w:tc>
          <w:tcPr>
            <w:tcW w:w="49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4.06 %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r>
      <w:tr>
        <w:trPr>
          <w:trHeight w:val="19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9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4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4.53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4"/>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9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95.66 %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96.00 %</w:t>
            </w: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Level 3 Liabilities Measured at Fair Value on a Recurring Basis</w:t>
      </w:r>
    </w:p>
    <w:p>
      <w:pPr>
        <w:spacing w:after="0" w:line="112" w:lineRule="exact"/>
        <w:rPr>
          <w:sz w:val="20"/>
          <w:szCs w:val="20"/>
          <w:color w:val="auto"/>
        </w:rPr>
      </w:pPr>
    </w:p>
    <w:p>
      <w:pPr>
        <w:ind w:right="100"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10), for the nine months ended September 30, 2022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Warrant liabilities</w:t>
            </w:r>
          </w:p>
        </w:tc>
      </w:tr>
      <w:tr>
        <w:trPr>
          <w:trHeight w:val="24"/>
        </w:trPr>
        <w:tc>
          <w:tcPr>
            <w:tcW w:w="9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2"/>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1"/>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15,379</w:t>
            </w:r>
          </w:p>
        </w:tc>
      </w:tr>
      <w:tr>
        <w:trPr>
          <w:trHeight w:val="206"/>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Exercises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w:t>
            </w:r>
          </w:p>
        </w:tc>
      </w:tr>
      <w:tr>
        <w:trPr>
          <w:trHeight w:val="22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September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8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r>
      <w:tr>
        <w:trPr>
          <w:trHeight w:val="191"/>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98"/>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(4,797)</w:t>
            </w:r>
          </w:p>
        </w:tc>
      </w:tr>
      <w:tr>
        <w:trPr>
          <w:trHeight w:val="223"/>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317"/>
        <w:spacing w:after="0" w:line="270" w:lineRule="auto"/>
        <w:rPr>
          <w:sz w:val="20"/>
          <w:szCs w:val="20"/>
          <w:color w:val="auto"/>
        </w:rPr>
      </w:pPr>
      <w:r>
        <w:rPr>
          <w:rFonts w:ascii="Times New Roman" w:cs="Times New Roman" w:eastAsia="Times New Roman" w:hAnsi="Times New Roman"/>
          <w:sz w:val="18"/>
          <w:szCs w:val="18"/>
          <w:color w:val="auto"/>
        </w:rPr>
        <w:t>Depreciation expense was $0.2 million and $0.1 million for the three months ended September 30, 2022 and 2021, respectively, and $0.5 million and $0.4 million for the nine months ended September 30, 2022 and 2021,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8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r>
      <w:tr>
        <w:trPr>
          <w:trHeight w:val="191"/>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1"/>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22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317"/>
        <w:spacing w:after="0" w:line="270" w:lineRule="auto"/>
        <w:rPr>
          <w:sz w:val="20"/>
          <w:szCs w:val="20"/>
          <w:color w:val="auto"/>
        </w:rPr>
      </w:pPr>
      <w:r>
        <w:rPr>
          <w:rFonts w:ascii="Times New Roman" w:cs="Times New Roman" w:eastAsia="Times New Roman" w:hAnsi="Times New Roman"/>
          <w:sz w:val="18"/>
          <w:szCs w:val="18"/>
          <w:color w:val="auto"/>
        </w:rPr>
        <w:t>Other accrued expenses as of December 31, 2021 include a $0.9 million estimated liability for the settlement of litigation relating to the two lawsuits described further within Note 17.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2" w:lineRule="exact"/>
        <w:rPr>
          <w:sz w:val="20"/>
          <w:szCs w:val="20"/>
          <w:color w:val="auto"/>
        </w:rPr>
      </w:pPr>
    </w:p>
    <w:p>
      <w:pPr>
        <w:ind w:right="180" w:firstLine="317"/>
        <w:spacing w:after="0" w:line="262" w:lineRule="auto"/>
        <w:rPr>
          <w:sz w:val="20"/>
          <w:szCs w:val="20"/>
          <w:color w:val="auto"/>
        </w:rPr>
      </w:pPr>
      <w:r>
        <w:rPr>
          <w:rFonts w:ascii="Times New Roman" w:cs="Times New Roman" w:eastAsia="Times New Roman" w:hAnsi="Times New Roman"/>
          <w:sz w:val="17"/>
          <w:szCs w:val="17"/>
          <w:color w:val="auto"/>
        </w:rPr>
        <w:t>On September 1, 2022, the Company entered into an amendment, or the Lease Agreement Amendment, to its lease agreement with BRE-BMR Grove LLC, originally entered into on July 23, 2019, or the Lease Agreement, to expand the Company’s corporate headquarters located at 65 Grove Street, Watertown, Massachusetts by approximately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begin in November 2022, and the base rent for the first year is $0.1 million per month. In connection with the Lease Agreement Amendment, the Company entered into an amendment to its Loan and Security Agreement with Oxford, as Collateral Agent and a Lender, and SVB, as a Lender, on September 20, 2022, or the Third Amendment, to provide for an increase of</w:t>
      </w:r>
    </w:p>
    <w:p>
      <w:pPr>
        <w:spacing w:after="0" w:line="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$0.2 million in the letter of credit for a total of $1.6 million which renews automatically each year. The Company recorded the right-of-use asset and operating lease liabilities of $3.2 million during the three months ended September 30, 2022 as control of the premises was transferred to the Company.</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 components of lease costs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4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19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8"/>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2022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8"/>
        </w:trPr>
        <w:tc>
          <w:tcPr>
            <w:tcW w:w="9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(remainder)</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r>
      <w:tr>
        <w:trPr>
          <w:trHeight w:val="20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r>
      <w:tr>
        <w:trPr>
          <w:trHeight w:val="20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r>
      <w:tr>
        <w:trPr>
          <w:trHeight w:val="192"/>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3,936</w:t>
            </w:r>
          </w:p>
        </w:tc>
      </w:tr>
      <w:tr>
        <w:trPr>
          <w:trHeight w:val="198"/>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15,701</w:t>
            </w:r>
          </w:p>
        </w:tc>
      </w:tr>
      <w:tr>
        <w:trPr>
          <w:trHeight w:val="192"/>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w:t>
            </w:r>
          </w:p>
        </w:tc>
      </w:tr>
      <w:tr>
        <w:trPr>
          <w:trHeight w:val="223"/>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bl>
    <w:p>
      <w:pPr>
        <w:spacing w:after="0" w:line="200" w:lineRule="exact"/>
        <w:rPr>
          <w:sz w:val="20"/>
          <w:szCs w:val="20"/>
          <w:color w:val="auto"/>
        </w:rPr>
      </w:pPr>
    </w:p>
    <w:p>
      <w:pPr>
        <w:spacing w:after="0" w:line="231" w:lineRule="exact"/>
        <w:rPr>
          <w:sz w:val="20"/>
          <w:szCs w:val="20"/>
          <w:color w:val="auto"/>
        </w:rPr>
      </w:pPr>
    </w:p>
    <w:p>
      <w:pPr>
        <w:ind w:right="80" w:firstLine="317"/>
        <w:spacing w:after="0" w:line="258" w:lineRule="auto"/>
        <w:rPr>
          <w:sz w:val="20"/>
          <w:szCs w:val="20"/>
          <w:color w:val="auto"/>
        </w:rPr>
      </w:pPr>
      <w:r>
        <w:rPr>
          <w:rFonts w:ascii="Times New Roman" w:cs="Times New Roman" w:eastAsia="Times New Roman" w:hAnsi="Times New Roman"/>
          <w:sz w:val="18"/>
          <w:szCs w:val="18"/>
          <w:color w:val="auto"/>
        </w:rPr>
        <w:t>Other than the initial recording of the right-of-use asset and lease liability for the Lease Agreement in 2020 and the Lease Agreement Amendment in 2022, which were non-cash, the changes in the Company’s right-of-use assets and lease liabilities for the nine months ended September 30, 2022 and 2021 are reflected in the non-cash lease expense and accrued expenses and other liabilities, respectively, in the consolidated statements of cash flows.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4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years</w:t>
            </w:r>
          </w:p>
        </w:tc>
      </w:tr>
      <w:tr>
        <w:trPr>
          <w:trHeight w:val="18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12" w:lineRule="exact"/>
        <w:rPr>
          <w:sz w:val="20"/>
          <w:szCs w:val="20"/>
          <w:color w:val="auto"/>
        </w:rPr>
      </w:pPr>
    </w:p>
    <w:p>
      <w:pPr>
        <w:ind w:right="120" w:firstLine="317"/>
        <w:spacing w:after="0" w:line="249" w:lineRule="auto"/>
        <w:rPr>
          <w:sz w:val="20"/>
          <w:szCs w:val="20"/>
          <w:color w:val="auto"/>
        </w:rPr>
      </w:pPr>
      <w:r>
        <w:rPr>
          <w:rFonts w:ascii="Times New Roman" w:cs="Times New Roman" w:eastAsia="Times New Roman" w:hAnsi="Times New Roman"/>
          <w:sz w:val="18"/>
          <w:szCs w:val="18"/>
          <w:color w:val="auto"/>
        </w:rPr>
        <w:t>On March 21, 2022, the Company entered into a Second Amendment to its 2020 Term Loan. The Second Amendment extended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was recorded as an addition to the debt discount on the effective date. As discussed above in Note 8, the Company entered into the Third Amendment on September 20, 2022, in connection with the expansion of its corporate headquarters to provide for an increase of $0.2 million in the letter of credit for a total of $1.6 million which renews automatically each year.</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2022 and December 31, 2021, the outstanding principal balance under the 2020 Term Loan was $25.0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2020 Term Loan and unamortized debt discount balances as of September 30, 2022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Face value</w:t>
            </w: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 debt termination fee</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r>
      <w:tr>
        <w:trPr>
          <w:trHeight w:val="20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Debt discount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92"/>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loan payable</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(5,879)</w:t>
            </w:r>
          </w:p>
        </w:tc>
      </w:tr>
      <w:tr>
        <w:trPr>
          <w:trHeight w:val="217"/>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principal payments on the 2020 Term Loan as of September 30, 2022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w:t>
            </w:r>
          </w:p>
        </w:tc>
      </w:tr>
      <w:tr>
        <w:trPr>
          <w:trHeight w:val="20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w:t>
            </w:r>
          </w:p>
        </w:tc>
      </w:tr>
      <w:tr>
        <w:trPr>
          <w:trHeight w:val="192"/>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w:t>
            </w:r>
          </w:p>
        </w:tc>
      </w:tr>
      <w:tr>
        <w:trPr>
          <w:trHeight w:val="217"/>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principal payments</w:t>
            </w: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99" w:lineRule="exact"/>
        <w:rPr>
          <w:sz w:val="20"/>
          <w:szCs w:val="20"/>
          <w:color w:val="auto"/>
        </w:rPr>
      </w:pPr>
    </w:p>
    <w:p>
      <w:pPr>
        <w:ind w:right="240" w:firstLine="317"/>
        <w:spacing w:after="0" w:line="234" w:lineRule="auto"/>
        <w:rPr>
          <w:sz w:val="20"/>
          <w:szCs w:val="20"/>
          <w:color w:val="auto"/>
        </w:rPr>
      </w:pPr>
      <w:r>
        <w:rPr>
          <w:rFonts w:ascii="Times New Roman" w:cs="Times New Roman" w:eastAsia="Times New Roman" w:hAnsi="Times New Roman"/>
          <w:sz w:val="18"/>
          <w:szCs w:val="18"/>
          <w:color w:val="auto"/>
        </w:rPr>
        <w:t>On June 17, 2022, at the 2022 Annual Meeting of Stockholders, the Company’s stockholders approved an amendment to the Company’s Restated Certificate of Incorporation, or the Charter, to increase the number of authorized shares of common stock, par value $0.0001 per share, from 200,000,000 to 350,000,000 shares. On June 21, 2022, the Company filed a Certificate of Amendment to the Charter with the Secretary of State of the State of Delaware, which became effective upon filing.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Underwritten Offering</w:t>
      </w:r>
    </w:p>
    <w:p>
      <w:pPr>
        <w:spacing w:after="0" w:line="112" w:lineRule="exact"/>
        <w:rPr>
          <w:sz w:val="20"/>
          <w:szCs w:val="20"/>
          <w:color w:val="auto"/>
        </w:rPr>
      </w:pPr>
    </w:p>
    <w:p>
      <w:pPr>
        <w:ind w:right="100" w:firstLine="317"/>
        <w:spacing w:after="0" w:line="251" w:lineRule="auto"/>
        <w:rPr>
          <w:sz w:val="20"/>
          <w:szCs w:val="20"/>
          <w:color w:val="auto"/>
        </w:rPr>
      </w:pPr>
      <w:r>
        <w:rPr>
          <w:rFonts w:ascii="Times New Roman" w:cs="Times New Roman" w:eastAsia="Times New Roman" w:hAnsi="Times New Roman"/>
          <w:sz w:val="18"/>
          <w:szCs w:val="18"/>
          <w:color w:val="auto"/>
        </w:rPr>
        <w:t>On April 6, 2022, the Company entered into an underwriting agreement with SVB Securities LLC, as representative of the several underwriters named therein, relating to an underwritten offering of 27,428,572 shares, or the Shares, of the Company’s common stock and warrants to purchase up to 20,571,429 shares of common stock, or the 2022 Warrants. The offering of the Shares and the 2022 Warrants is referred to as the Offering. Each Share and accompanying 2022 Warrant to purchase 0.75 shares of common stock was sold at a combined offering price of $1.41. The exercise price for the 2022 Warrants is $1.55 per share. The Company received net proceeds from the Offering of approximately $36.9 million.</w:t>
      </w:r>
    </w:p>
    <w:p>
      <w:pPr>
        <w:spacing w:after="0" w:line="81" w:lineRule="exact"/>
        <w:rPr>
          <w:sz w:val="20"/>
          <w:szCs w:val="20"/>
          <w:color w:val="auto"/>
        </w:rPr>
      </w:pPr>
    </w:p>
    <w:p>
      <w:pPr>
        <w:ind w:right="80" w:firstLine="317"/>
        <w:spacing w:after="0" w:line="249" w:lineRule="auto"/>
        <w:rPr>
          <w:sz w:val="20"/>
          <w:szCs w:val="20"/>
          <w:color w:val="auto"/>
        </w:rPr>
      </w:pPr>
      <w:r>
        <w:rPr>
          <w:rFonts w:ascii="Times New Roman" w:cs="Times New Roman" w:eastAsia="Times New Roman" w:hAnsi="Times New Roman"/>
          <w:sz w:val="18"/>
          <w:szCs w:val="18"/>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2" w:lineRule="exact"/>
        <w:rPr>
          <w:sz w:val="20"/>
          <w:szCs w:val="20"/>
          <w:color w:val="auto"/>
        </w:rPr>
      </w:pPr>
    </w:p>
    <w:p>
      <w:pPr>
        <w:ind w:right="20" w:firstLine="317"/>
        <w:spacing w:after="0" w:line="270"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SVB Leerink LLC (now known as SVB Securities LLC), or SVB Leerink, pursuant to which the Company may sell shares of the Company’s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aggregate gross sales proceeds of up to $75.0 million.</w:t>
      </w:r>
    </w:p>
    <w:p>
      <w:pPr>
        <w:spacing w:after="0" w:line="73"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sold 774,544 shares of its common stock pursuant to the 2021 Sales Agreement for aggregate net proceeds of $2.1 million, after deducting commissions and other transaction costs.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2" w:lineRule="exact"/>
        <w:rPr>
          <w:sz w:val="20"/>
          <w:szCs w:val="20"/>
          <w:color w:val="auto"/>
        </w:rPr>
      </w:pPr>
    </w:p>
    <w:p>
      <w:pPr>
        <w:ind w:right="60" w:firstLine="317"/>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there were 20,571,429 warrants issued, no warrants exercised, and 79,130 warrants canceled. Refer to Note 10 to the consolidated financial statements within our 2021 Annual Report on Form 10-K for further discussion of the terms related to the Company’s 2019 Warrants.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Warrants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14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64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classified</w:t>
            </w:r>
          </w:p>
        </w:tc>
        <w:tc>
          <w:tcPr>
            <w:tcW w:w="144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7"/>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10,443,511</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20,571,429</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213,339</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31,014,940</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740" w:type="dxa"/>
            <w:vAlign w:val="bottom"/>
            <w:gridSpan w:val="3"/>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4"/>
        </w:trPr>
        <w:tc>
          <w:tcPr>
            <w:tcW w:w="85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85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8"/>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r>
      <w:tr>
        <w:trPr>
          <w:trHeight w:val="191"/>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6,400,527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6,039,564</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1,770,896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15,172,715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11,039,873</w:t>
            </w:r>
          </w:p>
        </w:tc>
      </w:tr>
      <w:tr>
        <w:trPr>
          <w:trHeight w:val="22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54,572,417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28,209,867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112" w:lineRule="exact"/>
        <w:rPr>
          <w:sz w:val="20"/>
          <w:szCs w:val="20"/>
          <w:color w:val="auto"/>
        </w:rPr>
      </w:pPr>
    </w:p>
    <w:p>
      <w:pPr>
        <w:ind w:right="100" w:firstLine="317"/>
        <w:spacing w:after="0" w:line="270" w:lineRule="auto"/>
        <w:rPr>
          <w:sz w:val="20"/>
          <w:szCs w:val="20"/>
          <w:color w:val="auto"/>
        </w:rPr>
      </w:pPr>
      <w:r>
        <w:rPr>
          <w:rFonts w:ascii="Times New Roman" w:cs="Times New Roman" w:eastAsia="Times New Roman" w:hAnsi="Times New Roman"/>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63" w:lineRule="exact"/>
        <w:rPr>
          <w:sz w:val="20"/>
          <w:szCs w:val="20"/>
          <w:color w:val="auto"/>
        </w:rPr>
      </w:pPr>
    </w:p>
    <w:p>
      <w:pPr>
        <w:ind w:right="100" w:firstLine="317"/>
        <w:spacing w:after="0" w:line="253"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9"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2022, the number of shares of common stock that may be issued under the 2016 Plan was increased by 4,944,919 shares. As of September 30, 2022, 1,086,951 shares remain available for future issuance under the 2016 Plan.</w:t>
      </w:r>
    </w:p>
    <w:p>
      <w:pPr>
        <w:spacing w:after="0" w:line="81" w:lineRule="exact"/>
        <w:rPr>
          <w:sz w:val="20"/>
          <w:szCs w:val="20"/>
          <w:color w:val="auto"/>
        </w:rPr>
      </w:pPr>
    </w:p>
    <w:p>
      <w:pPr>
        <w:ind w:right="160" w:firstLine="317"/>
        <w:spacing w:after="0" w:line="251"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September 30, 2022, there are 1,675,858 shares available for future grant under the 2018 Inducement Incentive Award Plan.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12" w:lineRule="exact"/>
        <w:rPr>
          <w:sz w:val="20"/>
          <w:szCs w:val="20"/>
          <w:color w:val="auto"/>
        </w:rPr>
      </w:pPr>
    </w:p>
    <w:p>
      <w:pPr>
        <w:ind w:right="280" w:firstLine="317"/>
        <w:spacing w:after="0" w:line="258"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including $1.0 million recognized as stock-based compensation expense upon the issuance of common stock to Ginkgo Bioworks Holdings, Inc. during the three and nine months ended September 30, 2022 as described in Note 14, was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3,993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r>
      <w:tr>
        <w:trPr>
          <w:trHeight w:val="192"/>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3,136</w:t>
            </w:r>
          </w:p>
        </w:tc>
      </w:tr>
      <w:tr>
        <w:trPr>
          <w:trHeight w:val="22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2"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340" w:type="dxa"/>
            <w:vAlign w:val="bottom"/>
            <w:gridSpan w:val="4"/>
          </w:tcPr>
          <w:p>
            <w:pPr>
              <w:jc w:val="center"/>
              <w:ind w:left="4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r>
      <w:tr>
        <w:trPr>
          <w:trHeight w:val="191"/>
        </w:trPr>
        <w:tc>
          <w:tcPr>
            <w:tcW w:w="5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5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0.79 %</w:t>
            </w: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6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93.37 %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93.55 %</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91.97 %</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95.05 %</w:t>
            </w:r>
          </w:p>
        </w:tc>
      </w:tr>
      <w:tr>
        <w:trPr>
          <w:trHeight w:val="20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3.58</w:t>
            </w:r>
          </w:p>
        </w:tc>
      </w:tr>
    </w:tbl>
    <w:p>
      <w:pPr>
        <w:spacing w:after="0" w:line="200" w:lineRule="exact"/>
        <w:rPr>
          <w:sz w:val="20"/>
          <w:szCs w:val="20"/>
          <w:color w:val="auto"/>
        </w:rPr>
      </w:pPr>
    </w:p>
    <w:p>
      <w:pPr>
        <w:spacing w:after="0" w:line="231"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was $1.31 and $3.17, during the three months ended September 30, 2022 and 2021, respectively, and $2.26 and $2.73 during the nine months ended September 30, 2022 and 2021, respectively.</w:t>
      </w:r>
    </w:p>
    <w:p>
      <w:pPr>
        <w:spacing w:after="0" w:line="63" w:lineRule="exact"/>
        <w:rPr>
          <w:sz w:val="20"/>
          <w:szCs w:val="20"/>
          <w:color w:val="auto"/>
        </w:rPr>
      </w:pPr>
    </w:p>
    <w:p>
      <w:pPr>
        <w:ind w:right="120" w:firstLine="317"/>
        <w:spacing w:after="0" w:line="270"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related to unvested employee stock options was $18.4 million, which is expected to be recognized over a weighted average period of 2.7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2008 Plan, 2016 Plan, and 2018 Inducement Incentive Award Plan: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8"/>
        </w:trPr>
        <w:tc>
          <w:tcPr>
            <w:tcW w:w="4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8"/>
        </w:trPr>
        <w:tc>
          <w:tcPr>
            <w:tcW w:w="4800" w:type="dxa"/>
            <w:vAlign w:val="bottom"/>
          </w:tcPr>
          <w:p>
            <w:pPr>
              <w:spacing w:after="0"/>
              <w:rPr>
                <w:sz w:val="17"/>
                <w:szCs w:val="17"/>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8"/>
        </w:trPr>
        <w:tc>
          <w:tcPr>
            <w:tcW w:w="4800" w:type="dxa"/>
            <w:vAlign w:val="bottom"/>
          </w:tcPr>
          <w:p>
            <w:pPr>
              <w:spacing w:after="0"/>
              <w:rPr>
                <w:sz w:val="17"/>
                <w:szCs w:val="17"/>
                <w:color w:val="auto"/>
              </w:rPr>
            </w:pP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exercise price ($)</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spacing w:after="0"/>
              <w:rPr>
                <w:sz w:val="17"/>
                <w:szCs w:val="17"/>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
        </w:trPr>
        <w:tc>
          <w:tcPr>
            <w:tcW w:w="4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10,616,800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20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5,274,220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1"/>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9"/>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(914,616)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8"/>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14,906,476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2"/>
        </w:trPr>
        <w:tc>
          <w:tcPr>
            <w:tcW w:w="48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September 30,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6,496,150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September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13,902,488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2"/>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consultants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1"/>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9"/>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(156,834)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8"/>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2"/>
        </w:trPr>
        <w:tc>
          <w:tcPr>
            <w:tcW w:w="48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September 30,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September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2"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813,200 restricted stock awards with a weighted average fair value of $3.31 per share based on the closing price of the Company’s common stock on the date of grant to employees under the 2016 Plan, which will vest over a four-year term, and 699,500 restricted stock awards with a weighted average fair value of $1.70 per share based on the closing price of the Company’s common stock on the date of grant to employees under the 2016 Plan, which will vest over a two-year term.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spacing w:after="0" w:line="81"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Unrecognized compensation expense for all restricted stock units was $3.3 million as of September 30, 2022, which is expected to be recognized over a weighted average period of 2.7 years.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2018 Inducement Incentive Award Plan: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38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198"/>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September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1,770,896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2"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173,076 shares of common stock for future issuance under the ESPP to participating employees. In January 2022, the number of shares of common stock authorized for issuance under the ESPP was increased by 1,236,229 shares. During the nine months ended September 30, 2022, the Company issued 120,877 shares of common stock under the ESPP. As of September 30, 2022, 3,637,718 shares remain available for future issuance under the ESPP.</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340" w:firstLine="317"/>
        <w:spacing w:after="0" w:line="270"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2022 and 2021, the Company recognized less than $0.1 million and $0.1 million of stock-based compensation expense under the ESPP, respectively.</w:t>
      </w:r>
    </w:p>
    <w:p>
      <w:pPr>
        <w:spacing w:after="0" w:line="200" w:lineRule="exact"/>
        <w:rPr>
          <w:sz w:val="20"/>
          <w:szCs w:val="20"/>
          <w:color w:val="auto"/>
        </w:rPr>
      </w:pPr>
    </w:p>
    <w:p>
      <w:pPr>
        <w:spacing w:after="0" w:line="205" w:lineRule="exact"/>
        <w:rPr>
          <w:sz w:val="20"/>
          <w:szCs w:val="20"/>
          <w:color w:val="auto"/>
        </w:rPr>
      </w:pPr>
    </w:p>
    <w:p>
      <w:pPr>
        <w:ind w:right="8600" w:firstLine="6"/>
        <w:spacing w:after="0" w:line="389" w:lineRule="auto"/>
        <w:tabs>
          <w:tab w:leader="none" w:pos="26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Arrangements Takeda Pharmaceuticals USA, Inc.</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License and Development Agreement</w:t>
      </w:r>
    </w:p>
    <w:p>
      <w:pPr>
        <w:spacing w:after="0" w:line="112"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81" w:lineRule="exact"/>
        <w:rPr>
          <w:sz w:val="20"/>
          <w:szCs w:val="20"/>
          <w:color w:val="auto"/>
        </w:rPr>
      </w:pPr>
    </w:p>
    <w:p>
      <w:pPr>
        <w:ind w:right="80" w:firstLine="317"/>
        <w:spacing w:after="0" w:line="248" w:lineRule="auto"/>
        <w:rPr>
          <w:sz w:val="20"/>
          <w:szCs w:val="20"/>
          <w:color w:val="auto"/>
        </w:rPr>
      </w:pPr>
      <w:r>
        <w:rPr>
          <w:rFonts w:ascii="Times New Roman" w:cs="Times New Roman" w:eastAsia="Times New Roman" w:hAnsi="Times New Roman"/>
          <w:sz w:val="18"/>
          <w:szCs w:val="18"/>
          <w:color w:val="auto"/>
        </w:rPr>
        <w:t>The Company determined the Takeda Agreement represents a service arrangement under the scope of ASC 606, and given the reversion of the rights under the Takeda Agreement represents a penalty in substance for a termination by Takeda, the contract term would remain the stated term of the Takeda Agreement. The Company determined that the research license, the licensed know-how, and the manufactured supply and delivery of materials represent a single promise and performance obligation to be transferred to Takeda over time due to the nature of the promises in the contract. The delivery of the manufactured supply is the predominant promise within the arrangement, as it is essential to the utility of the licensed intellectual property. The material to be supplied by the Company to Takeda is unique to the Company and cannot be obtained by other vendors. As such, consideration in the initial transaction price will be allocated to the single performance obligation and the recognition period would not extend beyond the initial contractual period. The Company will recognize the revenue associated with the upfront payment and combined single performance obligation utilizing the output method over the term that manufactured supply is delivered to Takeda.</w:t>
      </w:r>
    </w:p>
    <w:p>
      <w:pPr>
        <w:spacing w:after="0" w:line="84" w:lineRule="exact"/>
        <w:rPr>
          <w:sz w:val="20"/>
          <w:szCs w:val="20"/>
          <w:color w:val="auto"/>
        </w:rPr>
      </w:pPr>
    </w:p>
    <w:p>
      <w:pPr>
        <w:ind w:firstLine="317"/>
        <w:spacing w:after="0" w:line="247"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will re-evaluate the transaction price in each reporting period, as uncertain events are resolved, or as other changes in circumstances occur. Takeda has the right to exercise covenant release rights on a field-by-field basis. If Takeda exercises its covenant release rights, we could receive exercise payments per indication and would be entitled to significant development and commercial milestone payments and tiered royalties on commercial sales. The Company determined that a significant financing component does not exist in its arrangement with Takeda. The Company also determined the options to negotiate additional fields, pursue other products, enter into a supply agreement explore additional fields, and pursue additional development under the initial fields do not represent material rights under the agreement. Takeda has the right to terminate the Takeda Agreement in its entirety or on a field-by-field basis, upon 90 days’ written notice to the Company.</w:t>
      </w:r>
    </w:p>
    <w:p>
      <w:pPr>
        <w:spacing w:after="0" w:line="88" w:lineRule="exact"/>
        <w:rPr>
          <w:sz w:val="20"/>
          <w:szCs w:val="20"/>
          <w:color w:val="auto"/>
        </w:rPr>
      </w:pPr>
    </w:p>
    <w:p>
      <w:pPr>
        <w:ind w:firstLine="317"/>
        <w:spacing w:after="0" w:line="273" w:lineRule="auto"/>
        <w:rPr>
          <w:sz w:val="20"/>
          <w:szCs w:val="20"/>
          <w:color w:val="auto"/>
        </w:rPr>
      </w:pPr>
      <w:r>
        <w:rPr>
          <w:rFonts w:ascii="Times New Roman" w:cs="Times New Roman" w:eastAsia="Times New Roman" w:hAnsi="Times New Roman"/>
          <w:sz w:val="17"/>
          <w:szCs w:val="17"/>
          <w:color w:val="auto"/>
        </w:rPr>
        <w:t>As of September 30, 2022, the Company recorded $1.0 million as a short-term contract liability, representing deferred revenue associated with this agreement. Revenue of $1.0 million related to the Takeda Agreement was recognized during the nine months ended September 30, 2022. No revenue related to the Takeda Agreement was recognized during the three months ended September 30, 2022. As of December 31, 2021, the Company recorded $1.0 million as a short term contract liability and $1.0 million as a long-term contract liability, respectively, representing deferred revenue associated with this agreement.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2" w:lineRule="exact"/>
        <w:rPr>
          <w:sz w:val="20"/>
          <w:szCs w:val="20"/>
          <w:color w:val="auto"/>
        </w:rPr>
      </w:pPr>
    </w:p>
    <w:p>
      <w:pPr>
        <w:ind w:right="20" w:firstLine="317"/>
        <w:spacing w:after="0" w:line="249"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Pursuant to the Sobi License, the Company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firstLine="317"/>
        <w:spacing w:after="0" w:line="249" w:lineRule="auto"/>
        <w:rPr>
          <w:sz w:val="20"/>
          <w:szCs w:val="20"/>
          <w:color w:val="auto"/>
        </w:rPr>
      </w:pPr>
      <w:r>
        <w:rPr>
          <w:rFonts w:ascii="Times New Roman" w:cs="Times New Roman" w:eastAsia="Times New Roman" w:hAnsi="Times New Roman"/>
          <w:sz w:val="18"/>
          <w:szCs w:val="18"/>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biologics license applications, and marketing authorization applications relating to the licensed product.</w:t>
      </w:r>
    </w:p>
    <w:p>
      <w:pPr>
        <w:spacing w:after="0" w:line="83" w:lineRule="exact"/>
        <w:rPr>
          <w:sz w:val="20"/>
          <w:szCs w:val="20"/>
          <w:color w:val="auto"/>
        </w:rPr>
      </w:pPr>
    </w:p>
    <w:p>
      <w:pPr>
        <w:ind w:right="100" w:firstLine="317"/>
        <w:spacing w:after="0" w:line="250" w:lineRule="auto"/>
        <w:rPr>
          <w:sz w:val="20"/>
          <w:szCs w:val="20"/>
          <w:color w:val="auto"/>
        </w:rPr>
      </w:pPr>
      <w:r>
        <w:rPr>
          <w:rFonts w:ascii="Times New Roman" w:cs="Times New Roman" w:eastAsia="Times New Roman" w:hAnsi="Times New Roman"/>
          <w:sz w:val="18"/>
          <w:szCs w:val="18"/>
          <w:color w:val="auto"/>
        </w:rPr>
        <w:t>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 Additionally, on June 11, 2020, the Company entered into the Sobi Purchase Agreement for the sale of 5,416,390 shares of common stock for aggregate gross proceeds of $25.0 million in connection with the Sobi License. The closing of the Sobi Private Placement occurred on July 31, 2020, following the closing of the transactions contemplated under the Sobi License.</w:t>
      </w:r>
    </w:p>
    <w:p>
      <w:pPr>
        <w:spacing w:after="0" w:line="81" w:lineRule="exact"/>
        <w:rPr>
          <w:sz w:val="20"/>
          <w:szCs w:val="20"/>
          <w:color w:val="auto"/>
        </w:rPr>
      </w:pPr>
    </w:p>
    <w:p>
      <w:pPr>
        <w:ind w:right="60" w:firstLine="317"/>
        <w:spacing w:after="0" w:line="249" w:lineRule="auto"/>
        <w:rPr>
          <w:sz w:val="20"/>
          <w:szCs w:val="20"/>
          <w:color w:val="auto"/>
        </w:rPr>
      </w:pPr>
      <w:r>
        <w:rPr>
          <w:rFonts w:ascii="Times New Roman" w:cs="Times New Roman" w:eastAsia="Times New Roman" w:hAnsi="Times New Roman"/>
          <w:sz w:val="18"/>
          <w:szCs w:val="18"/>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83" w:lineRule="exact"/>
        <w:rPr>
          <w:sz w:val="20"/>
          <w:szCs w:val="20"/>
          <w:color w:val="auto"/>
        </w:rPr>
      </w:pPr>
    </w:p>
    <w:p>
      <w:pPr>
        <w:ind w:right="220" w:firstLine="317"/>
        <w:spacing w:after="0" w:line="250" w:lineRule="auto"/>
        <w:rPr>
          <w:sz w:val="20"/>
          <w:szCs w:val="20"/>
          <w:color w:val="auto"/>
        </w:rPr>
      </w:pPr>
      <w:r>
        <w:rPr>
          <w:rFonts w:ascii="Times New Roman" w:cs="Times New Roman" w:eastAsia="Times New Roman" w:hAnsi="Times New Roman"/>
          <w:sz w:val="18"/>
          <w:szCs w:val="18"/>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81" w:lineRule="exact"/>
        <w:rPr>
          <w:sz w:val="20"/>
          <w:szCs w:val="20"/>
          <w:color w:val="auto"/>
        </w:rPr>
      </w:pPr>
    </w:p>
    <w:p>
      <w:pPr>
        <w:ind w:firstLine="317"/>
        <w:spacing w:after="0" w:line="247"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86" w:lineRule="exact"/>
        <w:rPr>
          <w:sz w:val="20"/>
          <w:szCs w:val="20"/>
          <w:color w:val="auto"/>
        </w:rPr>
      </w:pPr>
    </w:p>
    <w:p>
      <w:pPr>
        <w:ind w:right="180" w:firstLine="317"/>
        <w:spacing w:after="0" w:line="249" w:lineRule="auto"/>
        <w:rPr>
          <w:sz w:val="20"/>
          <w:szCs w:val="20"/>
          <w:color w:val="auto"/>
        </w:rPr>
      </w:pPr>
      <w:r>
        <w:rPr>
          <w:rFonts w:ascii="Times New Roman" w:cs="Times New Roman" w:eastAsia="Times New Roman" w:hAnsi="Times New Roman"/>
          <w:sz w:val="18"/>
          <w:szCs w:val="18"/>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determined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likelihood of exercise. The Company estimated the standalone selling price of the Combined License Obligation by utilizing a discounted cash flow model.</w:t>
      </w:r>
    </w:p>
    <w:p>
      <w:pPr>
        <w:spacing w:after="0" w:line="122" w:lineRule="exact"/>
        <w:rPr>
          <w:sz w:val="20"/>
          <w:szCs w:val="20"/>
          <w:color w:val="auto"/>
        </w:rPr>
      </w:pPr>
    </w:p>
    <w:p>
      <w:pPr>
        <w:ind w:right="80" w:firstLine="317"/>
        <w:spacing w:after="0" w:line="248" w:lineRule="auto"/>
        <w:rPr>
          <w:sz w:val="20"/>
          <w:szCs w:val="20"/>
          <w:color w:val="auto"/>
        </w:rPr>
      </w:pPr>
      <w:r>
        <w:rPr>
          <w:rFonts w:ascii="Times New Roman" w:cs="Times New Roman" w:eastAsia="Times New Roman" w:hAnsi="Times New Roman"/>
          <w:sz w:val="18"/>
          <w:szCs w:val="18"/>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87" w:lineRule="exact"/>
        <w:rPr>
          <w:sz w:val="20"/>
          <w:szCs w:val="20"/>
          <w:color w:val="auto"/>
        </w:rPr>
      </w:pPr>
    </w:p>
    <w:p>
      <w:pPr>
        <w:ind w:right="140" w:firstLine="317"/>
        <w:spacing w:after="0" w:line="258" w:lineRule="auto"/>
        <w:rPr>
          <w:sz w:val="20"/>
          <w:szCs w:val="20"/>
          <w:color w:val="auto"/>
        </w:rPr>
      </w:pPr>
      <w:r>
        <w:rPr>
          <w:rFonts w:ascii="Times New Roman" w:cs="Times New Roman" w:eastAsia="Times New Roman" w:hAnsi="Times New Roman"/>
          <w:sz w:val="18"/>
          <w:szCs w:val="18"/>
          <w:color w:val="auto"/>
        </w:rPr>
        <w:t>On June 29, 2022, the Company completed enrollment of the DISSOLVE II trial. The completion of enrollment of the DISSOLVE II trial has resulted in the achievement of a development milestone and a $10.0 million payment obligation from Sobi to the Company. This amount was added to the overall transaction price and payment was received during the nine months ended September 30, 2022.</w:t>
      </w:r>
    </w:p>
    <w:p>
      <w:pPr>
        <w:spacing w:after="0" w:line="73" w:lineRule="exact"/>
        <w:rPr>
          <w:sz w:val="20"/>
          <w:szCs w:val="20"/>
          <w:color w:val="auto"/>
        </w:rPr>
      </w:pPr>
    </w:p>
    <w:p>
      <w:pPr>
        <w:ind w:right="120" w:firstLine="317"/>
        <w:spacing w:after="0" w:line="251" w:lineRule="auto"/>
        <w:rPr>
          <w:sz w:val="20"/>
          <w:szCs w:val="20"/>
          <w:color w:val="auto"/>
        </w:rPr>
      </w:pPr>
      <w:r>
        <w:rPr>
          <w:rFonts w:ascii="Times New Roman" w:cs="Times New Roman" w:eastAsia="Times New Roman" w:hAnsi="Times New Roman"/>
          <w:sz w:val="18"/>
          <w:szCs w:val="18"/>
          <w:color w:val="auto"/>
        </w:rPr>
        <w:t>As of September 30, 2022 and December 31, 2021, the Company recorded $0.7 million and $37.5 million, respectively, as a short-term contract liability and $0.1 million and $5.1 million, respectively, as a long-term contract liability, representing deferred revenue associated with this agreement. In addition, as of September 30, 2022, the Company has recorded $0.2 million of contract assets related to incremental costs that would not have been incurred if the Sobi License had not been obtained, of which $0.1 million is presented in prepaid expenses and other current assets and less than $0.1 million is presented in other assets in the accompanying unaudited consolidated balance sheets.</w:t>
      </w:r>
    </w:p>
    <w:p>
      <w:pPr>
        <w:spacing w:after="0" w:line="81" w:lineRule="exact"/>
        <w:rPr>
          <w:sz w:val="20"/>
          <w:szCs w:val="20"/>
          <w:color w:val="auto"/>
        </w:rPr>
      </w:pPr>
    </w:p>
    <w:p>
      <w:pPr>
        <w:ind w:right="20" w:firstLine="317"/>
        <w:spacing w:after="0" w:line="269" w:lineRule="auto"/>
        <w:rPr>
          <w:sz w:val="20"/>
          <w:szCs w:val="20"/>
          <w:color w:val="auto"/>
        </w:rPr>
      </w:pPr>
      <w:r>
        <w:rPr>
          <w:rFonts w:ascii="Times New Roman" w:cs="Times New Roman" w:eastAsia="Times New Roman" w:hAnsi="Times New Roman"/>
          <w:sz w:val="17"/>
          <w:szCs w:val="17"/>
          <w:color w:val="auto"/>
        </w:rPr>
        <w:t>As of September 30, 2022 and December 31, 2021, the Company recorded a total outstanding receivable of $6.9 million and $9.9 million, respectively, representing billings for the Phase 3 DISSOLVE program that are subject to reimbursement by Sobi. Revenue of $20.7 million and $73.6 million related to the Sobi License was recognized during the three and nine months ended September 30, 2022, respectively, inclusive of $7.1 million of revenue recognized from performance obligations related to prior periods as a result of the change in transaction price during the three months ended September 30, 2022. Revenue of $24.3 million and $54.8 million related to the Sobi License was recognized during the three and nine months ended September 30, 2021,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2" w:lineRule="exact"/>
        <w:rPr>
          <w:sz w:val="20"/>
          <w:szCs w:val="20"/>
          <w:color w:val="auto"/>
        </w:rPr>
      </w:pPr>
    </w:p>
    <w:p>
      <w:pPr>
        <w:ind w:right="40" w:firstLine="317"/>
        <w:spacing w:after="0" w:line="249"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83" w:lineRule="exact"/>
        <w:rPr>
          <w:sz w:val="20"/>
          <w:szCs w:val="20"/>
          <w:color w:val="auto"/>
        </w:rPr>
      </w:pPr>
    </w:p>
    <w:p>
      <w:pPr>
        <w:jc w:val="both"/>
        <w:ind w:right="240" w:firstLine="317"/>
        <w:spacing w:after="0" w:line="253" w:lineRule="auto"/>
        <w:rPr>
          <w:sz w:val="20"/>
          <w:szCs w:val="20"/>
          <w:color w:val="auto"/>
        </w:rPr>
      </w:pPr>
      <w:r>
        <w:rPr>
          <w:rFonts w:ascii="Times New Roman" w:cs="Times New Roman" w:eastAsia="Times New Roman" w:hAnsi="Times New Roman"/>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ind w:firstLine="317"/>
        <w:spacing w:after="0" w:line="258" w:lineRule="auto"/>
        <w:rPr>
          <w:sz w:val="20"/>
          <w:szCs w:val="20"/>
          <w:color w:val="auto"/>
        </w:rPr>
      </w:pPr>
      <w:r>
        <w:rPr>
          <w:rFonts w:ascii="Times New Roman" w:cs="Times New Roman" w:eastAsia="Times New Roman" w:hAnsi="Times New Roman"/>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3" w:lineRule="exact"/>
        <w:rPr>
          <w:sz w:val="20"/>
          <w:szCs w:val="20"/>
          <w:color w:val="auto"/>
        </w:rPr>
      </w:pPr>
    </w:p>
    <w:p>
      <w:pPr>
        <w:ind w:right="160" w:firstLine="317"/>
        <w:spacing w:after="0" w:line="251" w:lineRule="auto"/>
        <w:rPr>
          <w:sz w:val="20"/>
          <w:szCs w:val="20"/>
          <w:color w:val="auto"/>
        </w:rPr>
      </w:pPr>
      <w:r>
        <w:rPr>
          <w:rFonts w:ascii="Times New Roman" w:cs="Times New Roman" w:eastAsia="Times New Roman" w:hAnsi="Times New Roman"/>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220" w:firstLine="317"/>
        <w:spacing w:after="0" w:line="251"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81"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year ended December 31, 2021, the Company and Sarepta entered into a third amendment relating to the additional feasibility study.</w:t>
      </w:r>
    </w:p>
    <w:p>
      <w:pPr>
        <w:spacing w:after="0" w:line="81" w:lineRule="exact"/>
        <w:rPr>
          <w:sz w:val="20"/>
          <w:szCs w:val="20"/>
          <w:color w:val="auto"/>
        </w:rPr>
      </w:pPr>
    </w:p>
    <w:p>
      <w:pPr>
        <w:jc w:val="both"/>
        <w:ind w:right="200" w:firstLine="317"/>
        <w:spacing w:after="0" w:line="258" w:lineRule="auto"/>
        <w:rPr>
          <w:sz w:val="20"/>
          <w:szCs w:val="20"/>
          <w:color w:val="auto"/>
        </w:rPr>
      </w:pPr>
      <w:r>
        <w:rPr>
          <w:rFonts w:ascii="Times New Roman" w:cs="Times New Roman" w:eastAsia="Times New Roman" w:hAnsi="Times New Roman"/>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73" w:lineRule="exact"/>
        <w:rPr>
          <w:sz w:val="20"/>
          <w:szCs w:val="20"/>
          <w:color w:val="auto"/>
        </w:rPr>
      </w:pPr>
    </w:p>
    <w:p>
      <w:pPr>
        <w:ind w:right="260" w:firstLine="317"/>
        <w:spacing w:after="0" w:line="258" w:lineRule="auto"/>
        <w:rPr>
          <w:sz w:val="20"/>
          <w:szCs w:val="20"/>
          <w:color w:val="auto"/>
        </w:rPr>
      </w:pPr>
      <w:r>
        <w:rPr>
          <w:rFonts w:ascii="Times New Roman" w:cs="Times New Roman" w:eastAsia="Times New Roman" w:hAnsi="Times New Roman"/>
          <w:sz w:val="18"/>
          <w:szCs w:val="18"/>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three months ended September 30, 2022.</w:t>
      </w:r>
    </w:p>
    <w:p>
      <w:pPr>
        <w:spacing w:after="0" w:line="73" w:lineRule="exact"/>
        <w:rPr>
          <w:sz w:val="20"/>
          <w:szCs w:val="20"/>
          <w:color w:val="auto"/>
        </w:rPr>
      </w:pPr>
    </w:p>
    <w:p>
      <w:pPr>
        <w:ind w:right="120" w:firstLine="317"/>
        <w:spacing w:after="0" w:line="270" w:lineRule="auto"/>
        <w:rPr>
          <w:sz w:val="20"/>
          <w:szCs w:val="20"/>
          <w:color w:val="auto"/>
        </w:rPr>
      </w:pPr>
      <w:r>
        <w:rPr>
          <w:rFonts w:ascii="Times New Roman" w:cs="Times New Roman" w:eastAsia="Times New Roman" w:hAnsi="Times New Roman"/>
          <w:sz w:val="18"/>
          <w:szCs w:val="18"/>
          <w:color w:val="auto"/>
        </w:rPr>
        <w:t>On June 15, 2022, the Company was notified by Sarepta of the achievement of a milestone event related to certain preclinical study milestones under the Sarepta Agreement. Accordingly, the Company received a milestone payment of $4.0 million during the three months ended September 30, 2022.</w:t>
      </w:r>
    </w:p>
    <w:p>
      <w:pPr>
        <w:spacing w:after="0" w:line="63" w:lineRule="exact"/>
        <w:rPr>
          <w:sz w:val="20"/>
          <w:szCs w:val="20"/>
          <w:color w:val="auto"/>
        </w:rPr>
      </w:pPr>
    </w:p>
    <w:p>
      <w:pPr>
        <w:ind w:right="60" w:firstLine="317"/>
        <w:spacing w:after="0" w:line="258" w:lineRule="auto"/>
        <w:rPr>
          <w:sz w:val="20"/>
          <w:szCs w:val="20"/>
          <w:color w:val="auto"/>
        </w:rPr>
      </w:pPr>
      <w:r>
        <w:rPr>
          <w:rFonts w:ascii="Times New Roman" w:cs="Times New Roman" w:eastAsia="Times New Roman" w:hAnsi="Times New Roman"/>
          <w:sz w:val="18"/>
          <w:szCs w:val="18"/>
          <w:color w:val="auto"/>
        </w:rPr>
        <w:t>As of September 30, 2022, one milestone remained constrained. The Company will re-evaluate the transaction price in each reporting period, as uncertain events are resolved. The Company will recognize the revenue associated with the upfront payment and combined single performance obligation utilizing the output method, over the 33-month term as the manufactured supply is delivered to Sarepta.</w:t>
      </w:r>
    </w:p>
    <w:p>
      <w:pPr>
        <w:spacing w:after="0" w:line="73" w:lineRule="exact"/>
        <w:rPr>
          <w:sz w:val="20"/>
          <w:szCs w:val="20"/>
          <w:color w:val="auto"/>
        </w:rPr>
      </w:pPr>
    </w:p>
    <w:p>
      <w:pPr>
        <w:ind w:right="280" w:firstLine="317"/>
        <w:spacing w:after="0" w:line="251" w:lineRule="auto"/>
        <w:rPr>
          <w:sz w:val="20"/>
          <w:szCs w:val="20"/>
          <w:color w:val="auto"/>
        </w:rPr>
      </w:pPr>
      <w:r>
        <w:rPr>
          <w:rFonts w:ascii="Times New Roman" w:cs="Times New Roman" w:eastAsia="Times New Roman" w:hAnsi="Times New Roman"/>
          <w:sz w:val="18"/>
          <w:szCs w:val="18"/>
          <w:color w:val="auto"/>
        </w:rPr>
        <w:t>No outstanding receivable was recorded as of September 30, 2022 and December 31, 2021. The Company recorded $0.5 million and $4.6 million as a short-term contract liability representing deferred revenue associated with this agreement at September 30, 2022 and December 31, 2021, respectively. Revenue of $10.2 million related to the Sarepta Agreement was recognized during the nine months ended September 30, 2022. No revenue was recognized during the three months ended September 30, 2022. Revenue of $0.2 million related to the Sarepta Agreement was recognized during each of the three and nine months ended September 30,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2"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In December 2019, the Company and Asklepios Biopharmaceutical, Inc., or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adeno-associated viral, or AAV, gene therapy products utilizing ImmTOR, and targeting the lysosomal alpha-glucosidase, or GAA, gene, or derivatives thereof, to treat Pompe Disease.</w:t>
      </w:r>
    </w:p>
    <w:p>
      <w:pPr>
        <w:spacing w:after="0" w:line="79"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1" w:lineRule="exact"/>
        <w:rPr>
          <w:sz w:val="20"/>
          <w:szCs w:val="20"/>
          <w:color w:val="auto"/>
        </w:rPr>
      </w:pPr>
    </w:p>
    <w:p>
      <w:pPr>
        <w:ind w:right="160" w:firstLine="317"/>
        <w:spacing w:after="0" w:line="280" w:lineRule="auto"/>
        <w:rPr>
          <w:sz w:val="20"/>
          <w:szCs w:val="20"/>
          <w:color w:val="auto"/>
        </w:rPr>
      </w:pPr>
      <w:r>
        <w:rPr>
          <w:rFonts w:ascii="Times New Roman" w:cs="Times New Roman" w:eastAsia="Times New Roman" w:hAnsi="Times New Roman"/>
          <w:sz w:val="17"/>
          <w:szCs w:val="17"/>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56"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The Company determined that the AskBio License Agreement and Supply Obligation represent a single promise and performance obligation. This is because AskBio cannot derive benefit from the license without the simultaneous transfer of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patent protected ImmTOR supply. Therefore, the License Obligation and Supply Obligation represent the only promise in the arrangement and are combined as a single performance obligation.</w:t>
      </w:r>
    </w:p>
    <w:p>
      <w:pPr>
        <w:spacing w:after="0" w:line="63" w:lineRule="exact"/>
        <w:rPr>
          <w:sz w:val="20"/>
          <w:szCs w:val="20"/>
          <w:color w:val="auto"/>
        </w:rPr>
      </w:pPr>
    </w:p>
    <w:p>
      <w:pPr>
        <w:ind w:right="60" w:firstLine="317"/>
        <w:spacing w:after="0" w:line="265" w:lineRule="auto"/>
        <w:rPr>
          <w:sz w:val="20"/>
          <w:szCs w:val="20"/>
          <w:color w:val="auto"/>
        </w:rPr>
      </w:pPr>
      <w:r>
        <w:rPr>
          <w:rFonts w:ascii="Times New Roman" w:cs="Times New Roman" w:eastAsia="Times New Roman" w:hAnsi="Times New Roman"/>
          <w:sz w:val="17"/>
          <w:szCs w:val="17"/>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September 30, 2022 and December 31, 2021, all milestones were constrained. The Company will re-evaluate the transaction price in each reporting period, as uncertain events are resolved, or as other changes in circumstances occur.</w:t>
      </w:r>
    </w:p>
    <w:p>
      <w:pPr>
        <w:spacing w:after="0" w:line="71" w:lineRule="exact"/>
        <w:rPr>
          <w:sz w:val="20"/>
          <w:szCs w:val="20"/>
          <w:color w:val="auto"/>
        </w:rPr>
      </w:pPr>
    </w:p>
    <w:p>
      <w:pPr>
        <w:ind w:right="740" w:firstLine="317"/>
        <w:spacing w:after="0" w:line="270" w:lineRule="auto"/>
        <w:rPr>
          <w:sz w:val="20"/>
          <w:szCs w:val="20"/>
          <w:color w:val="auto"/>
        </w:rPr>
      </w:pPr>
      <w:r>
        <w:rPr>
          <w:rFonts w:ascii="Times New Roman" w:cs="Times New Roman" w:eastAsia="Times New Roman" w:hAnsi="Times New Roman"/>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3" w:lineRule="exact"/>
        <w:rPr>
          <w:sz w:val="20"/>
          <w:szCs w:val="20"/>
          <w:color w:val="auto"/>
        </w:rPr>
      </w:pPr>
    </w:p>
    <w:p>
      <w:pPr>
        <w:ind w:right="160" w:firstLine="317"/>
        <w:spacing w:after="0" w:line="253" w:lineRule="auto"/>
        <w:rPr>
          <w:sz w:val="20"/>
          <w:szCs w:val="20"/>
          <w:color w:val="auto"/>
        </w:rPr>
      </w:pPr>
      <w:r>
        <w:rPr>
          <w:rFonts w:ascii="Times New Roman" w:cs="Times New Roman" w:eastAsia="Times New Roman" w:hAnsi="Times New Roman"/>
          <w:sz w:val="18"/>
          <w:szCs w:val="18"/>
          <w:color w:val="auto"/>
        </w:rPr>
        <w:t>At each of September 30, 2022 and December 31, 2021,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three and nine months ended September 30, 2022 and 2021 as no deliveries were made during these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 Therapeutics, Inc.</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Spark License Agreement</w:t>
      </w:r>
    </w:p>
    <w:p>
      <w:pPr>
        <w:spacing w:after="0" w:line="112"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81" w:lineRule="exact"/>
        <w:rPr>
          <w:sz w:val="20"/>
          <w:szCs w:val="20"/>
          <w:color w:val="auto"/>
        </w:rPr>
      </w:pPr>
    </w:p>
    <w:p>
      <w:pPr>
        <w:jc w:val="both"/>
        <w:ind w:right="140" w:firstLine="317"/>
        <w:spacing w:after="0" w:line="258" w:lineRule="auto"/>
        <w:rPr>
          <w:sz w:val="20"/>
          <w:szCs w:val="20"/>
          <w:color w:val="auto"/>
        </w:rPr>
      </w:pPr>
      <w:r>
        <w:rPr>
          <w:rFonts w:ascii="Times New Roman" w:cs="Times New Roman" w:eastAsia="Times New Roman" w:hAnsi="Times New Roman"/>
          <w:sz w:val="18"/>
          <w:szCs w:val="18"/>
          <w:color w:val="auto"/>
        </w:rPr>
        <w:t>On January 18, 2022, both parties agreed to mutually terminate the Spark License Agreement. Therefore, the short-term contract liability of $9.2 million as of December 31, 2021 was recognized as revenue during the nine months ended September 30, 2022. No revenue was recognized during the three months ended September 30,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remaining performance obligations was $9.3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 (</w:t>
      </w:r>
      <w:r>
        <w:rPr>
          <w:rFonts w:ascii="Times New Roman" w:cs="Times New Roman" w:eastAsia="Times New Roman" w:hAnsi="Times New Roman"/>
          <w:sz w:val="18"/>
          <w:szCs w:val="18"/>
          <w:i w:val="1"/>
          <w:iCs w:val="1"/>
          <w:color w:val="auto"/>
        </w:rPr>
        <w:t>Takeda, Sobi, Sarepta, and AskBio</w:t>
      </w:r>
      <w:r>
        <w:rPr>
          <w:rFonts w:ascii="Times New Roman" w:cs="Times New Roman" w:eastAsia="Times New Roman" w:hAnsi="Times New Roman"/>
          <w:sz w:val="18"/>
          <w:szCs w:val="18"/>
          <w:b w:val="1"/>
          <w:bCs w:val="1"/>
          <w:color w:val="auto"/>
        </w:rPr>
        <w: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nine months ended September 30, 2022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2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7"/>
                <w:szCs w:val="17"/>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4"/>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(72,044)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20" w:right="8900" w:hanging="314"/>
        <w:spacing w:after="0" w:line="390" w:lineRule="auto"/>
        <w:tabs>
          <w:tab w:leader="none" w:pos="267"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Related-party Transactions </w:t>
      </w:r>
      <w:r>
        <w:rPr>
          <w:rFonts w:ascii="Times New Roman" w:cs="Times New Roman" w:eastAsia="Times New Roman" w:hAnsi="Times New Roman"/>
          <w:sz w:val="17"/>
          <w:szCs w:val="17"/>
          <w:i w:val="1"/>
          <w:iCs w:val="1"/>
          <w:color w:val="auto"/>
        </w:rPr>
        <w:t>April 2022 Offering</w:t>
      </w:r>
    </w:p>
    <w:p>
      <w:pPr>
        <w:spacing w:after="0" w:line="1" w:lineRule="exact"/>
        <w:rPr>
          <w:sz w:val="20"/>
          <w:szCs w:val="20"/>
          <w:color w:val="auto"/>
        </w:rPr>
      </w:pPr>
    </w:p>
    <w:p>
      <w:pPr>
        <w:jc w:val="both"/>
        <w:ind w:right="460" w:firstLine="317"/>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completed the Offering as described in Note 10. The following table sets forth the number of shares of Common Stock and 2022 Warrants purchased in the Offering by directors and executive officers, as of the time of the Offering, and related parties thereto: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Warrants</w:t>
            </w:r>
          </w:p>
        </w:tc>
        <w:tc>
          <w:tcPr>
            <w:tcW w:w="20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1"/>
        </w:trPr>
        <w:tc>
          <w:tcPr>
            <w:tcW w:w="64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Stock purchased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2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7"/>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5,011,200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9,421,056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112" w:lineRule="exact"/>
        <w:rPr>
          <w:sz w:val="20"/>
          <w:szCs w:val="20"/>
          <w:color w:val="auto"/>
        </w:rPr>
      </w:pPr>
    </w:p>
    <w:p>
      <w:pPr>
        <w:jc w:val="both"/>
        <w:ind w:right="100" w:firstLine="317"/>
        <w:spacing w:after="0" w:line="270" w:lineRule="auto"/>
        <w:rPr>
          <w:sz w:val="20"/>
          <w:szCs w:val="20"/>
          <w:color w:val="auto"/>
        </w:rPr>
      </w:pPr>
      <w:r>
        <w:rPr>
          <w:rFonts w:ascii="Times New Roman" w:cs="Times New Roman" w:eastAsia="Times New Roman" w:hAnsi="Times New Roman"/>
          <w:sz w:val="18"/>
          <w:szCs w:val="18"/>
          <w:color w:val="auto"/>
        </w:rPr>
        <w:t>The Company incurred expenses for consulting services provided by its founders to serve on its Scientific Advisory Board, totaling less than $0.1 million and $0.1 million during the three and nine months ended September 30, 2021, respectively.</w:t>
      </w:r>
    </w:p>
    <w:p>
      <w:pPr>
        <w:spacing w:after="0" w:line="200" w:lineRule="exact"/>
        <w:rPr>
          <w:sz w:val="20"/>
          <w:szCs w:val="20"/>
          <w:color w:val="auto"/>
        </w:rPr>
      </w:pPr>
    </w:p>
    <w:p>
      <w:pPr>
        <w:spacing w:after="0" w:line="205" w:lineRule="exact"/>
        <w:rPr>
          <w:sz w:val="20"/>
          <w:szCs w:val="20"/>
          <w:color w:val="auto"/>
        </w:rPr>
      </w:pPr>
    </w:p>
    <w:p>
      <w:pPr>
        <w:ind w:right="8040" w:firstLine="6"/>
        <w:spacing w:after="0" w:line="389" w:lineRule="auto"/>
        <w:tabs>
          <w:tab w:leader="none" w:pos="26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and License Agreements Ginkgo Bioworks Holdings, Inc.</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Collaboration and License Agreement</w:t>
      </w:r>
    </w:p>
    <w:p>
      <w:pPr>
        <w:spacing w:after="0" w:line="112" w:lineRule="exact"/>
        <w:rPr>
          <w:sz w:val="20"/>
          <w:szCs w:val="20"/>
          <w:color w:val="auto"/>
        </w:rPr>
      </w:pPr>
    </w:p>
    <w:p>
      <w:pPr>
        <w:ind w:firstLine="317"/>
        <w:spacing w:after="0" w:line="247"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Bioworks Holdings, Inc., or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8" w:lineRule="exact"/>
        <w:rPr>
          <w:sz w:val="20"/>
          <w:szCs w:val="20"/>
          <w:color w:val="auto"/>
        </w:rPr>
      </w:pPr>
    </w:p>
    <w:p>
      <w:pPr>
        <w:ind w:right="20" w:firstLine="317"/>
        <w:spacing w:after="0" w:line="247" w:lineRule="auto"/>
        <w:rPr>
          <w:sz w:val="20"/>
          <w:szCs w:val="20"/>
          <w:color w:val="auto"/>
        </w:rPr>
      </w:pPr>
      <w:r>
        <w:rPr>
          <w:rFonts w:ascii="Times New Roman" w:cs="Times New Roman" w:eastAsia="Times New Roman" w:hAnsi="Times New Roman"/>
          <w:sz w:val="18"/>
          <w:szCs w:val="18"/>
          <w:color w:val="auto"/>
        </w:rPr>
        <w:t>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research and development fees, clinical and commercial milestone payments of up to $85.0 million in cash, as well as certain milestone payments for fixed fair values in the form of shares of the Company’s common stock.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June 13, 2022, the Company was notified of the achievement of the midpoint of the technical development plan under the First Ginkgo Agreement by</w:t>
      </w:r>
    </w:p>
    <w:p>
      <w:pPr>
        <w:spacing w:after="0" w:line="56"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Ginkgo. This milestone resulted in the payment of $0.5 million and issuance of 892,857 shares of the Company’s common stock valued at $1.0 million to Ginkgo during the nine months ended September 30,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2" w:lineRule="exact"/>
        <w:rPr>
          <w:sz w:val="20"/>
          <w:szCs w:val="20"/>
          <w:color w:val="auto"/>
        </w:rPr>
      </w:pPr>
    </w:p>
    <w:p>
      <w:pPr>
        <w:ind w:right="40" w:firstLine="317"/>
        <w:spacing w:after="0" w:line="248" w:lineRule="auto"/>
        <w:rPr>
          <w:sz w:val="20"/>
          <w:szCs w:val="20"/>
          <w:color w:val="auto"/>
        </w:rPr>
      </w:pPr>
      <w:r>
        <w:rPr>
          <w:rFonts w:ascii="Times New Roman" w:cs="Times New Roman" w:eastAsia="Times New Roman" w:hAnsi="Times New Roman"/>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development and sales-based milestones.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period. The Company is also obligated to pay Genovis tiered royalties of low double-digit percentages of worldwide annual net sales of collaboration products which will be expensed as the commercial sales occur.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2" w:lineRule="exact"/>
        <w:rPr>
          <w:sz w:val="20"/>
          <w:szCs w:val="20"/>
          <w:color w:val="auto"/>
        </w:rPr>
      </w:pPr>
    </w:p>
    <w:p>
      <w:pPr>
        <w:ind w:firstLine="317"/>
        <w:spacing w:after="0" w:line="263" w:lineRule="auto"/>
        <w:rPr>
          <w:sz w:val="20"/>
          <w:szCs w:val="20"/>
          <w:color w:val="auto"/>
        </w:rPr>
      </w:pPr>
      <w:r>
        <w:rPr>
          <w:rFonts w:ascii="Times New Roman" w:cs="Times New Roman" w:eastAsia="Times New Roman" w:hAnsi="Times New Roman"/>
          <w:sz w:val="17"/>
          <w:szCs w:val="17"/>
          <w:color w:val="auto"/>
        </w:rPr>
        <w:t>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76" w:lineRule="exact"/>
        <w:rPr>
          <w:sz w:val="20"/>
          <w:szCs w:val="20"/>
          <w:color w:val="auto"/>
        </w:rPr>
      </w:pPr>
    </w:p>
    <w:p>
      <w:pPr>
        <w:ind w:right="360" w:firstLine="317"/>
        <w:spacing w:after="0" w:line="258"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an aggregate purchase price of $2.0 million.</w:t>
      </w:r>
    </w:p>
    <w:p>
      <w:pPr>
        <w:spacing w:after="0" w:line="73" w:lineRule="exact"/>
        <w:rPr>
          <w:sz w:val="20"/>
          <w:szCs w:val="20"/>
          <w:color w:val="auto"/>
        </w:rPr>
      </w:pPr>
    </w:p>
    <w:p>
      <w:pPr>
        <w:ind w:right="40" w:firstLine="317"/>
        <w:spacing w:after="0" w:line="25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determined its equity interest to be within the scope of ASC 321 and elected to record the $2.0 million investment of Cyrus’ Series B Preferred Stock at cost on the purchase date.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June 13, 2022, the Company and Cyrus mutually agreed that the preclinical key in-vitro success milestone had been achieved.</w:t>
      </w:r>
    </w:p>
    <w:p>
      <w:pPr>
        <w:spacing w:after="0" w:line="110" w:lineRule="exact"/>
        <w:rPr>
          <w:sz w:val="20"/>
          <w:szCs w:val="20"/>
          <w:color w:val="auto"/>
        </w:rPr>
      </w:pPr>
    </w:p>
    <w:p>
      <w:pPr>
        <w:ind w:right="100" w:firstLine="317"/>
        <w:spacing w:after="0" w:line="253" w:lineRule="auto"/>
        <w:rPr>
          <w:sz w:val="20"/>
          <w:szCs w:val="20"/>
          <w:color w:val="auto"/>
        </w:rPr>
      </w:pPr>
      <w:r>
        <w:rPr>
          <w:rFonts w:ascii="Times New Roman" w:cs="Times New Roman" w:eastAsia="Times New Roman" w:hAnsi="Times New Roman"/>
          <w:sz w:val="18"/>
          <w:szCs w:val="18"/>
          <w:color w:val="auto"/>
        </w:rPr>
        <w:t>As of September 30, 2022,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2"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9" w:lineRule="exact"/>
        <w:rPr>
          <w:sz w:val="20"/>
          <w:szCs w:val="20"/>
          <w:color w:val="auto"/>
        </w:rPr>
      </w:pPr>
    </w:p>
    <w:p>
      <w:pPr>
        <w:ind w:right="20" w:firstLine="317"/>
        <w:spacing w:after="0" w:line="248"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The feasibility study and license agreement with AskBio, or AskBio Collaboration Agreement, otherwise remains in effect. Consequently, the Company has assumed all rights to the MMA program and intends to continue to progress the SEL-302 program through clinical development. The Company filed an IND to conduct a Phase 1/2 clinical trial of its SEL-302 product candidate in pediatric patients with methylmalonic acidemia in the third quarter of 2021. On November 23, 2021, this trial was placed on clinical hold by the FDA, with questions specifically relating to chemistry, manufacturing and controls, or CMC, of the AAV vector. On March 9, 2022, the Company received a letter from the FDA indicating the clinical hold was removed and the trial may proceed.</w:t>
      </w:r>
    </w:p>
    <w:p>
      <w:pPr>
        <w:spacing w:after="0" w:line="84" w:lineRule="exact"/>
        <w:rPr>
          <w:sz w:val="20"/>
          <w:szCs w:val="20"/>
          <w:color w:val="auto"/>
        </w:rPr>
      </w:pPr>
    </w:p>
    <w:p>
      <w:pPr>
        <w:ind w:right="80" w:firstLine="317"/>
        <w:spacing w:after="0" w:line="270" w:lineRule="auto"/>
        <w:rPr>
          <w:sz w:val="20"/>
          <w:szCs w:val="20"/>
          <w:color w:val="auto"/>
        </w:rPr>
      </w:pPr>
      <w:r>
        <w:rPr>
          <w:rFonts w:ascii="Times New Roman" w:cs="Times New Roman" w:eastAsia="Times New Roman" w:hAnsi="Times New Roman"/>
          <w:sz w:val="18"/>
          <w:szCs w:val="18"/>
          <w:color w:val="auto"/>
        </w:rPr>
        <w:t>The SEL-399 program combined an empty AAV capsid (EMC-101), which is an AAV capsid containing no transgene, with ImmTOR and was conducted in partnership with AskBio. Building on the preclinical data the Company has generated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w:t>
      </w:r>
    </w:p>
    <w:p>
      <w:pPr>
        <w:spacing w:after="0" w:line="79" w:lineRule="exact"/>
        <w:rPr>
          <w:sz w:val="20"/>
          <w:szCs w:val="20"/>
          <w:color w:val="auto"/>
        </w:rPr>
      </w:pPr>
    </w:p>
    <w:p>
      <w:pPr>
        <w:ind w:right="80" w:firstLine="317"/>
        <w:spacing w:after="0" w:line="269" w:lineRule="auto"/>
        <w:rPr>
          <w:sz w:val="20"/>
          <w:szCs w:val="20"/>
          <w:color w:val="auto"/>
        </w:rPr>
      </w:pPr>
      <w:r>
        <w:rPr>
          <w:rFonts w:ascii="Times New Roman" w:cs="Times New Roman" w:eastAsia="Times New Roman" w:hAnsi="Times New Roman"/>
          <w:sz w:val="17"/>
          <w:szCs w:val="17"/>
          <w:color w:val="auto"/>
        </w:rPr>
        <w:t>The Company and AskBio will share responsibility for the research and development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68" w:lineRule="exact"/>
        <w:rPr>
          <w:sz w:val="20"/>
          <w:szCs w:val="20"/>
          <w:color w:val="auto"/>
        </w:rPr>
      </w:pPr>
    </w:p>
    <w:p>
      <w:pPr>
        <w:ind w:right="40" w:firstLine="317"/>
        <w:spacing w:after="0" w:line="262" w:lineRule="auto"/>
        <w:rPr>
          <w:sz w:val="20"/>
          <w:szCs w:val="20"/>
          <w:color w:val="auto"/>
        </w:rPr>
      </w:pPr>
      <w:r>
        <w:rPr>
          <w:rFonts w:ascii="Times New Roman" w:cs="Times New Roman" w:eastAsia="Times New Roman" w:hAnsi="Times New Roman"/>
          <w:sz w:val="17"/>
          <w:szCs w:val="17"/>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w:t>
      </w:r>
    </w:p>
    <w:p>
      <w:pPr>
        <w:spacing w:after="0" w:line="77" w:lineRule="exact"/>
        <w:rPr>
          <w:sz w:val="20"/>
          <w:szCs w:val="20"/>
          <w:color w:val="auto"/>
        </w:rPr>
      </w:pPr>
    </w:p>
    <w:p>
      <w:pPr>
        <w:ind w:right="40" w:firstLine="317"/>
        <w:spacing w:after="0" w:line="251" w:lineRule="auto"/>
        <w:rPr>
          <w:sz w:val="20"/>
          <w:szCs w:val="20"/>
          <w:color w:val="auto"/>
        </w:rPr>
      </w:pPr>
      <w:r>
        <w:rPr>
          <w:rFonts w:ascii="Times New Roman" w:cs="Times New Roman" w:eastAsia="Times New Roman" w:hAnsi="Times New Roman"/>
          <w:sz w:val="18"/>
          <w:szCs w:val="18"/>
          <w:color w:val="auto"/>
        </w:rPr>
        <w:t>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research and development expense.</w:t>
      </w:r>
    </w:p>
    <w:p>
      <w:pPr>
        <w:spacing w:after="0" w:line="81" w:lineRule="exact"/>
        <w:rPr>
          <w:sz w:val="20"/>
          <w:szCs w:val="20"/>
          <w:color w:val="auto"/>
        </w:rPr>
      </w:pPr>
    </w:p>
    <w:p>
      <w:pPr>
        <w:ind w:right="100" w:firstLine="317"/>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recognized $0.2 million and $0.8 million, respectively, of collaboration expense under the AskBio Collaboration Agreement in which actual costs incurred by both parties approximate a 50% cost share. For the three and nine months ended September 30, 2021, the Company recognized $0.6 million and $2.3 million, respectively, of collaboration expense under the AskBio Collaboration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p>
      <w:pPr>
        <w:spacing w:after="0" w:line="112" w:lineRule="exact"/>
        <w:rPr>
          <w:sz w:val="20"/>
          <w:szCs w:val="20"/>
          <w:color w:val="auto"/>
        </w:rPr>
      </w:pPr>
    </w:p>
    <w:p>
      <w:pPr>
        <w:jc w:val="both"/>
        <w:ind w:right="800" w:firstLine="317"/>
        <w:spacing w:after="0" w:line="280" w:lineRule="auto"/>
        <w:rPr>
          <w:sz w:val="20"/>
          <w:szCs w:val="20"/>
          <w:color w:val="auto"/>
        </w:rPr>
      </w:pPr>
      <w:r>
        <w:rPr>
          <w:rFonts w:ascii="Times New Roman" w:cs="Times New Roman" w:eastAsia="Times New Roman" w:hAnsi="Times New Roman"/>
          <w:sz w:val="17"/>
          <w:szCs w:val="17"/>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56"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81" w:lineRule="exact"/>
        <w:rPr>
          <w:sz w:val="20"/>
          <w:szCs w:val="20"/>
          <w:color w:val="auto"/>
        </w:rPr>
      </w:pPr>
    </w:p>
    <w:p>
      <w:pPr>
        <w:ind w:right="120" w:firstLine="317"/>
        <w:spacing w:after="0" w:line="253" w:lineRule="auto"/>
        <w:rPr>
          <w:sz w:val="20"/>
          <w:szCs w:val="20"/>
          <w:color w:val="auto"/>
        </w:rPr>
      </w:pPr>
      <w:r>
        <w:rPr>
          <w:rFonts w:ascii="Times New Roman" w:cs="Times New Roman" w:eastAsia="Times New Roman" w:hAnsi="Times New Roman"/>
          <w:sz w:val="18"/>
          <w:szCs w:val="18"/>
          <w:color w:val="auto"/>
        </w:rPr>
        <w:t>As of September 30, 2022,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three and nine months ended September 30,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12" w:lineRule="exact"/>
        <w:rPr>
          <w:sz w:val="20"/>
          <w:szCs w:val="20"/>
          <w:color w:val="auto"/>
        </w:rPr>
      </w:pPr>
    </w:p>
    <w:p>
      <w:pPr>
        <w:ind w:right="260" w:firstLine="317"/>
        <w:spacing w:after="0" w:line="253"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September 30, 2022.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12" w:lineRule="exact"/>
        <w:rPr>
          <w:sz w:val="20"/>
          <w:szCs w:val="20"/>
          <w:color w:val="auto"/>
        </w:rPr>
      </w:pPr>
    </w:p>
    <w:p>
      <w:pPr>
        <w:ind w:firstLine="317"/>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73"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3"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Effective for tax years beginning on or after January 1, 2022, research and experimental expenditures under IRC Section 174 must be capitalized over five years when performed in the U.S. and 15 years for research and experimental expenditures performed outside of the U.S. As of September 30, 2022, the Company has performed a high-level analysis of the impact of this legislation enactment and determined the projected taxable loss position for 2022 does not result in income tax due. As of December 31, 2021, the Company has $51.1 million of federal net operating losses available, subject to an 80% limitation. The Company also has $1.2 million of federal tax credits, subject to a 75% limitation. The Company maintains its full valuation allowance.</w:t>
      </w:r>
    </w:p>
    <w:p>
      <w:pPr>
        <w:spacing w:after="0" w:line="81"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R&amp;D tax credit study.</w:t>
      </w:r>
    </w:p>
    <w:p>
      <w:pPr>
        <w:spacing w:after="0" w:line="79" w:lineRule="exact"/>
        <w:rPr>
          <w:sz w:val="20"/>
          <w:szCs w:val="20"/>
          <w:color w:val="auto"/>
        </w:rPr>
      </w:pPr>
    </w:p>
    <w:p>
      <w:pPr>
        <w:ind w:right="240" w:firstLine="317"/>
        <w:spacing w:after="0" w:line="253" w:lineRule="auto"/>
        <w:rPr>
          <w:sz w:val="20"/>
          <w:szCs w:val="20"/>
          <w:color w:val="auto"/>
        </w:rPr>
      </w:pPr>
      <w:r>
        <w:rPr>
          <w:rFonts w:ascii="Times New Roman" w:cs="Times New Roman" w:eastAsia="Times New Roman" w:hAnsi="Times New Roman"/>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12"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2 years and participant contributions vest immediately. Contributions by the Company totaled $0.1 million and less than $0.1 million during the three months ended September 30, 2022 and 2021, respectively, and $0.3 million and $0.1 million during the nine months ended September 30, 2022 and 2021,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2" w:lineRule="exact"/>
        <w:rPr>
          <w:sz w:val="20"/>
          <w:szCs w:val="20"/>
          <w:color w:val="auto"/>
        </w:rPr>
      </w:pPr>
    </w:p>
    <w:p>
      <w:pPr>
        <w:ind w:right="180" w:firstLine="317"/>
        <w:spacing w:after="0" w:line="270" w:lineRule="auto"/>
        <w:rPr>
          <w:sz w:val="20"/>
          <w:szCs w:val="20"/>
          <w:color w:val="auto"/>
        </w:rPr>
      </w:pPr>
      <w:r>
        <w:rPr>
          <w:rFonts w:ascii="Times New Roman" w:cs="Times New Roman" w:eastAsia="Times New Roman" w:hAnsi="Times New Roman"/>
          <w:sz w:val="18"/>
          <w:szCs w:val="18"/>
          <w:color w:val="auto"/>
        </w:rPr>
        <w:t>As of September 30, 2022, the Company was not a party to any litigation that could have a material adverse effect on the Company’s business, financial position, results of operations or cash flows.</w:t>
      </w:r>
    </w:p>
    <w:p>
      <w:pPr>
        <w:spacing w:after="0" w:line="63" w:lineRule="exact"/>
        <w:rPr>
          <w:sz w:val="20"/>
          <w:szCs w:val="20"/>
          <w:color w:val="auto"/>
        </w:rPr>
      </w:pPr>
    </w:p>
    <w:p>
      <w:pPr>
        <w:ind w:right="40" w:firstLine="317"/>
        <w:spacing w:after="0" w:line="248"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August 1, 2022, the Court entered an Order and Final Judgment which dismissed the action, and all claims contained therein, with prejudice.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2" w:lineRule="exact"/>
        <w:rPr>
          <w:sz w:val="20"/>
          <w:szCs w:val="20"/>
          <w:color w:val="auto"/>
        </w:rPr>
      </w:pPr>
    </w:p>
    <w:p>
      <w:pPr>
        <w:ind w:right="100" w:firstLine="317"/>
        <w:spacing w:after="0" w:line="248"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and officers for certain events or occurrences while the director or officer is, or was, serving at the Company’s request in such capacity. The term of the indemnification is for the director’s or officer’s lifetime. The maximum potential amount of future payments the Company could be required to make is unlimited; however, the Company has directors’ and officers’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w:t>
      </w:r>
    </w:p>
    <w:p>
      <w:pPr>
        <w:spacing w:after="0" w:line="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2" w:lineRule="exact"/>
        <w:rPr>
          <w:sz w:val="20"/>
          <w:szCs w:val="20"/>
          <w:color w:val="auto"/>
        </w:rPr>
      </w:pPr>
    </w:p>
    <w:p>
      <w:pPr>
        <w:ind w:right="60" w:firstLine="317"/>
        <w:spacing w:after="0" w:line="270"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have occurred that require disclosure to the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0"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2021, which we filed with the SEC on March 10, 2022. In addition, you should read the “Risk Factors” and “Information Regarding Forward-Looking Statements” sections of this Quarterly Report and our Annual Report on Form 10-K for the year ended December 31, 2021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9" w:lineRule="exact"/>
        <w:rPr>
          <w:sz w:val="20"/>
          <w:szCs w:val="20"/>
          <w:color w:val="auto"/>
        </w:rPr>
      </w:pPr>
    </w:p>
    <w:p>
      <w:pPr>
        <w:ind w:right="620" w:firstLine="317"/>
        <w:spacing w:after="0" w:line="231"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encapsulates rapamycin, also known as sirolimus, an FDA approved immunomodulator, in biodegradable nanoparticles. ImmTOR is designed to induce antigen-specific immune tolerance.</w:t>
      </w:r>
    </w:p>
    <w:p>
      <w:pPr>
        <w:spacing w:after="0" w:line="89" w:lineRule="exact"/>
        <w:rPr>
          <w:sz w:val="20"/>
          <w:szCs w:val="20"/>
          <w:color w:val="auto"/>
        </w:rPr>
      </w:pPr>
    </w:p>
    <w:p>
      <w:pPr>
        <w:ind w:right="60" w:firstLine="317"/>
        <w:spacing w:after="0" w:line="250" w:lineRule="auto"/>
        <w:rPr>
          <w:sz w:val="20"/>
          <w:szCs w:val="20"/>
          <w:color w:val="auto"/>
        </w:rPr>
      </w:pPr>
      <w:r>
        <w:rPr>
          <w:rFonts w:ascii="Times New Roman" w:cs="Times New Roman" w:eastAsia="Times New Roman" w:hAnsi="Times New Roman"/>
          <w:sz w:val="18"/>
          <w:szCs w:val="18"/>
          <w:color w:val="auto"/>
        </w:rPr>
        <w:t>We continually seek to enhance ImmTOR. In recent preclinical studies we have conducted, we have observed that ImmTOR may have synergistic activity with interleukin-2, or IL-2, molecules that have been engineered to be selective for regulatory T cells, or Tregs. Treg-selective IL-2 molecules have been shown to transiently expand all pre-existing Tregs in preclinical and clinical studies conducted by others. We have observed in preclinical studies that the combination of ImmTOR, a Treg-selective IL-2 molecule and an antigen, exhibited substantial synergistic activity in inducing and expanding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believe this combination has the potential to be a “first-in-class” antigen specific IL-2 therapy for autoimmune disease. We believe ImmTOR and ImmTOR-IL have the potential to enhance both the efficacy and safety of biologic therapies (including gene therapies), improve product candidates under development, and enable novel therapeutic modalities in autoimmune disease.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ImmTOR platform has a broad range of potential applications. Our product development strategy is built on the following three distinct pillars.</w:t>
      </w:r>
    </w:p>
    <w:p>
      <w:pPr>
        <w:spacing w:after="0" w:line="106" w:lineRule="exact"/>
        <w:rPr>
          <w:sz w:val="20"/>
          <w:szCs w:val="20"/>
          <w:color w:val="auto"/>
        </w:rPr>
      </w:pPr>
    </w:p>
    <w:p>
      <w:pPr>
        <w:ind w:right="20" w:firstLine="317"/>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Biologic therapies</w:t>
      </w:r>
      <w:r>
        <w:rPr>
          <w:rFonts w:ascii="Times New Roman" w:cs="Times New Roman" w:eastAsia="Times New Roman" w:hAnsi="Times New Roman"/>
          <w:sz w:val="17"/>
          <w:szCs w:val="17"/>
          <w:color w:val="auto"/>
        </w:rPr>
        <w:t>. Biologic therapies are a class of biologic drugs frequently used to treat rare diseases. Through our analysis of biologic drugs,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is currently in Phase 3 clinical development,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IgG protease, or Xork, for the treatment of IgG-mediated autoimmune disease flares.</w:t>
      </w:r>
    </w:p>
    <w:p>
      <w:pPr>
        <w:spacing w:after="0" w:line="64" w:lineRule="exact"/>
        <w:rPr>
          <w:sz w:val="20"/>
          <w:szCs w:val="20"/>
          <w:color w:val="auto"/>
        </w:rPr>
      </w:pPr>
    </w:p>
    <w:p>
      <w:pPr>
        <w:ind w:firstLine="317"/>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Gene therapies</w:t>
      </w:r>
      <w:r>
        <w:rPr>
          <w:rFonts w:ascii="Times New Roman" w:cs="Times New Roman" w:eastAsia="Times New Roman" w:hAnsi="Times New Roman"/>
          <w:sz w:val="18"/>
          <w:szCs w:val="18"/>
          <w:color w:val="auto"/>
        </w:rPr>
        <w:t>. We believe gene therapies have the potential to address key unmet medical needs for many rare genetic diseases, but undesired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spacing w:after="0" w:line="80" w:lineRule="exact"/>
        <w:rPr>
          <w:sz w:val="20"/>
          <w:szCs w:val="20"/>
          <w:color w:val="auto"/>
        </w:rPr>
      </w:pPr>
    </w:p>
    <w:p>
      <w:pPr>
        <w:ind w:right="40" w:firstLine="31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Autoimmune diseases are caused by a breakdown in natural tolerance to our own self-antigens.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spacing w:after="0" w:line="76"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In our preclinical studies, we observed that ImmTOR combined with a Treg-selective IL-2 molecule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molecule approaches which do not show an antigen specific T-cell expansion. Thus, we believe that not only is ImmTOR-IL a potentially best in class IL-2 where generalized T cell expansion can be beneficial, but also a “first in class” antigen specific IL-2 therapy.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our ongoing discovery, research, and development programs:</w:t>
      </w:r>
    </w:p>
    <w:p>
      <w:pPr>
        <w:spacing w:after="0" w:line="135" w:lineRule="exact"/>
        <w:rPr>
          <w:sz w:val="20"/>
          <w:szCs w:val="20"/>
          <w:color w:val="auto"/>
        </w:rPr>
      </w:pPr>
    </w:p>
    <w:tbl>
      <w:tblPr>
        <w:tblLayout w:type="fixed"/>
        <w:tblInd w:w="1930" w:type="dxa"/>
        <w:tblCellMar>
          <w:top w:w="0" w:type="dxa"/>
          <w:left w:w="0" w:type="dxa"/>
          <w:bottom w:w="0" w:type="dxa"/>
          <w:right w:w="0" w:type="dxa"/>
        </w:tblCellMar>
      </w:tblPr>
      <w:tr>
        <w:trPr>
          <w:trHeight w:val="227"/>
        </w:trPr>
        <w:tc>
          <w:tcPr>
            <w:tcW w:w="192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02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19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Anticipated Next Steps</w:t>
            </w:r>
          </w:p>
        </w:tc>
        <w:tc>
          <w:tcPr>
            <w:tcW w:w="190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Commercial Rights</w:t>
            </w:r>
          </w:p>
        </w:tc>
        <w:tc>
          <w:tcPr>
            <w:tcW w:w="0" w:type="dxa"/>
            <w:vAlign w:val="bottom"/>
          </w:tcPr>
          <w:p>
            <w:pPr>
              <w:spacing w:after="0"/>
              <w:rPr>
                <w:sz w:val="1"/>
                <w:szCs w:val="1"/>
                <w:color w:val="auto"/>
              </w:rPr>
            </w:pPr>
          </w:p>
        </w:tc>
      </w:tr>
      <w:tr>
        <w:trPr>
          <w:trHeight w:val="77"/>
        </w:trPr>
        <w:tc>
          <w:tcPr>
            <w:tcW w:w="19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Biologic Therapies</w:t>
            </w: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SEL-212</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Phase 3 clinical trials</w:t>
            </w: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Top-line data Q1 2023</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Sobi</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(Chronic Refractory Gout)</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(DISSOLVE I / DISSOLVE II)</w:t>
            </w:r>
          </w:p>
        </w:tc>
        <w:tc>
          <w:tcPr>
            <w:tcW w:w="192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IgA nephropathy</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 enabling studies, 2022</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Gene Therapies</w:t>
            </w: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SEL-302 (Methylmalonic</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IND filed / Phase 1</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Study commencement, Q4</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acidemia (MMA))</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2022</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920" w:type="dxa"/>
            <w:vAlign w:val="bottom"/>
            <w:tcBorders>
              <w:left w:val="single" w:sz="8" w:color="auto"/>
              <w:right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i w:val="1"/>
                <w:iCs w:val="1"/>
                <w:color w:val="auto"/>
              </w:rPr>
              <w:t>SEL-313 (Ornithine</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IND-enabling</w:t>
            </w: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Currently paused</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44"/>
        </w:trPr>
        <w:tc>
          <w:tcPr>
            <w:tcW w:w="1920" w:type="dxa"/>
            <w:vAlign w:val="bottom"/>
            <w:tcBorders>
              <w:left w:val="single" w:sz="8" w:color="auto"/>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i w:val="1"/>
                <w:iCs w:val="1"/>
                <w:color w:val="auto"/>
              </w:rPr>
              <w:t>Transcarbamylase (OTC)</w:t>
            </w:r>
          </w:p>
        </w:tc>
        <w:tc>
          <w:tcPr>
            <w:tcW w:w="20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Deficiency)</w:t>
            </w:r>
          </w:p>
        </w:tc>
        <w:tc>
          <w:tcPr>
            <w:tcW w:w="20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SEL-018 (IgG protease (Xork))</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 enabling studies, 2022</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Pompe disease</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AskBio</w:t>
            </w:r>
          </w:p>
        </w:tc>
        <w:tc>
          <w:tcPr>
            <w:tcW w:w="0" w:type="dxa"/>
            <w:vAlign w:val="bottom"/>
          </w:tcPr>
          <w:p>
            <w:pPr>
              <w:spacing w:after="0"/>
              <w:rPr>
                <w:sz w:val="1"/>
                <w:szCs w:val="1"/>
                <w:color w:val="auto"/>
              </w:rPr>
            </w:pPr>
          </w:p>
        </w:tc>
      </w:tr>
      <w:tr>
        <w:trPr>
          <w:trHeight w:val="104"/>
        </w:trPr>
        <w:tc>
          <w:tcPr>
            <w:tcW w:w="192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Duchenne muscular dystrophy</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Sarepta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(DMD)</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Limb-girdle muscular</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Sarepta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dystrophy (LGMD)</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Two indications for lysosomal</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Takeda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storage disorders</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39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Tolerogenic Therapies for Autoimmune Disease</w:t>
            </w:r>
          </w:p>
        </w:tc>
        <w:tc>
          <w:tcPr>
            <w:tcW w:w="19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Proprietary IL-2</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receptor agonist</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Primary biliary cholangitis</w:t>
            </w:r>
          </w:p>
        </w:tc>
        <w:tc>
          <w:tcPr>
            <w:tcW w:w="2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2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(PBC)</w:t>
            </w: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92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Chronic Refractory Gout</w:t>
      </w:r>
    </w:p>
    <w:p>
      <w:pPr>
        <w:spacing w:after="0" w:line="114" w:lineRule="exact"/>
        <w:rPr>
          <w:sz w:val="20"/>
          <w:szCs w:val="20"/>
          <w:color w:val="auto"/>
        </w:rPr>
      </w:pPr>
    </w:p>
    <w:p>
      <w:pPr>
        <w:ind w:right="80" w:firstLine="317"/>
        <w:spacing w:after="0" w:line="253" w:lineRule="auto"/>
        <w:rPr>
          <w:sz w:val="20"/>
          <w:szCs w:val="20"/>
          <w:color w:val="auto"/>
        </w:rPr>
      </w:pPr>
      <w:r>
        <w:rPr>
          <w:rFonts w:ascii="Times New Roman" w:cs="Times New Roman" w:eastAsia="Times New Roman" w:hAnsi="Times New Roman"/>
          <w:sz w:val="18"/>
          <w:szCs w:val="18"/>
          <w:color w:val="auto"/>
        </w:rPr>
        <w:t>SEL-212 consists of ImmTOR co-administered with pegadricase. Our pegadricase consists of a yeast-derived uricase modified with polyethylene glycol moieties.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IgA Nephropathy</w:t>
      </w:r>
    </w:p>
    <w:p>
      <w:pPr>
        <w:spacing w:after="0" w:line="101" w:lineRule="exact"/>
        <w:rPr>
          <w:sz w:val="20"/>
          <w:szCs w:val="20"/>
          <w:color w:val="auto"/>
        </w:rPr>
      </w:pPr>
    </w:p>
    <w:p>
      <w:pPr>
        <w:ind w:right="200" w:firstLine="317"/>
        <w:spacing w:after="0" w:line="248" w:lineRule="auto"/>
        <w:rPr>
          <w:sz w:val="20"/>
          <w:szCs w:val="20"/>
          <w:color w:val="auto"/>
        </w:rPr>
      </w:pPr>
      <w:r>
        <w:rPr>
          <w:rFonts w:ascii="Times New Roman" w:cs="Times New Roman" w:eastAsia="Times New Roman" w:hAnsi="Times New Roman"/>
          <w:sz w:val="17"/>
          <w:szCs w:val="17"/>
          <w:color w:val="auto"/>
        </w:rPr>
        <w:t>The second indication in our biologic therapies program is IgA nephropathy, an autoimmune kidney disease that occurs when immune complexes of a subclass of antibodies called immunoglobulin A1, or IgA1, accumulates in the kidneys. Previous studies in animal models conducted at independent laboratories demonstrated that bacterial IgA protease has the potential to remove injurious IgA immune complexes from kidneys and reduce inflammation, fibrosis, and hematuria. We believe these results suggest that IgA protease can potentially decrease the rate of disease progression and possibly even reverse the disease. The barrier to IgA protease commercialization has been the bacterial origin of the protease, which makes it highly immunogenic. Based on the learnings of SEL-212, we believe the combination of ImmTOR with an IgA protease will enable repeated dosing to treat IgA nephropathy.</w:t>
      </w:r>
    </w:p>
    <w:p>
      <w:pPr>
        <w:spacing w:after="0" w:line="84" w:lineRule="exact"/>
        <w:rPr>
          <w:sz w:val="20"/>
          <w:szCs w:val="20"/>
          <w:color w:val="auto"/>
        </w:rPr>
      </w:pPr>
    </w:p>
    <w:p>
      <w:pPr>
        <w:ind w:right="80" w:firstLine="317"/>
        <w:spacing w:after="0" w:line="270" w:lineRule="auto"/>
        <w:rPr>
          <w:sz w:val="20"/>
          <w:szCs w:val="20"/>
          <w:color w:val="auto"/>
        </w:rPr>
      </w:pPr>
      <w:r>
        <w:rPr>
          <w:rFonts w:ascii="Times New Roman" w:cs="Times New Roman" w:eastAsia="Times New Roman" w:hAnsi="Times New Roman"/>
          <w:sz w:val="18"/>
          <w:szCs w:val="18"/>
          <w:color w:val="auto"/>
        </w:rPr>
        <w:t>Currently, Ginkgo Bioworks Holdings, Inc. and IGAN Biosciences, Inc. are, independently and under separate agreements, working to identify a suitable IgA protease candidate for our IgA nephropathy program.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Methylmalonic Acidemia</w:t>
      </w:r>
    </w:p>
    <w:p>
      <w:pPr>
        <w:spacing w:after="0" w:line="114"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AskBio. In October and November 2020, we received rare pediatric disease designation and orphan drug designation, respectively, from the FDA for MMA-101, for the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treatment of MMA due to methylmalonyl-CoA mutase, or MMUT gene mutations. See “ Licenses and Collaborations AskBio” for more information.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controlled by us, continues to proceed in accordance with our expectations and we have not observed any impact to any of our ImmTOR programs.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OTC Deficiency</w:t>
      </w:r>
    </w:p>
    <w:p>
      <w:pPr>
        <w:spacing w:after="0" w:line="114" w:lineRule="exact"/>
        <w:rPr>
          <w:sz w:val="20"/>
          <w:szCs w:val="20"/>
          <w:color w:val="auto"/>
        </w:rPr>
      </w:pPr>
    </w:p>
    <w:p>
      <w:pPr>
        <w:ind w:right="200" w:firstLine="317"/>
        <w:spacing w:after="0" w:line="250" w:lineRule="auto"/>
        <w:rPr>
          <w:sz w:val="20"/>
          <w:szCs w:val="20"/>
          <w:color w:val="auto"/>
        </w:rPr>
      </w:pPr>
      <w:r>
        <w:rPr>
          <w:rFonts w:ascii="Times New Roman" w:cs="Times New Roman" w:eastAsia="Times New Roman" w:hAnsi="Times New Roman"/>
          <w:sz w:val="18"/>
          <w:szCs w:val="18"/>
          <w:color w:val="auto"/>
        </w:rPr>
        <w:t>Our second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The development of this program is currently paused.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IgG Protease (Xork)</w:t>
      </w:r>
    </w:p>
    <w:p>
      <w:pPr>
        <w:spacing w:after="0" w:line="114" w:lineRule="exact"/>
        <w:rPr>
          <w:sz w:val="20"/>
          <w:szCs w:val="20"/>
          <w:color w:val="auto"/>
        </w:rPr>
      </w:pPr>
    </w:p>
    <w:p>
      <w:pPr>
        <w:ind w:right="120" w:firstLine="317"/>
        <w:spacing w:after="0" w:line="250" w:lineRule="auto"/>
        <w:rPr>
          <w:sz w:val="20"/>
          <w:szCs w:val="20"/>
          <w:color w:val="auto"/>
        </w:rPr>
      </w:pPr>
      <w:r>
        <w:rPr>
          <w:rFonts w:ascii="Times New Roman" w:cs="Times New Roman" w:eastAsia="Times New Roman" w:hAnsi="Times New Roman"/>
          <w:sz w:val="18"/>
          <w:szCs w:val="18"/>
          <w:color w:val="auto"/>
        </w:rPr>
        <w:t>We have exclusively licensed Xork, an IgG-specific protease from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 – ImmTOR &amp; ImmTOR-IL</w:t>
      </w:r>
    </w:p>
    <w:p>
      <w:pPr>
        <w:spacing w:after="0" w:line="114" w:lineRule="exact"/>
        <w:rPr>
          <w:sz w:val="20"/>
          <w:szCs w:val="20"/>
          <w:color w:val="auto"/>
        </w:rPr>
      </w:pPr>
    </w:p>
    <w:p>
      <w:pPr>
        <w:ind w:right="60" w:firstLine="317"/>
        <w:spacing w:after="0" w:line="258" w:lineRule="auto"/>
        <w:rPr>
          <w:sz w:val="20"/>
          <w:szCs w:val="20"/>
          <w:color w:val="auto"/>
        </w:rPr>
      </w:pPr>
      <w:r>
        <w:rPr>
          <w:rFonts w:ascii="Times New Roman" w:cs="Times New Roman" w:eastAsia="Times New Roman" w:hAnsi="Times New Roman"/>
          <w:sz w:val="18"/>
          <w:szCs w:val="18"/>
          <w:color w:val="auto"/>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73" w:lineRule="exact"/>
        <w:rPr>
          <w:sz w:val="20"/>
          <w:szCs w:val="20"/>
          <w:color w:val="auto"/>
        </w:rPr>
      </w:pPr>
    </w:p>
    <w:p>
      <w:pPr>
        <w:ind w:right="80" w:firstLine="317"/>
        <w:spacing w:after="0" w:line="251" w:lineRule="auto"/>
        <w:rPr>
          <w:sz w:val="20"/>
          <w:szCs w:val="20"/>
          <w:color w:val="auto"/>
        </w:rPr>
      </w:pPr>
      <w:r>
        <w:rPr>
          <w:rFonts w:ascii="Times New Roman" w:cs="Times New Roman" w:eastAsia="Times New Roman" w:hAnsi="Times New Roman"/>
          <w:sz w:val="18"/>
          <w:szCs w:val="18"/>
          <w:color w:val="auto"/>
        </w:rPr>
        <w:t>Additionally, in preclinical studies we have observed ImmTOR, in combination with IL-2 molecules, expanding T-regulatory cells beyond IL-2 alone and we intend to pursue a combination of ImmTOR and IL-2 (ImmTOR-IL) in diseases where general T cell expansion has shown a therapeutic benefit. Additionally, we have observed in preclinical studies that the combination of ImmTOR, a Treg-selective IL-2 molecule and an antigen, exhibited substantial synergistic activity in inducing and expanding antigen specific regulatory T cells when ImmTOR and IL-2 is combined with an antigen of interest. We intend to pursue and develop treatments for autoimmune diseases with well-defined antigens using either ImmTOR or ImmTOR-IL.</w:t>
      </w:r>
    </w:p>
    <w:p>
      <w:pPr>
        <w:spacing w:after="0" w:line="81" w:lineRule="exact"/>
        <w:rPr>
          <w:sz w:val="20"/>
          <w:szCs w:val="20"/>
          <w:color w:val="auto"/>
        </w:rPr>
      </w:pPr>
    </w:p>
    <w:p>
      <w:pPr>
        <w:ind w:right="40" w:firstLine="317"/>
        <w:spacing w:after="0" w:line="250" w:lineRule="auto"/>
        <w:rPr>
          <w:sz w:val="20"/>
          <w:szCs w:val="20"/>
          <w:color w:val="auto"/>
        </w:rPr>
      </w:pPr>
      <w:r>
        <w:rPr>
          <w:rFonts w:ascii="Times New Roman" w:cs="Times New Roman" w:eastAsia="Times New Roman" w:hAnsi="Times New Roman"/>
          <w:sz w:val="18"/>
          <w:szCs w:val="18"/>
          <w:color w:val="auto"/>
        </w:rPr>
        <w:t>Cyrus Biotechnology, Inc., a collaboration partner,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molecule we have observed a substantial synergistic activity in increasing the percentage and durability of Treg expansion in the spleen.</w:t>
      </w:r>
    </w:p>
    <w:p>
      <w:pPr>
        <w:spacing w:after="0" w:line="81" w:lineRule="exact"/>
        <w:rPr>
          <w:sz w:val="20"/>
          <w:szCs w:val="20"/>
          <w:color w:val="auto"/>
        </w:rPr>
      </w:pPr>
    </w:p>
    <w:p>
      <w:pPr>
        <w:ind w:right="40" w:firstLine="317"/>
        <w:spacing w:after="0" w:line="253" w:lineRule="auto"/>
        <w:rPr>
          <w:sz w:val="20"/>
          <w:szCs w:val="20"/>
          <w:color w:val="auto"/>
        </w:rPr>
      </w:pPr>
      <w:r>
        <w:rPr>
          <w:rFonts w:ascii="Times New Roman" w:cs="Times New Roman" w:eastAsia="Times New Roman" w:hAnsi="Times New Roman"/>
          <w:sz w:val="18"/>
          <w:szCs w:val="18"/>
          <w:color w:val="auto"/>
        </w:rPr>
        <w:t>Our lead autoimmune diseases indication is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Collaborations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Ginkgo Bioworks Holdings, Inc.</w:t>
      </w:r>
    </w:p>
    <w:p>
      <w:pPr>
        <w:spacing w:after="0" w:line="114" w:lineRule="exact"/>
        <w:rPr>
          <w:sz w:val="20"/>
          <w:szCs w:val="20"/>
          <w:color w:val="auto"/>
        </w:rPr>
      </w:pPr>
    </w:p>
    <w:p>
      <w:pPr>
        <w:ind w:right="300" w:firstLine="317"/>
        <w:spacing w:after="0" w:line="270" w:lineRule="auto"/>
        <w:rPr>
          <w:sz w:val="20"/>
          <w:szCs w:val="20"/>
          <w:color w:val="auto"/>
        </w:rPr>
      </w:pPr>
      <w:r>
        <w:rPr>
          <w:rFonts w:ascii="Times New Roman" w:cs="Times New Roman" w:eastAsia="Times New Roman" w:hAnsi="Times New Roman"/>
          <w:sz w:val="18"/>
          <w:szCs w:val="18"/>
          <w:color w:val="auto"/>
        </w:rPr>
        <w:t>In October 2021, we entered into a Collaboration and License Agreement, or the First Ginkgo Agreement, with Ginkgo Bioworks, Inc. Under the First Ginkgo Agreement, Ginkgo will design next generation IgA proteases with potentially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 In June 2022, we paid $0.5 million and issued 892,857 shares of our common stock valued at $1.0 million to Ginkgo for the achievement of certain preclinical milestones.</w:t>
      </w:r>
    </w:p>
    <w:p>
      <w:pPr>
        <w:spacing w:after="0" w:line="79" w:lineRule="exact"/>
        <w:rPr>
          <w:sz w:val="20"/>
          <w:szCs w:val="20"/>
          <w:color w:val="auto"/>
        </w:rPr>
      </w:pPr>
    </w:p>
    <w:p>
      <w:pPr>
        <w:ind w:right="400" w:firstLine="317"/>
        <w:spacing w:after="0" w:line="250" w:lineRule="auto"/>
        <w:rPr>
          <w:sz w:val="20"/>
          <w:szCs w:val="20"/>
          <w:color w:val="auto"/>
        </w:rPr>
      </w:pPr>
      <w:r>
        <w:rPr>
          <w:rFonts w:ascii="Times New Roman" w:cs="Times New Roman" w:eastAsia="Times New Roman" w:hAnsi="Times New Roman"/>
          <w:sz w:val="18"/>
          <w:szCs w:val="18"/>
          <w:color w:val="auto"/>
        </w:rPr>
        <w:t>In January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Genovis AB (publ.)</w:t>
      </w:r>
    </w:p>
    <w:p>
      <w:pPr>
        <w:spacing w:after="0" w:line="114"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as well as tiered royalties on worldwide sales in the low double digits.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Cyrus Biotechnology, Inc.</w:t>
      </w:r>
    </w:p>
    <w:p>
      <w:pPr>
        <w:spacing w:after="0" w:line="114" w:lineRule="exact"/>
        <w:rPr>
          <w:sz w:val="20"/>
          <w:szCs w:val="20"/>
          <w:color w:val="auto"/>
        </w:rPr>
      </w:pPr>
    </w:p>
    <w:p>
      <w:pPr>
        <w:ind w:right="20" w:firstLine="317"/>
        <w:spacing w:after="0" w:line="269" w:lineRule="auto"/>
        <w:rPr>
          <w:sz w:val="20"/>
          <w:szCs w:val="20"/>
          <w:color w:val="auto"/>
        </w:rPr>
      </w:pPr>
      <w:r>
        <w:rPr>
          <w:rFonts w:ascii="Times New Roman" w:cs="Times New Roman" w:eastAsia="Times New Roman" w:hAnsi="Times New Roman"/>
          <w:sz w:val="17"/>
          <w:szCs w:val="17"/>
          <w:color w:val="auto"/>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June 2022, we mutually agreed with Cyrus that the preclinical key in-vitro success milestone had been achieved.</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IGAN Biosciences, Inc.</w:t>
      </w:r>
    </w:p>
    <w:p>
      <w:pPr>
        <w:spacing w:after="0" w:line="114" w:lineRule="exact"/>
        <w:rPr>
          <w:sz w:val="20"/>
          <w:szCs w:val="20"/>
          <w:color w:val="auto"/>
        </w:rPr>
      </w:pPr>
    </w:p>
    <w:p>
      <w:pPr>
        <w:ind w:right="320" w:firstLine="317"/>
        <w:spacing w:after="0" w:line="273" w:lineRule="auto"/>
        <w:rPr>
          <w:sz w:val="20"/>
          <w:szCs w:val="20"/>
          <w:color w:val="auto"/>
        </w:rPr>
      </w:pPr>
      <w:r>
        <w:rPr>
          <w:rFonts w:ascii="Times New Roman" w:cs="Times New Roman" w:eastAsia="Times New Roman" w:hAnsi="Times New Roman"/>
          <w:sz w:val="17"/>
          <w:szCs w:val="17"/>
          <w:color w:val="auto"/>
        </w:rPr>
        <w:t>In October 2020, we entered into an Option and License Agreement, or the IGAN Agreement, with IGAN Biosciences, Inc., or IGAN. Pursuant to the IGAN Agreement, IGAN granted us an exclusive license to research, evaluate, and conduct preclinical development activities on IGAN’s proprietary IgA proteases. We had an initial option term of 24 months during which we can elect to obtain an exclusive license to further develop and commercialize the product to treat all IgA-mediated diseases, including IgA nephropathy, Linear IgA bullous dermatitis, IgA pemphigus, and Henoch-Schonlein purpura.</w:t>
      </w:r>
    </w:p>
    <w:p>
      <w:pPr>
        <w:spacing w:after="0" w:line="62"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Upon execution of the IGAN Agreement, we paid IGAN a one-time upfront payment of $0.5 million and we would owe additional payments to IGAN if we were to opt-in to an exclusive license agreement, as well as upon the achievement of certain development and sales milestones. During the option term, we may terminate the IGAN Agreement immediately for any reason upon written notice to IGAN. If we opt-in to an exclusive license agreement, we may terminate the IGAN Agreement upon 120 days’ written notice.</w:t>
      </w:r>
    </w:p>
    <w:p>
      <w:pPr>
        <w:spacing w:after="0" w:line="79" w:lineRule="exact"/>
        <w:rPr>
          <w:sz w:val="20"/>
          <w:szCs w:val="20"/>
          <w:color w:val="auto"/>
        </w:rPr>
      </w:pPr>
    </w:p>
    <w:p>
      <w:pPr>
        <w:ind w:right="100" w:firstLine="317"/>
        <w:spacing w:after="0" w:line="270" w:lineRule="auto"/>
        <w:rPr>
          <w:sz w:val="20"/>
          <w:szCs w:val="20"/>
          <w:color w:val="auto"/>
        </w:rPr>
      </w:pPr>
      <w:r>
        <w:rPr>
          <w:rFonts w:ascii="Times New Roman" w:cs="Times New Roman" w:eastAsia="Times New Roman" w:hAnsi="Times New Roman"/>
          <w:sz w:val="18"/>
          <w:szCs w:val="18"/>
          <w:color w:val="auto"/>
        </w:rPr>
        <w:t>On May 25, 2022, we entered into Amendment No. 1 to the Option and License Agreement, or the First IGAN Amendment, with IGAN. The First IGAN Amendment provided an extension to the option term of 24 months from the date of the First IGAN Amendment.</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Pharmaceuticals USA, Inc.</w:t>
      </w:r>
    </w:p>
    <w:p>
      <w:pPr>
        <w:spacing w:after="0" w:line="114"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Takeda, or the Takeda Agreement.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Swedish Orphan Biovitrum AB (publ.)</w:t>
      </w:r>
    </w:p>
    <w:p>
      <w:pPr>
        <w:spacing w:after="0" w:line="114" w:lineRule="exact"/>
        <w:rPr>
          <w:sz w:val="20"/>
          <w:szCs w:val="20"/>
          <w:color w:val="auto"/>
        </w:rPr>
      </w:pPr>
    </w:p>
    <w:p>
      <w:pPr>
        <w:ind w:right="180" w:firstLine="317"/>
        <w:spacing w:after="0" w:line="270" w:lineRule="auto"/>
        <w:rPr>
          <w:sz w:val="20"/>
          <w:szCs w:val="20"/>
          <w:color w:val="auto"/>
        </w:rPr>
      </w:pPr>
      <w:r>
        <w:rPr>
          <w:rFonts w:ascii="Times New Roman" w:cs="Times New Roman" w:eastAsia="Times New Roman" w:hAnsi="Times New Roman"/>
          <w:sz w:val="18"/>
          <w:szCs w:val="18"/>
          <w:color w:val="auto"/>
        </w:rPr>
        <w:t>In June 2020, we announced that we had entered into the Sobi License, pursuant to which we agreed to grant Sobi an exclusive, worldwide (except as to Greater China) license to develop, manufacture and commercialize SEL-212, which is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79" w:lineRule="exact"/>
        <w:rPr>
          <w:sz w:val="20"/>
          <w:szCs w:val="20"/>
          <w:color w:val="auto"/>
        </w:rPr>
      </w:pPr>
    </w:p>
    <w:p>
      <w:pPr>
        <w:ind w:right="20" w:firstLine="317"/>
        <w:spacing w:after="0" w:line="270" w:lineRule="auto"/>
        <w:rPr>
          <w:sz w:val="20"/>
          <w:szCs w:val="20"/>
          <w:color w:val="auto"/>
        </w:rPr>
      </w:pPr>
      <w:r>
        <w:rPr>
          <w:rFonts w:ascii="Times New Roman" w:cs="Times New Roman" w:eastAsia="Times New Roman" w:hAnsi="Times New Roman"/>
          <w:sz w:val="18"/>
          <w:szCs w:val="18"/>
          <w:color w:val="auto"/>
        </w:rPr>
        <w:t>Additionally, Sobi purchased an aggregate of 5,416,390 shares of our common stock at a purchase price of $4.6156 per share for aggregate gross proceeds of $25 million, which we refer to as the Sobi Private Placement.</w:t>
      </w:r>
    </w:p>
    <w:p>
      <w:pPr>
        <w:spacing w:after="0" w:line="63" w:lineRule="exact"/>
        <w:rPr>
          <w:sz w:val="20"/>
          <w:szCs w:val="20"/>
          <w:color w:val="auto"/>
        </w:rPr>
      </w:pPr>
    </w:p>
    <w:p>
      <w:pPr>
        <w:ind w:right="280" w:firstLine="317"/>
        <w:spacing w:after="0" w:line="270" w:lineRule="auto"/>
        <w:rPr>
          <w:sz w:val="20"/>
          <w:szCs w:val="20"/>
          <w:color w:val="auto"/>
        </w:rPr>
      </w:pPr>
      <w:r>
        <w:rPr>
          <w:rFonts w:ascii="Times New Roman" w:cs="Times New Roman" w:eastAsia="Times New Roman" w:hAnsi="Times New Roman"/>
          <w:sz w:val="18"/>
          <w:szCs w:val="18"/>
          <w:color w:val="auto"/>
        </w:rPr>
        <w:t>Under the Sobi License, we will have operational oversight of the Phase 3 DISSOLVE clinical program of SEL-212 (DISSOLVE I and DISSOLVE II) that commenced in September 2020, at Sobi’s expense.</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July 2022, we received a payment of $10.0 million for the completion of enrollment of the DISSOLVE II trial.</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Sarepta Therapeutics, Inc.</w:t>
      </w:r>
    </w:p>
    <w:p>
      <w:pPr>
        <w:spacing w:after="0" w:line="101" w:lineRule="exact"/>
        <w:rPr>
          <w:sz w:val="20"/>
          <w:szCs w:val="20"/>
          <w:color w:val="auto"/>
        </w:rPr>
      </w:pPr>
    </w:p>
    <w:p>
      <w:pPr>
        <w:ind w:right="180" w:firstLine="317"/>
        <w:spacing w:after="0" w:line="232" w:lineRule="auto"/>
        <w:rPr>
          <w:sz w:val="20"/>
          <w:szCs w:val="20"/>
          <w:color w:val="auto"/>
        </w:rPr>
      </w:pPr>
      <w:r>
        <w:rPr>
          <w:rFonts w:ascii="Times New Roman" w:cs="Times New Roman" w:eastAsia="Times New Roman" w:hAnsi="Times New Roman"/>
          <w:sz w:val="18"/>
          <w:szCs w:val="18"/>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and we would be entitled to significant development and commercial milestone payments and tiered royalties ranging from the mid-to-high single digits based on net sales.</w:t>
      </w:r>
    </w:p>
    <w:p>
      <w:pPr>
        <w:spacing w:after="0" w:line="91"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8"/>
          <w:szCs w:val="18"/>
          <w:color w:val="auto"/>
        </w:rPr>
        <w:t>In June 2021, we received a payment of $3.0 million for the achievement of certain preclinical milestones. In August 2022, we received a payment of $2.0 million in exchange for a nine-month extension to Sarepta’s options to both Duchenne muscular dystrophy and certain limb-girdle muscular dystrophies and a payment of $4.0 million for the achievement of certain non-clinical milestones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Asklepios Biopharmaceutical, Inc.</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2" w:lineRule="exact"/>
        <w:rPr>
          <w:sz w:val="20"/>
          <w:szCs w:val="20"/>
          <w:color w:val="auto"/>
        </w:rPr>
      </w:pPr>
    </w:p>
    <w:p>
      <w:pPr>
        <w:ind w:right="40" w:firstLine="317"/>
        <w:spacing w:after="0" w:line="251" w:lineRule="auto"/>
        <w:rPr>
          <w:sz w:val="20"/>
          <w:szCs w:val="20"/>
          <w:color w:val="auto"/>
        </w:rPr>
      </w:pPr>
      <w:r>
        <w:rPr>
          <w:rFonts w:ascii="Times New Roman" w:cs="Times New Roman" w:eastAsia="Times New Roman" w:hAnsi="Times New Roman"/>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AskBio Collaboration Agreement otherwise remains in effect.</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2" w:lineRule="exact"/>
        <w:rPr>
          <w:sz w:val="20"/>
          <w:szCs w:val="20"/>
          <w:color w:val="auto"/>
        </w:rPr>
      </w:pPr>
    </w:p>
    <w:p>
      <w:pPr>
        <w:ind w:right="60" w:firstLine="317"/>
        <w:spacing w:after="0" w:line="250" w:lineRule="auto"/>
        <w:rPr>
          <w:sz w:val="20"/>
          <w:szCs w:val="20"/>
          <w:color w:val="auto"/>
        </w:rPr>
      </w:pPr>
      <w:r>
        <w:rPr>
          <w:rFonts w:ascii="Times New Roman" w:cs="Times New Roman" w:eastAsia="Times New Roman" w:hAnsi="Times New Roman"/>
          <w:sz w:val="18"/>
          <w:szCs w:val="18"/>
          <w:color w:val="auto"/>
        </w:rPr>
        <w:t>In December 2019, we entered into the AskBio License Agreement which provides AskBio with exclusive worldwide rights to our ImmTOR platform to research, develop and commercialize certain AAV-gene therapy products targeting the GAA gene, or derivatives thereof, to treat Pompe Disease. Pursuant to the AskBio License Agreement, AskBio paid us upfront fees of an aggregate of $7.0 million. Also pursuant to the AskBio License Agreement, AskBio agreed to make additional payments to us based on the achievement of certain development and commercial milestones of up to an aggregate of $237.0 million. AskBio will also be obligated to make tiered royalty payments to us at percentages in the mid-to-high single digits based on achievement of certain sales milestones.</w:t>
      </w:r>
    </w:p>
    <w:p>
      <w:pPr>
        <w:spacing w:after="0" w:line="81" w:lineRule="exact"/>
        <w:rPr>
          <w:sz w:val="20"/>
          <w:szCs w:val="20"/>
          <w:color w:val="auto"/>
        </w:rPr>
      </w:pPr>
    </w:p>
    <w:p>
      <w:pPr>
        <w:ind w:right="20" w:firstLine="317"/>
        <w:spacing w:after="0" w:line="273" w:lineRule="auto"/>
        <w:rPr>
          <w:sz w:val="20"/>
          <w:szCs w:val="20"/>
          <w:color w:val="auto"/>
        </w:rPr>
      </w:pPr>
      <w:r>
        <w:rPr>
          <w:rFonts w:ascii="Times New Roman" w:cs="Times New Roman" w:eastAsia="Times New Roman" w:hAnsi="Times New Roman"/>
          <w:sz w:val="17"/>
          <w:szCs w:val="17"/>
          <w:color w:val="auto"/>
        </w:rPr>
        <w:t>We will supply AskBio with our ImmTOR platform and AskBio will be responsible for all preclinical, clinical and commercial manufacture and supply of products licensed under the AskBio License Agreement (other than ImmTOR) and carry out all other activities related to the research, development, and commercialization of such products at its sole expense, including all regulatory activities related thereto. The AskBio License Agreement contains other customary terms and conditions, including representations and warranties, covenants, termination, and indemnification obligations in favor of each party.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14"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We are closely monitoring how the COVID-19 pandemic is affecting our employees, business, supply chain, preclinical studies and clinical trials. In response to the spread of COVID-19, we have continued to have our administrative employees work outside of our offices to limit the total number of staff in our offices. We began encouraging more onsite employee presence in April 2022. Disruptions caused by the COVID-19 pandemic may result in difficulties or delays in initiating,</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enrolling, conducting or completing our planned and ongoing clinical trials, and the incurrence of unforeseen costs as a result of supply chain, preclinical study or clinical trial delays.</w:t>
      </w:r>
    </w:p>
    <w:p>
      <w:pPr>
        <w:spacing w:after="0" w:line="63"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While the COVID-19 pandemic has not had a material impact on our clinical programs as of the date of this Quarterly Report, it could have an impact on our ability to complete the Phase 3 DISSOLVE clinical program of SEL-212, as the pandemic presents the potential inability of certain patients to complete the trial due to suffering from COVID-19,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81"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At this time, any impact of COVID-19 on our business, revenues, results of operations and financial condition will largely depend on future developments, which are highly uncertain and cannot be predicted with confidence, such as, for COVID-19,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Ukraine</w:t>
      </w:r>
    </w:p>
    <w:p>
      <w:pPr>
        <w:spacing w:after="0" w:line="114" w:lineRule="exact"/>
        <w:rPr>
          <w:sz w:val="20"/>
          <w:szCs w:val="20"/>
          <w:color w:val="auto"/>
        </w:rPr>
      </w:pPr>
    </w:p>
    <w:p>
      <w:pPr>
        <w:ind w:right="140" w:firstLine="317"/>
        <w:spacing w:after="0" w:line="269" w:lineRule="auto"/>
        <w:rPr>
          <w:sz w:val="20"/>
          <w:szCs w:val="20"/>
          <w:color w:val="auto"/>
        </w:rPr>
      </w:pPr>
      <w:r>
        <w:rPr>
          <w:rFonts w:ascii="Times New Roman" w:cs="Times New Roman" w:eastAsia="Times New Roman" w:hAnsi="Times New Roman"/>
          <w:sz w:val="17"/>
          <w:szCs w:val="17"/>
          <w:color w:val="auto"/>
        </w:rPr>
        <w:t>We are also closely monitoring the ongoing and rapidly evolving geopolitical situation in Ukraine and Russia, and we have proactively undertaken mitigation steps to prioritize the safety of our patients and investigators, as well as address any potential disruptions. We have reserved existing clinical trial supplies in these countries for those already enrolled in the DISSOLVE II trial. In agreement with our study partner, Sobi, we have increased enrollment in DISSOLVE II to 153 subjects to replace subjects enrolled in Russia and Ukraine who may be lost due to operational or other issues arising from instability in the region. As of the filing of this Quarterly Report, we expect to complete the DISSOLVE II trial and report topline results in the first quarter of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12" w:lineRule="exact"/>
        <w:rPr>
          <w:sz w:val="20"/>
          <w:szCs w:val="20"/>
          <w:color w:val="auto"/>
        </w:rPr>
      </w:pPr>
    </w:p>
    <w:p>
      <w:pPr>
        <w:jc w:val="both"/>
        <w:ind w:right="20" w:firstLine="317"/>
        <w:spacing w:after="0" w:line="300"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40"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incurred a net income of $29.5 million and net loss of $37.9 million for the nine months ended September 30, 2022 and 2021, respectively. As of September 30, 2022, we had an accumulated deficit of $400.8 million. We expect to continue to incur significant expenses and operating losses for at least the next several years as we:</w:t>
      </w:r>
    </w:p>
    <w:p>
      <w:pPr>
        <w:spacing w:after="0" w:line="73" w:lineRule="exact"/>
        <w:rPr>
          <w:sz w:val="20"/>
          <w:szCs w:val="20"/>
          <w:color w:val="auto"/>
        </w:rPr>
      </w:pPr>
    </w:p>
    <w:p>
      <w:pPr>
        <w:ind w:left="640" w:right="700" w:hanging="317"/>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 as well as product candidates that we may be developing jointly with collaboration partners;</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ImmTOR platform and discover and develop additional product candidates;</w:t>
      </w:r>
    </w:p>
    <w:p>
      <w:pPr>
        <w:spacing w:after="0" w:line="110" w:lineRule="exact"/>
        <w:rPr>
          <w:rFonts w:ascii="Times New Roman" w:cs="Times New Roman" w:eastAsia="Times New Roman" w:hAnsi="Times New Roman"/>
          <w:sz w:val="18"/>
          <w:szCs w:val="18"/>
          <w:color w:val="auto"/>
        </w:rPr>
      </w:pPr>
    </w:p>
    <w:p>
      <w:pPr>
        <w:ind w:left="640" w:right="320" w:hanging="317"/>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enter into collaboration, licensing and other agreements, including, but not limited to research and development, and/or commercialization agreements;</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0" w:lineRule="exact"/>
        <w:rPr>
          <w:rFonts w:ascii="Times New Roman" w:cs="Times New Roman" w:eastAsia="Times New Roman" w:hAnsi="Times New Roman"/>
          <w:sz w:val="18"/>
          <w:szCs w:val="18"/>
          <w:color w:val="auto"/>
        </w:rPr>
      </w:pPr>
    </w:p>
    <w:p>
      <w:pPr>
        <w:ind w:left="640" w:right="640" w:hanging="317"/>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 and</w:t>
      </w:r>
    </w:p>
    <w:p>
      <w:pPr>
        <w:spacing w:after="0" w:line="110" w:lineRule="exact"/>
        <w:rPr>
          <w:rFonts w:ascii="Times New Roman" w:cs="Times New Roman" w:eastAsia="Times New Roman" w:hAnsi="Times New Roman"/>
          <w:sz w:val="18"/>
          <w:szCs w:val="18"/>
          <w:color w:val="auto"/>
        </w:rPr>
      </w:pPr>
    </w:p>
    <w:p>
      <w:pPr>
        <w:ind w:left="640" w:right="620" w:hanging="317"/>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63" w:lineRule="exact"/>
        <w:rPr>
          <w:sz w:val="20"/>
          <w:szCs w:val="20"/>
          <w:color w:val="auto"/>
        </w:rPr>
      </w:pPr>
    </w:p>
    <w:p>
      <w:pPr>
        <w:ind w:right="20" w:firstLine="317"/>
        <w:spacing w:after="0" w:line="253"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right="160" w:firstLine="317"/>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September 30, 2022, combined with the receivable of $6.9 million from Sobi, will enable us to fund our operating expenses and capital expenditure requirements into mid-2024. We have based this estimate on assumptions that may prove to be wrong, and we could use our capital resources sooner than we currently expect.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80" w:firstLine="317"/>
        <w:spacing w:after="0" w:line="258"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12" w:lineRule="exact"/>
        <w:rPr>
          <w:sz w:val="20"/>
          <w:szCs w:val="20"/>
          <w:color w:val="auto"/>
        </w:rPr>
      </w:pPr>
    </w:p>
    <w:p>
      <w:pPr>
        <w:ind w:firstLine="317"/>
        <w:spacing w:after="0" w:line="266"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license revenue, see Notes 12 and 14 to our consolidated financial statements included elsewhere in this Quarterly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2" w:lineRule="exact"/>
        <w:rPr>
          <w:sz w:val="20"/>
          <w:szCs w:val="20"/>
          <w:color w:val="auto"/>
        </w:rPr>
      </w:pPr>
    </w:p>
    <w:p>
      <w:pPr>
        <w:ind w:right="20" w:firstLine="317"/>
        <w:spacing w:after="0" w:line="253"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79" w:lineRule="exact"/>
        <w:rPr>
          <w:sz w:val="20"/>
          <w:szCs w:val="20"/>
          <w:color w:val="auto"/>
        </w:rPr>
      </w:pPr>
    </w:p>
    <w:p>
      <w:pPr>
        <w:ind w:right="420" w:firstLine="317"/>
        <w:spacing w:after="0" w:line="258" w:lineRule="auto"/>
        <w:rPr>
          <w:sz w:val="20"/>
          <w:szCs w:val="20"/>
          <w:color w:val="auto"/>
        </w:rPr>
      </w:pPr>
      <w:r>
        <w:rPr>
          <w:rFonts w:ascii="Times New Roman" w:cs="Times New Roman" w:eastAsia="Times New Roman" w:hAnsi="Times New Roman"/>
          <w:sz w:val="18"/>
          <w:szCs w:val="18"/>
          <w:color w:val="auto"/>
        </w:rPr>
        <w:t>We have incurred a total of $417.4 million in research and development expenses from inception through September 30, 2022, with a majority of the expenses being spent on the development of SEL-212 and the remainder being spent on our various discovery and preclinical stage product candidate programs and the general expansion of our technology platform.</w:t>
      </w:r>
    </w:p>
    <w:p>
      <w:pPr>
        <w:spacing w:after="0" w:line="73" w:lineRule="exact"/>
        <w:rPr>
          <w:sz w:val="20"/>
          <w:szCs w:val="20"/>
          <w:color w:val="auto"/>
        </w:rPr>
      </w:pPr>
    </w:p>
    <w:p>
      <w:pPr>
        <w:ind w:right="120" w:firstLine="317"/>
        <w:spacing w:after="0" w:line="249"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83" w:lineRule="exact"/>
        <w:rPr>
          <w:sz w:val="20"/>
          <w:szCs w:val="20"/>
          <w:color w:val="auto"/>
        </w:rPr>
      </w:pPr>
    </w:p>
    <w:p>
      <w:pPr>
        <w:ind w:right="40" w:firstLine="317"/>
        <w:spacing w:after="0" w:line="251" w:lineRule="auto"/>
        <w:rPr>
          <w:sz w:val="20"/>
          <w:szCs w:val="20"/>
          <w:color w:val="auto"/>
        </w:rPr>
      </w:pPr>
      <w:r>
        <w:rPr>
          <w:rFonts w:ascii="Times New Roman" w:cs="Times New Roman" w:eastAsia="Times New Roman" w:hAnsi="Times New Roman"/>
          <w:sz w:val="18"/>
          <w:szCs w:val="18"/>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81" w:lineRule="exact"/>
        <w:rPr>
          <w:sz w:val="20"/>
          <w:szCs w:val="20"/>
          <w:color w:val="auto"/>
        </w:rPr>
      </w:pPr>
    </w:p>
    <w:p>
      <w:pPr>
        <w:ind w:right="20" w:firstLine="317"/>
        <w:spacing w:after="0" w:line="247"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September 30, 2022, combined with the receivable of $6.9 million from Sobi,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2" w:lineRule="exact"/>
        <w:rPr>
          <w:sz w:val="20"/>
          <w:szCs w:val="20"/>
          <w:color w:val="auto"/>
        </w:rPr>
      </w:pPr>
    </w:p>
    <w:p>
      <w:pPr>
        <w:ind w:right="260" w:firstLine="317"/>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was de minimis during the three and nine months ended September 30, 2022 and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12" w:lineRule="exact"/>
        <w:rPr>
          <w:sz w:val="20"/>
          <w:szCs w:val="20"/>
          <w:color w:val="auto"/>
        </w:rPr>
      </w:pPr>
    </w:p>
    <w:p>
      <w:pPr>
        <w:ind w:right="140" w:firstLine="317"/>
        <w:spacing w:after="0" w:line="270" w:lineRule="auto"/>
        <w:rPr>
          <w:sz w:val="20"/>
          <w:szCs w:val="20"/>
          <w:color w:val="auto"/>
        </w:rPr>
      </w:pPr>
      <w:r>
        <w:rPr>
          <w:rFonts w:ascii="Times New Roman" w:cs="Times New Roman" w:eastAsia="Times New Roman" w:hAnsi="Times New Roman"/>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12" w:lineRule="exact"/>
        <w:rPr>
          <w:sz w:val="20"/>
          <w:szCs w:val="20"/>
          <w:color w:val="auto"/>
        </w:rPr>
      </w:pPr>
    </w:p>
    <w:p>
      <w:pPr>
        <w:ind w:right="100" w:firstLine="317"/>
        <w:spacing w:after="0" w:line="251"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September 30, 2022 and December 31, 2021, we maintained cash of $0.2 million and $0.3 million, respectively,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12" w:lineRule="exact"/>
        <w:rPr>
          <w:sz w:val="20"/>
          <w:szCs w:val="20"/>
          <w:color w:val="auto"/>
        </w:rPr>
      </w:pPr>
    </w:p>
    <w:p>
      <w:pPr>
        <w:ind w:right="540" w:firstLine="317"/>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collaboration and license revenue for the three months ended September 30, 2022 and 2021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62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(3,717)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317"/>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collaboration revenue was $20.7 million, compared to $24.4 million in 2021. During the three months ended September 30, 2022 and 2021, we recognized $20.7 million and $24.3 million, respectively, under the license agreement with Sobi resulting from the shipment of clinical supply and the reimbursement of costs incurred for the Phase 3 DISSOLVE clinical program.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2" w:lineRule="exact"/>
        <w:rPr>
          <w:sz w:val="20"/>
          <w:szCs w:val="20"/>
          <w:color w:val="auto"/>
        </w:rPr>
      </w:pPr>
    </w:p>
    <w:p>
      <w:pPr>
        <w:ind w:right="380" w:firstLine="317"/>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September 30, 2022 and 2021 (in thousands, except percentages):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SEL-212</w:t>
            </w: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AskBio Empty Capsid collaboration (SEL-399)</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 stage product candidate programs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prior period expenses have been reclassified to conform to current year presentation.</w:t>
      </w:r>
    </w:p>
    <w:p>
      <w:pPr>
        <w:spacing w:after="0" w:line="110" w:lineRule="exact"/>
        <w:rPr>
          <w:sz w:val="20"/>
          <w:szCs w:val="20"/>
          <w:color w:val="auto"/>
        </w:rPr>
      </w:pPr>
    </w:p>
    <w:p>
      <w:pPr>
        <w:ind w:right="20" w:firstLine="317"/>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w:t>
      </w:r>
      <w:r>
        <w:rPr>
          <w:rFonts w:ascii="Times New Roman" w:cs="Times New Roman" w:eastAsia="Times New Roman" w:hAnsi="Times New Roman"/>
          <w:sz w:val="18"/>
          <w:szCs w:val="18"/>
          <w:color w:val="2C2C2C"/>
        </w:rPr>
        <w:t>, our research and development expenses decreased by $4.4 million, or 21%, as com</w:t>
      </w:r>
      <w:r>
        <w:rPr>
          <w:rFonts w:ascii="Times New Roman" w:cs="Times New Roman" w:eastAsia="Times New Roman" w:hAnsi="Times New Roman"/>
          <w:sz w:val="18"/>
          <w:szCs w:val="18"/>
          <w:color w:val="auto"/>
        </w:rPr>
        <w:t>pared to 2021. The decrease in cost was primarily the result of a decrease in expenses incurred for the SEL-212 clinical program, preclinical programs, and the AskBio collaboration.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2" w:lineRule="exact"/>
        <w:rPr>
          <w:sz w:val="20"/>
          <w:szCs w:val="20"/>
          <w:color w:val="auto"/>
        </w:rPr>
      </w:pPr>
    </w:p>
    <w:p>
      <w:pPr>
        <w:ind w:right="360" w:firstLine="317"/>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three months ended September 30, 2022 and 2021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58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325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00" w:firstLine="317"/>
        <w:spacing w:after="0" w:line="270" w:lineRule="auto"/>
        <w:rPr>
          <w:sz w:val="20"/>
          <w:szCs w:val="20"/>
          <w:color w:val="auto"/>
        </w:rPr>
      </w:pPr>
      <w:r>
        <w:rPr>
          <w:rFonts w:ascii="Times New Roman" w:cs="Times New Roman" w:eastAsia="Times New Roman" w:hAnsi="Times New Roman"/>
          <w:sz w:val="18"/>
          <w:szCs w:val="18"/>
          <w:color w:val="auto"/>
        </w:rPr>
        <w:t>During the three months ended September 30, 2022, our general and administrative expenses increased by $0.3 million, or 6%, as compared to 2021. The increase in costs was primarily the result of expenses incurred for stock compensation and personnel expenses.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12" w:lineRule="exact"/>
        <w:rPr>
          <w:sz w:val="20"/>
          <w:szCs w:val="20"/>
          <w:color w:val="auto"/>
        </w:rPr>
      </w:pPr>
    </w:p>
    <w:p>
      <w:pPr>
        <w:ind w:right="320" w:firstLine="317"/>
        <w:spacing w:after="0" w:line="270" w:lineRule="auto"/>
        <w:rPr>
          <w:sz w:val="20"/>
          <w:szCs w:val="20"/>
          <w:color w:val="auto"/>
        </w:rPr>
      </w:pPr>
      <w:r>
        <w:rPr>
          <w:rFonts w:ascii="Times New Roman" w:cs="Times New Roman" w:eastAsia="Times New Roman" w:hAnsi="Times New Roman"/>
          <w:sz w:val="18"/>
          <w:szCs w:val="18"/>
          <w:color w:val="auto"/>
        </w:rPr>
        <w:t>Investment income was $0.7 million and less than $0.1 million for the three months ended September 30, 2022 and 2021, respectively. The increase in investment income was due to increased investment and higher interest rates.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recognized less than $0.1 million foreign currency losses during each of the three months ended September 30, 2022 and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2" w:lineRule="exact"/>
        <w:rPr>
          <w:sz w:val="20"/>
          <w:szCs w:val="20"/>
          <w:color w:val="auto"/>
        </w:rPr>
      </w:pPr>
    </w:p>
    <w:p>
      <w:pPr>
        <w:ind w:right="200" w:firstLine="317"/>
        <w:spacing w:after="0" w:line="270" w:lineRule="auto"/>
        <w:rPr>
          <w:sz w:val="20"/>
          <w:szCs w:val="20"/>
          <w:color w:val="auto"/>
        </w:rPr>
      </w:pPr>
      <w:r>
        <w:rPr>
          <w:rFonts w:ascii="Times New Roman" w:cs="Times New Roman" w:eastAsia="Times New Roman" w:hAnsi="Times New Roman"/>
          <w:sz w:val="18"/>
          <w:szCs w:val="18"/>
          <w:color w:val="auto"/>
        </w:rPr>
        <w:t>Interest expense was $0.8 million and $0.7 million for the three months ended September 30, 2022 and 2021, respectively, representing interest expense and amortization of the carrying costs of our credit facilities.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12" w:lineRule="exact"/>
        <w:rPr>
          <w:sz w:val="20"/>
          <w:szCs w:val="20"/>
          <w:color w:val="auto"/>
        </w:rPr>
      </w:pPr>
    </w:p>
    <w:p>
      <w:pPr>
        <w:ind w:right="100" w:firstLine="317"/>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2022, we recognized a $6.5 million charge from the increase in the fair value of warrant liabilities utilizing the Black-Scholes valuation methodology. The increase in value was primarily driven by an increase in the Company’s share price and the discount rate. For the three months ended September 30, 2021, we recognized $0.6 million of income from the decrease in the fair value of warrant liabilities primarily driven by a decrease in the Company’s share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was de minimis for each of the three months ended September 30, 2022 and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9" w:lineRule="exact"/>
        <w:rPr>
          <w:sz w:val="20"/>
          <w:szCs w:val="20"/>
          <w:color w:val="auto"/>
        </w:rPr>
      </w:pPr>
    </w:p>
    <w:p>
      <w:pPr>
        <w:ind w:firstLine="317"/>
        <w:spacing w:after="0" w:line="231" w:lineRule="auto"/>
        <w:rPr>
          <w:sz w:val="20"/>
          <w:szCs w:val="20"/>
          <w:color w:val="auto"/>
        </w:rPr>
      </w:pPr>
      <w:r>
        <w:rPr>
          <w:rFonts w:ascii="Times New Roman" w:cs="Times New Roman" w:eastAsia="Times New Roman" w:hAnsi="Times New Roman"/>
          <w:sz w:val="18"/>
          <w:szCs w:val="18"/>
          <w:color w:val="auto"/>
        </w:rPr>
        <w:t>For the three months ended September 30, 2022, we recognized $0.3 million in income tax benefit primarily related to the abatement of penalties and interest. For the three months ended September 30, 2021, we recognized $15.8 million of expense for the income taxes primarily related to the license agreement with Sobi upon the Company’s election to opt out of the installment sale method of taxation. For income tax purposes, the transfer of trademark and product rights is treated as a sale and the net proceeds from the sale are taxed under the default installment method as cash is received by the Company. During the three and nine-month periods ended September 30,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tax return. In the elect out method, the Company was initially taxed based upon the estimated fair value of all present and future proceeds from the sale and the Company utilized all of its available net operating losses and income tax credits, which served to reduce the federal and state tax liability. As the Company recognizes future revenue under the Sobi license for US GAAP purposes, the Company will exclude revenue up to the originally estimated fair value that was previously taxed from taxable income. We previously disclosed that the Company had prepaid all taxes related to future Sobi License revenue streams as a result of the Company’s election to opt out of the installment sale method on our 2020 tax return. However, based on our updated analysis, we will be obligated to pay taxes related to any future Sobi License revenue received above the then estimated fair value of all present and future proceeds from the sale of SEL-212 when received, but such amounts will not be subject to interest and penalties.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loss for the three months ended September 30, 2022 was $7.9 million compared to $17.9 million for the three months ended September 30,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12" w:lineRule="exact"/>
        <w:rPr>
          <w:sz w:val="20"/>
          <w:szCs w:val="20"/>
          <w:color w:val="auto"/>
        </w:rPr>
      </w:pPr>
    </w:p>
    <w:p>
      <w:pPr>
        <w:ind w:right="660" w:firstLine="254"/>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collaboration and license revenue for the nine months ended September 30, 2022 and 2021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c>
          <w:tcPr>
            <w:tcW w:w="164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revenue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rPr>
              <w:t>38,842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0" w:firstLine="317"/>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recognized $73.6 million and $54.8 million under the license agreement with Sobi resulting from the shipment of clinical supply and the reimbursement of costs incurred for the Phase 3 DISSOLVE clinical program, all of which began in July 2020. Additionally, during the nine months ended September 30, 2022, $10.2 million was recognized under the Sarepta Agreement, $9.2 million was recognized upon the mutual termination of the Spark License Agreement, and $1.0 million was recognized under the Takeda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2" w:lineRule="exact"/>
        <w:rPr>
          <w:sz w:val="20"/>
          <w:szCs w:val="20"/>
          <w:color w:val="auto"/>
        </w:rPr>
      </w:pPr>
    </w:p>
    <w:p>
      <w:pPr>
        <w:ind w:right="440" w:firstLine="317"/>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nine months ended September 30, 2022 and 2021 (in thousands, except percentages):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4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SEL-212</w:t>
            </w: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AskBio Empty Capsid collaboration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 stage product candidate programs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20,771</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53,410</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prior period expenses have been reclassified to conform to current year presentation.</w:t>
      </w:r>
    </w:p>
    <w:p>
      <w:pPr>
        <w:spacing w:after="0" w:line="110" w:lineRule="exact"/>
        <w:rPr>
          <w:sz w:val="20"/>
          <w:szCs w:val="20"/>
          <w:color w:val="auto"/>
        </w:rPr>
      </w:pPr>
    </w:p>
    <w:p>
      <w:pPr>
        <w:ind w:right="80" w:firstLine="317"/>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w:t>
      </w:r>
      <w:r>
        <w:rPr>
          <w:rFonts w:ascii="Times New Roman" w:cs="Times New Roman" w:eastAsia="Times New Roman" w:hAnsi="Times New Roman"/>
          <w:sz w:val="18"/>
          <w:szCs w:val="18"/>
          <w:color w:val="2C2C2C"/>
        </w:rPr>
        <w:t>, our research and development expenses increased by $5.0 million, or 10%, as com</w:t>
      </w:r>
      <w:r>
        <w:rPr>
          <w:rFonts w:ascii="Times New Roman" w:cs="Times New Roman" w:eastAsia="Times New Roman" w:hAnsi="Times New Roman"/>
          <w:sz w:val="18"/>
          <w:szCs w:val="18"/>
          <w:color w:val="auto"/>
        </w:rPr>
        <w:t>pared to 2021. The increase in cost was primarily the result of expenses incurred for the preclinical programs, contract license and milestone payments, increased personnel expenses, and stock compensation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2"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nine months ended September 30, 2022 and 2021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1600" w:type="dxa"/>
            <w:vAlign w:val="bottom"/>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rPr>
              <w:t>2,141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firstLine="317"/>
        <w:spacing w:after="0" w:line="270" w:lineRule="auto"/>
        <w:rPr>
          <w:sz w:val="20"/>
          <w:szCs w:val="20"/>
          <w:color w:val="auto"/>
        </w:rPr>
      </w:pPr>
      <w:r>
        <w:rPr>
          <w:rFonts w:ascii="Times New Roman" w:cs="Times New Roman" w:eastAsia="Times New Roman" w:hAnsi="Times New Roman"/>
          <w:sz w:val="18"/>
          <w:szCs w:val="18"/>
          <w:color w:val="auto"/>
        </w:rPr>
        <w:t>During the nine months ended September 30, 2022</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color w:val="auto"/>
        </w:rPr>
        <w:t xml:space="preserve"> our general and administrative expenses increased by $2.1 million, or 14%, as compared to 2021. The increase in costs was primarily driven by expenses incurred for stock compensation and increased personnel expenses.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12" w:lineRule="exact"/>
        <w:rPr>
          <w:sz w:val="20"/>
          <w:szCs w:val="20"/>
          <w:color w:val="auto"/>
        </w:rPr>
      </w:pPr>
    </w:p>
    <w:p>
      <w:pPr>
        <w:ind w:right="80" w:firstLine="317"/>
        <w:spacing w:after="0" w:line="270" w:lineRule="auto"/>
        <w:rPr>
          <w:sz w:val="20"/>
          <w:szCs w:val="20"/>
          <w:color w:val="auto"/>
        </w:rPr>
      </w:pPr>
      <w:r>
        <w:rPr>
          <w:rFonts w:ascii="Times New Roman" w:cs="Times New Roman" w:eastAsia="Times New Roman" w:hAnsi="Times New Roman"/>
          <w:sz w:val="18"/>
          <w:szCs w:val="18"/>
          <w:color w:val="auto"/>
        </w:rPr>
        <w:t>Investment income was $0.9 million and less than $0.1 million, respectively during the nine months ended September 30, 2022 as compared to 2021. The increase in investment income was due to increased investments and higher interest rates.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12" w:lineRule="exact"/>
        <w:rPr>
          <w:sz w:val="20"/>
          <w:szCs w:val="20"/>
          <w:color w:val="auto"/>
        </w:rPr>
      </w:pPr>
    </w:p>
    <w:p>
      <w:pPr>
        <w:ind w:right="500" w:firstLine="317"/>
        <w:spacing w:after="0" w:line="270" w:lineRule="auto"/>
        <w:rPr>
          <w:sz w:val="20"/>
          <w:szCs w:val="20"/>
          <w:color w:val="auto"/>
        </w:rPr>
      </w:pPr>
      <w:r>
        <w:rPr>
          <w:rFonts w:ascii="Times New Roman" w:cs="Times New Roman" w:eastAsia="Times New Roman" w:hAnsi="Times New Roman"/>
          <w:sz w:val="18"/>
          <w:szCs w:val="18"/>
          <w:color w:val="auto"/>
        </w:rPr>
        <w:t>We recognized $0.1 million and less than $0.1 million in foreign currency fluctuations during the nine months ended September 30, 2022 and 2021,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2" w:lineRule="exact"/>
        <w:rPr>
          <w:sz w:val="20"/>
          <w:szCs w:val="20"/>
          <w:color w:val="auto"/>
        </w:rPr>
      </w:pPr>
    </w:p>
    <w:p>
      <w:pPr>
        <w:ind w:right="260" w:firstLine="317"/>
        <w:spacing w:after="0" w:line="270" w:lineRule="auto"/>
        <w:rPr>
          <w:sz w:val="20"/>
          <w:szCs w:val="20"/>
          <w:color w:val="auto"/>
        </w:rPr>
      </w:pPr>
      <w:r>
        <w:rPr>
          <w:rFonts w:ascii="Times New Roman" w:cs="Times New Roman" w:eastAsia="Times New Roman" w:hAnsi="Times New Roman"/>
          <w:sz w:val="18"/>
          <w:szCs w:val="18"/>
          <w:color w:val="auto"/>
        </w:rPr>
        <w:t>Interest expense was $2.2 million and $2.1 million for the nine months ended September 30, 2022 and 2021, respectively, representing interest expense and amortization of the carrying costs of our credit facilities.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12" w:lineRule="exact"/>
        <w:rPr>
          <w:sz w:val="20"/>
          <w:szCs w:val="20"/>
          <w:color w:val="auto"/>
        </w:rPr>
      </w:pPr>
    </w:p>
    <w:p>
      <w:pPr>
        <w:ind w:right="280" w:firstLine="317"/>
        <w:spacing w:after="0" w:line="270" w:lineRule="auto"/>
        <w:rPr>
          <w:sz w:val="20"/>
          <w:szCs w:val="20"/>
          <w:color w:val="auto"/>
        </w:rPr>
      </w:pPr>
      <w:r>
        <w:rPr>
          <w:rFonts w:ascii="Times New Roman" w:cs="Times New Roman" w:eastAsia="Times New Roman" w:hAnsi="Times New Roman"/>
          <w:sz w:val="18"/>
          <w:szCs w:val="18"/>
          <w:color w:val="auto"/>
        </w:rPr>
        <w:t>For the nine months ended September 30, 2022, we recognized $7.3 million of income for the decrease in the fair value of warrant liabilities utilizing a Black-Scholes valuation methodology. The decrease in value was primarily driven by a decrease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share price. For the nine months ended September 30, 2021, we recognized an $11.3 million charge for the increase in the fair value of warrant liabilities utilizing a Black-Scholes valuation methodology. The increase in value was primarily driven by an increase in the Company’s share price and a small increase in the discount 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2" w:lineRule="exact"/>
        <w:rPr>
          <w:sz w:val="20"/>
          <w:szCs w:val="20"/>
          <w:color w:val="auto"/>
        </w:rPr>
      </w:pPr>
    </w:p>
    <w:p>
      <w:pPr>
        <w:ind w:right="600" w:firstLine="317"/>
        <w:spacing w:after="0" w:line="270" w:lineRule="auto"/>
        <w:rPr>
          <w:sz w:val="20"/>
          <w:szCs w:val="20"/>
          <w:color w:val="auto"/>
        </w:rPr>
      </w:pPr>
      <w:r>
        <w:rPr>
          <w:rFonts w:ascii="Times New Roman" w:cs="Times New Roman" w:eastAsia="Times New Roman" w:hAnsi="Times New Roman"/>
          <w:sz w:val="18"/>
          <w:szCs w:val="18"/>
          <w:color w:val="auto"/>
        </w:rPr>
        <w:t>Other income was $0.2 million and less than $0.1 million for the nine months ended September 30, 2022 and 2021, respectively. The increase was primarily driven by a gain on disposal of property and equipment.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2" w:lineRule="exact"/>
        <w:rPr>
          <w:sz w:val="20"/>
          <w:szCs w:val="20"/>
          <w:color w:val="auto"/>
        </w:rPr>
      </w:pPr>
    </w:p>
    <w:p>
      <w:pPr>
        <w:ind w:firstLine="317"/>
        <w:spacing w:after="0" w:line="247" w:lineRule="auto"/>
        <w:rPr>
          <w:sz w:val="20"/>
          <w:szCs w:val="20"/>
          <w:color w:val="auto"/>
        </w:rPr>
      </w:pPr>
      <w:r>
        <w:rPr>
          <w:rFonts w:ascii="Times New Roman" w:cs="Times New Roman" w:eastAsia="Times New Roman" w:hAnsi="Times New Roman"/>
          <w:sz w:val="18"/>
          <w:szCs w:val="18"/>
          <w:color w:val="auto"/>
        </w:rPr>
        <w:t>For the nine months ended September 30, 2022, we recognized $0.3 million in income tax benefit primarily related to the abatement of penalties and interest. For the nine months ended September 30, 2021, we recognized $15.8 million of expense for the income taxes primarily related to the license agreement with Sobi upon the Company’s election to opt out of the installment sale method of taxation. For income tax purposes, the transfer of trademark and product rights is treated as a sale and the net proceeds from the sale are taxed under the default installment method as cash is received by the Company. During the three and nine-month periods ended September 30,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tax return. In the elect out method, the Company was initially taxed based upon the estimated fair value of all present and future proceeds from the sale and the Company utilized all of its available net operating losses and income tax credits, which served to reduce the federal and state tax liability. As the Company recognizes future revenue under the Sobi license for US GAAP purposes, the Company will exclude revenue up to the originally estimated fair value that was previously taxed from taxable income. We previously disclosed that the Company had prepaid all taxes related to future Sobi License revenue streams as a result of the Company’s election to opt out of the installment sale method on our 2020 tax return. However, based on our updated analysis, we will be obligated to pay taxes related to any future Sobi License revenue received above the then estimated fair value of all present and future proceeds from the sale of SEL-212 when received, but such amounts will not be subject to interest and penalties.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2" w:lineRule="exact"/>
        <w:rPr>
          <w:sz w:val="20"/>
          <w:szCs w:val="20"/>
          <w:color w:val="auto"/>
        </w:rPr>
      </w:pPr>
    </w:p>
    <w:p>
      <w:pPr>
        <w:ind w:right="760" w:firstLine="317"/>
        <w:spacing w:after="0" w:line="270" w:lineRule="auto"/>
        <w:rPr>
          <w:sz w:val="20"/>
          <w:szCs w:val="20"/>
          <w:color w:val="auto"/>
        </w:rPr>
      </w:pPr>
      <w:r>
        <w:rPr>
          <w:rFonts w:ascii="Times New Roman" w:cs="Times New Roman" w:eastAsia="Times New Roman" w:hAnsi="Times New Roman"/>
          <w:sz w:val="18"/>
          <w:szCs w:val="18"/>
          <w:color w:val="auto"/>
        </w:rPr>
        <w:t>Net income for the nine months ended September 30, 2022 was $29.5 million compared to a net loss of $37.9 million for the nine months ended September 30,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2" w:lineRule="exact"/>
        <w:rPr>
          <w:sz w:val="20"/>
          <w:szCs w:val="20"/>
          <w:color w:val="auto"/>
        </w:rPr>
      </w:pPr>
    </w:p>
    <w:p>
      <w:pPr>
        <w:ind w:right="240" w:firstLine="317"/>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9" w:lineRule="exact"/>
        <w:rPr>
          <w:sz w:val="20"/>
          <w:szCs w:val="20"/>
          <w:color w:val="auto"/>
        </w:rPr>
      </w:pPr>
    </w:p>
    <w:p>
      <w:pPr>
        <w:ind w:right="20" w:firstLine="317"/>
        <w:spacing w:after="0"/>
        <w:rPr>
          <w:sz w:val="20"/>
          <w:szCs w:val="20"/>
          <w:color w:val="auto"/>
        </w:rPr>
      </w:pPr>
      <w:r>
        <w:rPr>
          <w:rFonts w:ascii="Times New Roman" w:cs="Times New Roman" w:eastAsia="Times New Roman" w:hAnsi="Times New Roman"/>
          <w:sz w:val="18"/>
          <w:szCs w:val="18"/>
          <w:color w:val="auto"/>
        </w:rPr>
        <w:t>From our inception through September 30, 2022, we have raised an aggregate of $716.4 million to fund our operations, which includes $118.5 million from the sale of preferred stock, $11.1 million in government grant funding, $36.7 million from borrowings under our credit facilities past and present, $243.3 million from our collaborations and license agreements, $64.5 million in combined net proceeds from our initial public offering, $185.2 million in combined net proceeds from private placements and follow-on offerings of our common stock, and, through September 30, 2022, $57.1 million in aggregate net proceeds from “at-the-market” offerings of our common stock.</w:t>
      </w:r>
    </w:p>
    <w:p>
      <w:pPr>
        <w:spacing w:after="0" w:line="89"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8"/>
          <w:szCs w:val="18"/>
          <w:color w:val="auto"/>
        </w:rPr>
        <w:t>As of September 30, 2022, our cash, cash equivalents, restricted cash, and marketable securities were $148.0 million, of which $1.6 million was restricted cash related to lease commitments and $0.2 million was held by our Russian subsidiary designated solely for use in its operations. Our Russian subsidiary cash is consolidated for financial reporting purposes.</w:t>
      </w:r>
    </w:p>
    <w:p>
      <w:pPr>
        <w:spacing w:after="0" w:line="73" w:lineRule="exact"/>
        <w:rPr>
          <w:sz w:val="20"/>
          <w:szCs w:val="20"/>
          <w:color w:val="auto"/>
        </w:rPr>
      </w:pPr>
    </w:p>
    <w:p>
      <w:pPr>
        <w:ind w:right="240" w:firstLine="317"/>
        <w:spacing w:after="0" w:line="270" w:lineRule="auto"/>
        <w:rPr>
          <w:sz w:val="20"/>
          <w:szCs w:val="20"/>
          <w:color w:val="auto"/>
        </w:rPr>
      </w:pPr>
      <w:r>
        <w:rPr>
          <w:rFonts w:ascii="Times New Roman" w:cs="Times New Roman" w:eastAsia="Times New Roman" w:hAnsi="Times New Roman"/>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12"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8"/>
          <w:szCs w:val="18"/>
          <w:color w:val="auto"/>
        </w:rPr>
        <w:t>On August 31, 2020, we entered into a term loan of up to $35.0 million, or the 2020 Term Loan, consisting of term loans in an aggregate amount of $25.0 million, or the Term A Loan, and term loans in an aggregate amount of $10.0 million, or the Term B Loan, governed by the Loan and Security Agreement. The Term A Loan was funded in full on August 31, 2020, or the Funding Date. The second draw period expired on September 30, 2021 and the Term B Loan is no longer available to be drawn by the Company in the future.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180" w:firstLine="317"/>
        <w:spacing w:after="0" w:line="251" w:lineRule="auto"/>
        <w:rPr>
          <w:sz w:val="20"/>
          <w:szCs w:val="20"/>
          <w:color w:val="auto"/>
        </w:rPr>
      </w:pPr>
      <w:r>
        <w:rPr>
          <w:rFonts w:ascii="Times New Roman" w:cs="Times New Roman" w:eastAsia="Times New Roman" w:hAnsi="Times New Roman"/>
          <w:sz w:val="18"/>
          <w:szCs w:val="18"/>
          <w:color w:val="auto"/>
        </w:rPr>
        <w:t>On March 21, 2022, we entered into a Second Amendment to Loan and Security Agreement, or the Second Amendment, which amended the Loan and Security Agreement. The Second Amendment extends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is recorded as an addition to the debt discount on the effective date.</w:t>
      </w:r>
    </w:p>
    <w:p>
      <w:pPr>
        <w:spacing w:after="0" w:line="68" w:lineRule="exact"/>
        <w:rPr>
          <w:sz w:val="20"/>
          <w:szCs w:val="20"/>
          <w:color w:val="auto"/>
        </w:rPr>
      </w:pPr>
    </w:p>
    <w:p>
      <w:pPr>
        <w:jc w:val="both"/>
        <w:ind w:right="20" w:firstLine="317"/>
        <w:spacing w:after="0" w:line="242" w:lineRule="auto"/>
        <w:rPr>
          <w:sz w:val="20"/>
          <w:szCs w:val="20"/>
          <w:color w:val="auto"/>
        </w:rPr>
      </w:pPr>
      <w:r>
        <w:rPr>
          <w:rFonts w:ascii="Times New Roman" w:cs="Times New Roman" w:eastAsia="Times New Roman" w:hAnsi="Times New Roman"/>
          <w:sz w:val="18"/>
          <w:szCs w:val="18"/>
          <w:color w:val="auto"/>
        </w:rPr>
        <w:t>On September 20, 2022, we entered into a Third Amendment to the Loan and Security Agreement or the Third Amendment, which amended the Loan and Security Agreement. The Third Amendment was entered into in connection with the expansion of our corporate headquarters to provide for an increase of $0.2 million in the letter of credit for a total of $1.6 million which renews automatically each year.</w:t>
      </w:r>
    </w:p>
    <w:p>
      <w:pPr>
        <w:spacing w:after="0" w:line="88" w:lineRule="exact"/>
        <w:rPr>
          <w:sz w:val="20"/>
          <w:szCs w:val="20"/>
          <w:color w:val="auto"/>
        </w:rPr>
      </w:pPr>
    </w:p>
    <w:p>
      <w:pPr>
        <w:ind w:right="180" w:firstLine="317"/>
        <w:spacing w:after="0" w:line="258" w:lineRule="auto"/>
        <w:rPr>
          <w:sz w:val="20"/>
          <w:szCs w:val="20"/>
          <w:color w:val="auto"/>
        </w:rPr>
      </w:pPr>
      <w:r>
        <w:rPr>
          <w:rFonts w:ascii="Times New Roman" w:cs="Times New Roman" w:eastAsia="Times New Roman" w:hAnsi="Times New Roman"/>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3" w:lineRule="exact"/>
        <w:rPr>
          <w:sz w:val="20"/>
          <w:szCs w:val="20"/>
          <w:color w:val="auto"/>
        </w:rPr>
      </w:pPr>
    </w:p>
    <w:p>
      <w:pPr>
        <w:ind w:right="140" w:firstLine="317"/>
        <w:spacing w:after="0" w:line="280" w:lineRule="auto"/>
        <w:rPr>
          <w:sz w:val="20"/>
          <w:szCs w:val="20"/>
          <w:color w:val="auto"/>
        </w:rPr>
      </w:pPr>
      <w:r>
        <w:rPr>
          <w:rFonts w:ascii="Times New Roman" w:cs="Times New Roman" w:eastAsia="Times New Roman" w:hAnsi="Times New Roman"/>
          <w:sz w:val="17"/>
          <w:szCs w:val="17"/>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56" w:lineRule="exact"/>
        <w:rPr>
          <w:sz w:val="20"/>
          <w:szCs w:val="20"/>
          <w:color w:val="auto"/>
        </w:rPr>
      </w:pPr>
    </w:p>
    <w:p>
      <w:pPr>
        <w:ind w:right="200" w:firstLine="317"/>
        <w:spacing w:after="0" w:line="249" w:lineRule="auto"/>
        <w:rPr>
          <w:sz w:val="20"/>
          <w:szCs w:val="20"/>
          <w:color w:val="auto"/>
        </w:rPr>
      </w:pPr>
      <w:r>
        <w:rPr>
          <w:rFonts w:ascii="Times New Roman" w:cs="Times New Roman" w:eastAsia="Times New Roman" w:hAnsi="Times New Roman"/>
          <w:sz w:val="18"/>
          <w:szCs w:val="18"/>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12" w:lineRule="exact"/>
        <w:rPr>
          <w:sz w:val="20"/>
          <w:szCs w:val="20"/>
          <w:color w:val="auto"/>
        </w:rPr>
      </w:pPr>
    </w:p>
    <w:p>
      <w:pPr>
        <w:ind w:firstLine="317"/>
        <w:spacing w:after="0" w:line="248"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7" w:lineRule="exact"/>
        <w:rPr>
          <w:sz w:val="20"/>
          <w:szCs w:val="20"/>
          <w:color w:val="auto"/>
        </w:rPr>
      </w:pPr>
    </w:p>
    <w:p>
      <w:pPr>
        <w:ind w:right="140" w:firstLine="317"/>
        <w:spacing w:after="0" w:line="253" w:lineRule="auto"/>
        <w:rPr>
          <w:sz w:val="20"/>
          <w:szCs w:val="20"/>
          <w:color w:val="auto"/>
        </w:rPr>
      </w:pPr>
      <w:r>
        <w:rPr>
          <w:rFonts w:ascii="Times New Roman" w:cs="Times New Roman" w:eastAsia="Times New Roman" w:hAnsi="Times New Roman"/>
          <w:sz w:val="18"/>
          <w:szCs w:val="18"/>
          <w:color w:val="auto"/>
        </w:rPr>
        <w:t>As of September 30, 2022, we had an accumulated deficit of $400.8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We are continually evaluating various potential sources of additional funding such as strategic collaborations, license agreements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1" w:lineRule="exact"/>
        <w:rPr>
          <w:sz w:val="20"/>
          <w:szCs w:val="20"/>
          <w:color w:val="auto"/>
        </w:rPr>
      </w:pPr>
    </w:p>
    <w:p>
      <w:pPr>
        <w:ind w:right="40" w:firstLine="317"/>
        <w:spacing w:after="0" w:line="248"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September 30, 2022, combined with the receivable of $6.9 million from Sobi,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programs or be unable to expand our operations, meet long-term obligations or otherwise capitalize on our commercialization of our product candidates.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0" w:lineRule="exact"/>
        <w:rPr>
          <w:sz w:val="20"/>
          <w:szCs w:val="20"/>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110" w:lineRule="exact"/>
        <w:rPr>
          <w:rFonts w:ascii="Times New Roman" w:cs="Times New Roman" w:eastAsia="Times New Roman" w:hAnsi="Times New Roman"/>
          <w:sz w:val="18"/>
          <w:szCs w:val="18"/>
          <w:color w:val="auto"/>
        </w:rPr>
      </w:pPr>
    </w:p>
    <w:p>
      <w:pPr>
        <w:ind w:left="640" w:right="180" w:hanging="317"/>
        <w:spacing w:after="0" w:line="270"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0" w:lineRule="exact"/>
        <w:rPr>
          <w:rFonts w:ascii="Times New Roman" w:cs="Times New Roman" w:eastAsia="Times New Roman" w:hAnsi="Times New Roman"/>
          <w:sz w:val="18"/>
          <w:szCs w:val="18"/>
          <w:color w:val="auto"/>
        </w:rPr>
      </w:pPr>
    </w:p>
    <w:p>
      <w:pPr>
        <w:ind w:left="640" w:right="560" w:hanging="317"/>
        <w:spacing w:after="0" w:line="270"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0" w:lineRule="exact"/>
        <w:rPr>
          <w:rFonts w:ascii="Times New Roman" w:cs="Times New Roman" w:eastAsia="Times New Roman" w:hAnsi="Times New Roman"/>
          <w:sz w:val="18"/>
          <w:szCs w:val="18"/>
          <w:color w:val="auto"/>
        </w:rPr>
      </w:pPr>
    </w:p>
    <w:p>
      <w:pPr>
        <w:ind w:left="640" w:hanging="317"/>
        <w:spacing w:after="0" w:line="270"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0" w:lineRule="exact"/>
        <w:rPr>
          <w:rFonts w:ascii="Times New Roman" w:cs="Times New Roman" w:eastAsia="Times New Roman" w:hAnsi="Times New Roman"/>
          <w:sz w:val="18"/>
          <w:szCs w:val="18"/>
          <w:color w:val="auto"/>
        </w:rPr>
      </w:pPr>
    </w:p>
    <w:p>
      <w:pPr>
        <w:ind w:left="640" w:right="40" w:hanging="317"/>
        <w:spacing w:after="0" w:line="270"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2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191"/>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(26,862)</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2" w:lineRule="exact"/>
        <w:rPr>
          <w:sz w:val="20"/>
          <w:szCs w:val="20"/>
          <w:color w:val="auto"/>
        </w:rPr>
      </w:pPr>
    </w:p>
    <w:p>
      <w:pPr>
        <w:jc w:val="both"/>
        <w:ind w:right="260" w:firstLine="317"/>
        <w:spacing w:after="0" w:line="270" w:lineRule="auto"/>
        <w:rPr>
          <w:sz w:val="20"/>
          <w:szCs w:val="20"/>
          <w:color w:val="auto"/>
        </w:rPr>
      </w:pPr>
      <w:r>
        <w:rPr>
          <w:rFonts w:ascii="Times New Roman" w:cs="Times New Roman" w:eastAsia="Times New Roman" w:hAnsi="Times New Roman"/>
          <w:sz w:val="18"/>
          <w:szCs w:val="18"/>
          <w:color w:val="auto"/>
        </w:rPr>
        <w:t>Cash used in operating activities of $19.8 million for the nine months ended September 30, 2022 included approximately $33.6 million of net income, adjusted for non-cash items, and uses of cash of approximately $53.4 million for changes in operating assets and liabilities.</w:t>
      </w:r>
    </w:p>
    <w:p>
      <w:pPr>
        <w:spacing w:after="0" w:line="63" w:lineRule="exact"/>
        <w:rPr>
          <w:sz w:val="20"/>
          <w:szCs w:val="20"/>
          <w:color w:val="auto"/>
        </w:rPr>
      </w:pPr>
    </w:p>
    <w:p>
      <w:pPr>
        <w:ind w:right="360" w:firstLine="317"/>
        <w:spacing w:after="0" w:line="270" w:lineRule="auto"/>
        <w:rPr>
          <w:sz w:val="20"/>
          <w:szCs w:val="20"/>
          <w:color w:val="auto"/>
        </w:rPr>
      </w:pPr>
      <w:r>
        <w:rPr>
          <w:rFonts w:ascii="Times New Roman" w:cs="Times New Roman" w:eastAsia="Times New Roman" w:hAnsi="Times New Roman"/>
          <w:sz w:val="18"/>
          <w:szCs w:val="18"/>
          <w:color w:val="auto"/>
        </w:rPr>
        <w:t>Cash used in operating activities of $28.9 million for the nine months ended September 30, 2021 included approximately $18.6 million of net losses, adjusted for non-cash items, and uses of cash of approximately $10.3 million for changes in operating assets and liabilities.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2"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$20.5 million compared to net cash used in investing activities of $26.9 million in the same period in 2021. The net cash used in investing activities in 2022 was primarily purchases of marketable securities offset by proceeds from maturities of marketable securities.</w:t>
      </w:r>
    </w:p>
    <w:p>
      <w:pPr>
        <w:spacing w:after="0" w:line="73" w:lineRule="exact"/>
        <w:rPr>
          <w:sz w:val="20"/>
          <w:szCs w:val="20"/>
          <w:color w:val="auto"/>
        </w:rPr>
      </w:pPr>
    </w:p>
    <w:p>
      <w:pPr>
        <w:ind w:right="160" w:firstLine="317"/>
        <w:spacing w:after="0" w:line="270" w:lineRule="auto"/>
        <w:rPr>
          <w:sz w:val="20"/>
          <w:szCs w:val="20"/>
          <w:color w:val="auto"/>
        </w:rPr>
      </w:pPr>
      <w:r>
        <w:rPr>
          <w:rFonts w:ascii="Times New Roman" w:cs="Times New Roman" w:eastAsia="Times New Roman" w:hAnsi="Times New Roman"/>
          <w:sz w:val="18"/>
          <w:szCs w:val="18"/>
          <w:color w:val="auto"/>
        </w:rPr>
        <w:t>The net cash used in investing activities for the nine months ended September 30, 2021 was primarily to purchase marketable securities and to invest in Cyrus Biotechnology, offset by proceeds from the maturities of marketable securities.</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2" w:lineRule="exact"/>
        <w:rPr>
          <w:sz w:val="20"/>
          <w:szCs w:val="20"/>
          <w:color w:val="auto"/>
        </w:rPr>
      </w:pPr>
    </w:p>
    <w:p>
      <w:pPr>
        <w:jc w:val="both"/>
        <w:ind w:right="220" w:firstLine="317"/>
        <w:spacing w:after="0" w:line="258"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nine months ended September 30, 2022 was $39.2 million compared to net cash provided by financing activities of $31.7 million in the same period in 2021. The net cash provided by financing activities in the nine months ended September 30, 2022 and 2021 was primarily the result of net proceeds from underwritten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at-the-market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offerings.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2" w:lineRule="exact"/>
        <w:rPr>
          <w:sz w:val="20"/>
          <w:szCs w:val="20"/>
          <w:color w:val="auto"/>
        </w:rPr>
      </w:pPr>
    </w:p>
    <w:p>
      <w:pPr>
        <w:ind w:right="140" w:firstLine="317"/>
        <w:spacing w:after="0" w:line="270"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unaudited consolidated financial statements included elsewhere in this Quarterly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2022, we did not have any off-balance sheet arrangements as defined in the rules and regulations of the SEC.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12" w:lineRule="exact"/>
        <w:rPr>
          <w:sz w:val="20"/>
          <w:szCs w:val="20"/>
          <w:color w:val="auto"/>
        </w:rPr>
      </w:pPr>
    </w:p>
    <w:p>
      <w:pPr>
        <w:ind w:right="140" w:firstLine="317"/>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nine months ended September 30, 2022, there were no material changes to our critical accounting policies from those described in our Annual Report on Form 10-K for the year ended December 31,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12" w:lineRule="exact"/>
        <w:rPr>
          <w:sz w:val="20"/>
          <w:szCs w:val="20"/>
          <w:color w:val="auto"/>
        </w:rPr>
      </w:pPr>
    </w:p>
    <w:p>
      <w:pPr>
        <w:ind w:right="60" w:firstLine="317"/>
        <w:spacing w:after="0" w:line="269"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2"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2022 and December 31, 2021, we had cash, cash equivalents, restricted cash and marketable securities of $148.0 million and $129.4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2"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12" w:lineRule="exact"/>
        <w:rPr>
          <w:sz w:val="20"/>
          <w:szCs w:val="20"/>
          <w:color w:val="auto"/>
        </w:rPr>
      </w:pPr>
    </w:p>
    <w:p>
      <w:pPr>
        <w:ind w:right="140" w:firstLine="317"/>
        <w:spacing w:after="0" w:line="250"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2" w:lineRule="exact"/>
        <w:rPr>
          <w:sz w:val="20"/>
          <w:szCs w:val="20"/>
          <w:color w:val="auto"/>
        </w:rPr>
      </w:pPr>
    </w:p>
    <w:p>
      <w:pPr>
        <w:ind w:firstLine="317"/>
        <w:spacing w:after="0" w:line="30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9" w:lineRule="exact"/>
        <w:rPr>
          <w:sz w:val="20"/>
          <w:szCs w:val="20"/>
          <w:color w:val="auto"/>
        </w:rPr>
      </w:pPr>
    </w:p>
    <w:p>
      <w:pPr>
        <w:ind w:firstLine="317"/>
        <w:spacing w:after="0" w:line="231"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2" w:lineRule="exact"/>
        <w:rPr>
          <w:sz w:val="20"/>
          <w:szCs w:val="20"/>
          <w:color w:val="auto"/>
        </w:rPr>
      </w:pPr>
    </w:p>
    <w:p>
      <w:pPr>
        <w:ind w:right="160" w:firstLine="317"/>
        <w:spacing w:after="0" w:line="258"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2021 and Item 1A of our Quarterly Report on Form 10-Q for the quarter ended June 30, 2022. There have been no material changes from the risk factors previously disclosed in such filings.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50"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15875</wp:posOffset>
            </wp:positionV>
            <wp:extent cx="2761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00" w:type="dxa"/>
            <w:vAlign w:val="bottom"/>
          </w:tcPr>
          <w:p>
            <w:pPr>
              <w:spacing w:after="0"/>
              <w:rPr>
                <w:sz w:val="20"/>
                <w:szCs w:val="20"/>
                <w:color w:val="auto"/>
              </w:rPr>
            </w:pPr>
          </w:p>
        </w:tc>
        <w:tc>
          <w:tcPr>
            <w:tcW w:w="368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79"/>
        </w:trPr>
        <w:tc>
          <w:tcPr>
            <w:tcW w:w="660" w:type="dxa"/>
            <w:vAlign w:val="bottom"/>
            <w:tcBorders>
              <w:top w:val="single" w:sz="8" w:color="auto"/>
            </w:tcBorders>
            <w:gridSpan w:val="2"/>
          </w:tcPr>
          <w:p>
            <w:pPr>
              <w:jc w:val="center"/>
              <w:ind w:left="352"/>
              <w:spacing w:after="0" w:line="179" w:lineRule="exact"/>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560" w:type="dxa"/>
            <w:vAlign w:val="bottom"/>
            <w:tcBorders>
              <w:top w:val="single" w:sz="8" w:color="auto"/>
            </w:tcBorders>
            <w:gridSpan w:val="14"/>
          </w:tcPr>
          <w:p>
            <w:pPr>
              <w:spacing w:after="0" w:line="17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130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001-37798</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5"/>
        </w:trPr>
        <w:tc>
          <w:tcPr>
            <w:tcW w:w="660" w:type="dxa"/>
            <w:vAlign w:val="bottom"/>
            <w:gridSpan w:val="2"/>
          </w:tcPr>
          <w:p>
            <w:pPr>
              <w:jc w:val="center"/>
              <w:ind w:left="352"/>
              <w:spacing w:after="0" w:line="205" w:lineRule="exact"/>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80" w:type="dxa"/>
            <w:vAlign w:val="bottom"/>
            <w:gridSpan w:val="15"/>
          </w:tcPr>
          <w:p>
            <w:pPr>
              <w:spacing w:after="0" w:line="205"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By-laws of Selecta Biosciences, Inc.</w:t>
              </w:r>
            </w:hyperlink>
          </w:p>
        </w:tc>
        <w:tc>
          <w:tcPr>
            <w:tcW w:w="76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001-37798</w:t>
            </w:r>
          </w:p>
        </w:tc>
        <w:tc>
          <w:tcPr>
            <w:tcW w:w="120" w:type="dxa"/>
            <w:vAlign w:val="bottom"/>
          </w:tcPr>
          <w:p>
            <w:pPr>
              <w:spacing w:after="0"/>
              <w:rPr>
                <w:sz w:val="17"/>
                <w:szCs w:val="17"/>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5"/>
        </w:trPr>
        <w:tc>
          <w:tcPr>
            <w:tcW w:w="1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40" w:type="dxa"/>
            <w:vAlign w:val="bottom"/>
          </w:tcPr>
          <w:p>
            <w:pPr>
              <w:spacing w:after="0"/>
              <w:rPr>
                <w:sz w:val="19"/>
                <w:szCs w:val="19"/>
                <w:color w:val="auto"/>
              </w:rPr>
            </w:pPr>
          </w:p>
        </w:tc>
        <w:tc>
          <w:tcPr>
            <w:tcW w:w="56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First Amendment to Lease by and between BRE-BMR Grove LLC and</w:t>
            </w:r>
          </w:p>
        </w:tc>
        <w:tc>
          <w:tcPr>
            <w:tcW w:w="6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r>
      <w:tr>
        <w:trPr>
          <w:trHeight w:val="132"/>
        </w:trPr>
        <w:tc>
          <w:tcPr>
            <w:tcW w:w="4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tcBorders>
            <w:gridSpan w:val="7"/>
          </w:tcPr>
          <w:p>
            <w:pPr>
              <w:spacing w:after="0" w:line="132" w:lineRule="exact"/>
              <w:rPr>
                <w:sz w:val="20"/>
                <w:szCs w:val="20"/>
                <w:color w:val="auto"/>
              </w:rPr>
            </w:pPr>
            <w:r>
              <w:rPr>
                <w:rFonts w:ascii="Times New Roman" w:cs="Times New Roman" w:eastAsia="Times New Roman" w:hAnsi="Times New Roman"/>
                <w:sz w:val="15"/>
                <w:szCs w:val="15"/>
                <w:color w:val="0000FF"/>
              </w:rPr>
              <w:t>Selecta Biosciences, Inc. dated September 1, 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0"/>
        </w:trPr>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8"/>
        </w:trPr>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140" w:type="dxa"/>
            <w:vAlign w:val="bottom"/>
          </w:tcPr>
          <w:p>
            <w:pPr>
              <w:spacing w:after="0"/>
              <w:rPr>
                <w:sz w:val="18"/>
                <w:szCs w:val="18"/>
                <w:color w:val="auto"/>
              </w:rPr>
            </w:pP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Third Amendment to Loan and Security Agreement, dated September 20,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gridSpan w:val="15"/>
          </w:tcPr>
          <w:p>
            <w:pPr>
              <w:spacing w:after="0" w:line="152" w:lineRule="exact"/>
              <w:rPr>
                <w:sz w:val="20"/>
                <w:szCs w:val="20"/>
                <w:color w:val="auto"/>
              </w:rPr>
            </w:pPr>
            <w:r>
              <w:rPr>
                <w:rFonts w:ascii="Times New Roman" w:cs="Times New Roman" w:eastAsia="Times New Roman" w:hAnsi="Times New Roman"/>
                <w:sz w:val="17"/>
                <w:szCs w:val="17"/>
                <w:color w:val="0000FF"/>
              </w:rPr>
              <w:t>2022, between Selecta Biosciences, Inc., Oxford Finance LLC, as Collateral</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Borders>
              <w:top w:val="single" w:sz="8" w:color="0000FF"/>
            </w:tcBorders>
            <w:gridSpan w:val="10"/>
          </w:tcPr>
          <w:p>
            <w:pPr>
              <w:spacing w:after="0" w:line="165" w:lineRule="exact"/>
              <w:rPr>
                <w:sz w:val="20"/>
                <w:szCs w:val="20"/>
                <w:color w:val="auto"/>
              </w:rPr>
            </w:pPr>
            <w:r>
              <w:rPr>
                <w:rFonts w:ascii="Times New Roman" w:cs="Times New Roman" w:eastAsia="Times New Roman" w:hAnsi="Times New Roman"/>
                <w:sz w:val="18"/>
                <w:szCs w:val="18"/>
                <w:color w:val="0000FF"/>
              </w:rPr>
              <w:t>Agent and as a Lender, and Silicon Valley Bank, as a Lender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5"/>
        </w:trPr>
        <w:tc>
          <w:tcPr>
            <w:tcW w:w="1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40" w:type="dxa"/>
            <w:vAlign w:val="bottom"/>
          </w:tcPr>
          <w:p>
            <w:pPr>
              <w:spacing w:after="0"/>
              <w:rPr>
                <w:sz w:val="17"/>
                <w:szCs w:val="17"/>
                <w:color w:val="auto"/>
              </w:rPr>
            </w:pPr>
          </w:p>
        </w:tc>
        <w:tc>
          <w:tcPr>
            <w:tcW w:w="56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w:t>
            </w:r>
          </w:p>
        </w:tc>
        <w:tc>
          <w:tcPr>
            <w:tcW w:w="6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2"/>
        </w:trPr>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80" w:type="dxa"/>
            <w:vAlign w:val="bottom"/>
            <w:gridSpan w:val="15"/>
          </w:tcPr>
          <w:p>
            <w:pPr>
              <w:spacing w:after="0" w:line="132" w:lineRule="exact"/>
              <w:rPr>
                <w:sz w:val="20"/>
                <w:szCs w:val="20"/>
                <w:color w:val="auto"/>
              </w:rPr>
            </w:pPr>
            <w:r>
              <w:rPr>
                <w:rFonts w:ascii="Times New Roman" w:cs="Times New Roman" w:eastAsia="Times New Roman" w:hAnsi="Times New Roman"/>
                <w:sz w:val="15"/>
                <w:szCs w:val="15"/>
                <w:color w:val="0000FF"/>
              </w:rPr>
              <w:t>Rule 15d-14(a) of the Securities Exchange Act of 1934, as adopted pursuant to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5"/>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7"/>
              </w:rPr>
              <w:t>Section 302 of the Sarbanes-Oxley Act of 2002</w:t>
            </w:r>
          </w:p>
        </w:tc>
        <w:tc>
          <w:tcPr>
            <w:tcW w:w="2200" w:type="dxa"/>
            <w:vAlign w:val="bottom"/>
            <w:tcBorders>
              <w:top w:val="single" w:sz="8" w:color="0000FF"/>
            </w:tcBorders>
            <w:gridSpan w:val="11"/>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5"/>
        </w:trPr>
        <w:tc>
          <w:tcPr>
            <w:tcW w:w="1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40" w:type="dxa"/>
            <w:vAlign w:val="bottom"/>
          </w:tcPr>
          <w:p>
            <w:pPr>
              <w:spacing w:after="0"/>
              <w:rPr>
                <w:sz w:val="19"/>
                <w:szCs w:val="19"/>
                <w:color w:val="auto"/>
              </w:rPr>
            </w:pPr>
          </w:p>
        </w:tc>
        <w:tc>
          <w:tcPr>
            <w:tcW w:w="56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w:t>
            </w:r>
          </w:p>
        </w:tc>
        <w:tc>
          <w:tcPr>
            <w:tcW w:w="6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r>
      <w:tr>
        <w:trPr>
          <w:trHeight w:val="132"/>
        </w:trPr>
        <w:tc>
          <w:tcPr>
            <w:tcW w:w="4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00" w:type="dxa"/>
            <w:vAlign w:val="bottom"/>
            <w:tcBorders>
              <w:top w:val="single" w:sz="8" w:color="0000FF"/>
            </w:tcBorders>
            <w:gridSpan w:val="12"/>
          </w:tcPr>
          <w:p>
            <w:pPr>
              <w:spacing w:after="0" w:line="132" w:lineRule="exact"/>
              <w:rPr>
                <w:sz w:val="20"/>
                <w:szCs w:val="20"/>
                <w:color w:val="auto"/>
              </w:rPr>
            </w:pPr>
            <w:r>
              <w:rPr>
                <w:rFonts w:ascii="Times New Roman" w:cs="Times New Roman" w:eastAsia="Times New Roman" w:hAnsi="Times New Roman"/>
                <w:sz w:val="15"/>
                <w:szCs w:val="15"/>
                <w:color w:val="0000FF"/>
              </w:rPr>
              <w:t>15d-14(a) of the Securities Exchange Act of 1934, as adopted pursuant to</w:t>
            </w:r>
          </w:p>
        </w:tc>
        <w:tc>
          <w:tcPr>
            <w:tcW w:w="18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5"/>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7"/>
              </w:rPr>
              <w:t>Section 302 of the Sarbanes-Oxley Act of 2002</w:t>
            </w:r>
          </w:p>
        </w:tc>
        <w:tc>
          <w:tcPr>
            <w:tcW w:w="184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5"/>
        </w:trPr>
        <w:tc>
          <w:tcPr>
            <w:tcW w:w="1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40" w:type="dxa"/>
            <w:vAlign w:val="bottom"/>
          </w:tcPr>
          <w:p>
            <w:pPr>
              <w:spacing w:after="0"/>
              <w:rPr>
                <w:sz w:val="17"/>
                <w:szCs w:val="17"/>
                <w:color w:val="auto"/>
              </w:rPr>
            </w:pPr>
          </w:p>
        </w:tc>
        <w:tc>
          <w:tcPr>
            <w:tcW w:w="56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6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t>
            </w:r>
          </w:p>
        </w:tc>
      </w:tr>
      <w:tr>
        <w:trPr>
          <w:trHeight w:val="152"/>
        </w:trPr>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tcBorders>
              <w:top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7"/>
                <w:szCs w:val="17"/>
                <w:color w:val="0000FF"/>
              </w:rPr>
              <w:t>pursuant to 18 U.S.C. Section 1350, as adopted pursuant to Section 906 of</w:t>
            </w:r>
          </w:p>
        </w:tc>
        <w:tc>
          <w:tcPr>
            <w:tcW w:w="400" w:type="dxa"/>
            <w:vAlign w:val="bottom"/>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the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tcBorders>
              <w:top w:val="single" w:sz="8" w:color="0000FF"/>
            </w:tcBorders>
            <w:gridSpan w:val="11"/>
          </w:tcPr>
          <w:p>
            <w:pPr>
              <w:spacing w:after="0" w:line="16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1220" w:type="dxa"/>
            <w:vAlign w:val="bottom"/>
            <w:tcBorders>
              <w:right w:val="single" w:sz="8" w:color="0000FF"/>
            </w:tcBorders>
            <w:gridSpan w:val="4"/>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68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1220" w:type="dxa"/>
            <w:vAlign w:val="bottom"/>
            <w:gridSpan w:val="4"/>
          </w:tcPr>
          <w:p>
            <w:pPr>
              <w:jc w:val="center"/>
              <w:ind w:right="120"/>
              <w:spacing w:after="0" w:line="192" w:lineRule="exact"/>
              <w:rPr>
                <w:sz w:val="20"/>
                <w:szCs w:val="20"/>
                <w:color w:val="auto"/>
              </w:rPr>
            </w:pPr>
            <w:r>
              <w:rPr>
                <w:rFonts w:ascii="Times New Roman" w:cs="Times New Roman" w:eastAsia="Times New Roman" w:hAnsi="Times New Roman"/>
                <w:sz w:val="18"/>
                <w:szCs w:val="18"/>
                <w:color w:val="auto"/>
                <w:w w:val="95"/>
              </w:rPr>
              <w:t>101.INS</w:t>
            </w:r>
          </w:p>
        </w:tc>
        <w:tc>
          <w:tcPr>
            <w:tcW w:w="5680" w:type="dxa"/>
            <w:vAlign w:val="bottom"/>
            <w:gridSpan w:val="15"/>
          </w:tcPr>
          <w:p>
            <w:pPr>
              <w:spacing w:after="0" w:line="192"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6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3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6"/>
                <w:szCs w:val="16"/>
                <w:color w:val="auto"/>
              </w:rPr>
            </w:pPr>
          </w:p>
        </w:tc>
        <w:tc>
          <w:tcPr>
            <w:tcW w:w="9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80" w:type="dxa"/>
            <w:vAlign w:val="bottom"/>
            <w:gridSpan w:val="15"/>
          </w:tcPr>
          <w:p>
            <w:pPr>
              <w:spacing w:after="0" w:line="180"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 Inline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5"/>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30"/>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101.CAL</w:t>
            </w: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30"/>
        </w:trPr>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101.DEF</w:t>
            </w: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30"/>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101.LAB</w:t>
            </w: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30"/>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6"/>
              </w:rPr>
              <w:t>101.PRE</w:t>
            </w: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8"/>
        </w:trPr>
        <w:tc>
          <w:tcPr>
            <w:tcW w:w="66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6"/>
              </w:rPr>
              <w:t>104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b w:val="1"/>
          <w:bCs w:val="1"/>
          <w:color w:val="auto"/>
        </w:rPr>
        <w:t>Filing</w:t>
      </w: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10160</wp:posOffset>
            </wp:positionV>
            <wp:extent cx="721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6/29/2016</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8/22/2022</w:t>
      </w:r>
    </w:p>
    <w:p>
      <w:pPr>
        <w:spacing w:after="0" w:line="119" w:lineRule="exact"/>
        <w:rPr>
          <w:sz w:val="20"/>
          <w:szCs w:val="20"/>
          <w:color w:val="auto"/>
        </w:rPr>
      </w:pPr>
    </w:p>
    <w:p>
      <w:pPr>
        <w:jc w:val="both"/>
        <w:spacing w:after="0" w:line="414" w:lineRule="auto"/>
        <w:rPr>
          <w:sz w:val="20"/>
          <w:szCs w:val="20"/>
          <w:color w:val="auto"/>
        </w:rPr>
      </w:pPr>
      <w:r>
        <w:rPr>
          <w:rFonts w:ascii="Times New Roman" w:cs="Times New Roman" w:eastAsia="Times New Roman" w:hAnsi="Times New Roman"/>
          <w:sz w:val="17"/>
          <w:szCs w:val="17"/>
          <w:color w:val="auto"/>
        </w:rPr>
        <w:t>Filed herewith Filed herewith</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Furnished</w:t>
      </w:r>
    </w:p>
    <w:p>
      <w:pPr>
        <w:ind w:left="200"/>
        <w:spacing w:after="0"/>
        <w:rPr>
          <w:sz w:val="20"/>
          <w:szCs w:val="20"/>
          <w:color w:val="auto"/>
        </w:rPr>
      </w:pPr>
      <w:r>
        <w:rPr>
          <w:rFonts w:ascii="Times New Roman" w:cs="Times New Roman" w:eastAsia="Times New Roman" w:hAnsi="Times New Roman"/>
          <w:sz w:val="18"/>
          <w:szCs w:val="18"/>
          <w:color w:val="auto"/>
        </w:rPr>
        <w:t>herewith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04" w:lineRule="exact"/>
        <w:rPr>
          <w:sz w:val="20"/>
          <w:szCs w:val="20"/>
          <w:color w:val="auto"/>
        </w:rPr>
      </w:pPr>
    </w:p>
    <w:p>
      <w:pPr>
        <w:sectPr>
          <w:pgSz w:w="11900" w:h="16838" w:orient="portrait"/>
          <w:cols w:equalWidth="0" w:num="2">
            <w:col w:w="10000" w:space="160"/>
            <w:col w:w="102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2"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780" w:type="dxa"/>
            <w:vAlign w:val="bottom"/>
          </w:tcPr>
          <w:p>
            <w:pPr>
              <w:spacing w:after="0"/>
              <w:rPr>
                <w:sz w:val="20"/>
                <w:szCs w:val="20"/>
                <w:color w:val="auto"/>
              </w:rPr>
            </w:pPr>
          </w:p>
        </w:tc>
        <w:tc>
          <w:tcPr>
            <w:tcW w:w="74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45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5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Carsten Brunn, Ph.D.</w:t>
            </w:r>
          </w:p>
        </w:tc>
      </w:tr>
      <w:tr>
        <w:trPr>
          <w:trHeight w:val="211"/>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Carsten Brunn, Ph.D.</w:t>
            </w:r>
          </w:p>
        </w:tc>
      </w:tr>
      <w:tr>
        <w:trPr>
          <w:trHeight w:val="225"/>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President and Chief Executive Officer, and Director</w:t>
            </w:r>
          </w:p>
        </w:tc>
      </w:tr>
      <w:tr>
        <w:trPr>
          <w:trHeight w:val="231"/>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70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5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Kevin Tan</w:t>
            </w:r>
          </w:p>
        </w:tc>
      </w:tr>
      <w:tr>
        <w:trPr>
          <w:trHeight w:val="211"/>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Kevin Tan</w:t>
            </w:r>
          </w:p>
        </w:tc>
      </w:tr>
      <w:tr>
        <w:trPr>
          <w:trHeight w:val="225"/>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Financial Officer</w:t>
            </w:r>
          </w:p>
        </w:tc>
      </w:tr>
      <w:tr>
        <w:trPr>
          <w:trHeight w:val="231"/>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AMENDMENT TO LEASE</w:t>
      </w:r>
    </w:p>
    <w:p>
      <w:pPr>
        <w:spacing w:after="0" w:line="209" w:lineRule="exact"/>
        <w:rPr>
          <w:sz w:val="20"/>
          <w:szCs w:val="20"/>
          <w:color w:val="auto"/>
        </w:rPr>
      </w:pPr>
    </w:p>
    <w:p>
      <w:pPr>
        <w:jc w:val="both"/>
        <w:ind w:firstLine="634"/>
        <w:spacing w:after="0" w:line="220" w:lineRule="auto"/>
        <w:rPr>
          <w:sz w:val="20"/>
          <w:szCs w:val="20"/>
          <w:color w:val="auto"/>
        </w:rPr>
      </w:pPr>
      <w:r>
        <w:rPr>
          <w:rFonts w:ascii="Times New Roman" w:cs="Times New Roman" w:eastAsia="Times New Roman" w:hAnsi="Times New Roman"/>
          <w:sz w:val="19"/>
          <w:szCs w:val="19"/>
          <w:color w:val="auto"/>
        </w:rPr>
        <w:t>THIS FIRST AMENDMENT TO LEASE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entered into as of this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September, 2022, by and between BRE-BMR GROVE LLC, a Delaware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and Selecta Biosciences, Inc., a 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222" w:lineRule="exact"/>
        <w:rPr>
          <w:sz w:val="20"/>
          <w:szCs w:val="20"/>
          <w:color w:val="auto"/>
        </w:rPr>
      </w:pPr>
    </w:p>
    <w:p>
      <w:pPr>
        <w:jc w:val="both"/>
        <w:ind w:firstLine="640"/>
        <w:spacing w:after="0" w:line="225" w:lineRule="auto"/>
        <w:tabs>
          <w:tab w:leader="none" w:pos="125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WHEREAS, Landlord and Tenant are parties to that certain Lease dated as of July 23, 2019 (as the same may have been amended, supplemented or modified from time to time, the “</w:t>
      </w:r>
      <w:r>
        <w:rPr>
          <w:rFonts w:ascii="Times New Roman" w:cs="Times New Roman" w:eastAsia="Times New Roman" w:hAnsi="Times New Roman"/>
          <w:sz w:val="19"/>
          <w:szCs w:val="19"/>
          <w:u w:val="single" w:color="auto"/>
          <w:color w:val="auto"/>
        </w:rPr>
        <w:t>Existing Lease</w:t>
      </w:r>
      <w:r>
        <w:rPr>
          <w:rFonts w:ascii="Times New Roman" w:cs="Times New Roman" w:eastAsia="Times New Roman" w:hAnsi="Times New Roman"/>
          <w:sz w:val="19"/>
          <w:szCs w:val="19"/>
          <w:color w:val="auto"/>
        </w:rPr>
        <w:t>”), whereby Tenant leases approximately 25,078 rentable square feet of space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floor (the “</w:t>
      </w:r>
      <w:r>
        <w:rPr>
          <w:rFonts w:ascii="Times New Roman" w:cs="Times New Roman" w:eastAsia="Times New Roman" w:hAnsi="Times New Roman"/>
          <w:sz w:val="19"/>
          <w:szCs w:val="19"/>
          <w:u w:val="single" w:color="auto"/>
          <w:color w:val="auto"/>
        </w:rPr>
        <w:t>Existing Premises</w:t>
      </w:r>
      <w:r>
        <w:rPr>
          <w:rFonts w:ascii="Times New Roman" w:cs="Times New Roman" w:eastAsia="Times New Roman" w:hAnsi="Times New Roman"/>
          <w:sz w:val="19"/>
          <w:szCs w:val="19"/>
          <w:color w:val="auto"/>
        </w:rPr>
        <w:t>”) of the building located at 65 Grove Street in Watertown, Massachusetts (the “</w:t>
      </w:r>
      <w:r>
        <w:rPr>
          <w:rFonts w:ascii="Times New Roman" w:cs="Times New Roman" w:eastAsia="Times New Roman" w:hAnsi="Times New Roman"/>
          <w:sz w:val="19"/>
          <w:szCs w:val="19"/>
          <w:u w:val="single" w:color="auto"/>
          <w:color w:val="auto"/>
        </w:rPr>
        <w:t>Building</w:t>
      </w:r>
      <w:r>
        <w:rPr>
          <w:rFonts w:ascii="Times New Roman" w:cs="Times New Roman" w:eastAsia="Times New Roman" w:hAnsi="Times New Roman"/>
          <w:sz w:val="19"/>
          <w:szCs w:val="19"/>
          <w:color w:val="auto"/>
        </w:rPr>
        <w:t>”), all as more particularly described in the Existing Lease;</w:t>
      </w:r>
    </w:p>
    <w:p>
      <w:pPr>
        <w:spacing w:after="0" w:line="173" w:lineRule="exact"/>
        <w:rPr>
          <w:rFonts w:ascii="Times New Roman" w:cs="Times New Roman" w:eastAsia="Times New Roman" w:hAnsi="Times New Roman"/>
          <w:sz w:val="19"/>
          <w:szCs w:val="19"/>
          <w:color w:val="auto"/>
        </w:rPr>
      </w:pPr>
    </w:p>
    <w:p>
      <w:pPr>
        <w:jc w:val="both"/>
        <w:ind w:firstLine="640"/>
        <w:spacing w:after="0" w:line="223" w:lineRule="auto"/>
        <w:tabs>
          <w:tab w:leader="none" w:pos="1262"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WHEREAS, Landlord desires to lease to Tenant, and Tenant desires to lease from Landlord, an additional approximately 7,216 rentable square feet of space located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floor of the Building known as Suite 102 (the “</w:t>
      </w:r>
      <w:r>
        <w:rPr>
          <w:rFonts w:ascii="Times New Roman" w:cs="Times New Roman" w:eastAsia="Times New Roman" w:hAnsi="Times New Roman"/>
          <w:sz w:val="19"/>
          <w:szCs w:val="19"/>
          <w:u w:val="single" w:color="auto"/>
          <w:color w:val="auto"/>
        </w:rPr>
        <w:t>Expansion Premises</w:t>
      </w:r>
      <w:r>
        <w:rPr>
          <w:rFonts w:ascii="Times New Roman" w:cs="Times New Roman" w:eastAsia="Times New Roman" w:hAnsi="Times New Roman"/>
          <w:sz w:val="19"/>
          <w:szCs w:val="19"/>
          <w:color w:val="auto"/>
        </w:rPr>
        <w:t xml:space="preserve">”), as more particularly shown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and</w:t>
      </w:r>
    </w:p>
    <w:p>
      <w:pPr>
        <w:spacing w:after="0" w:line="172" w:lineRule="exact"/>
        <w:rPr>
          <w:rFonts w:ascii="Times New Roman" w:cs="Times New Roman" w:eastAsia="Times New Roman" w:hAnsi="Times New Roman"/>
          <w:sz w:val="19"/>
          <w:szCs w:val="19"/>
          <w:color w:val="auto"/>
        </w:rPr>
      </w:pPr>
    </w:p>
    <w:p>
      <w:pPr>
        <w:ind w:firstLine="640"/>
        <w:spacing w:after="0" w:line="284" w:lineRule="auto"/>
        <w:tabs>
          <w:tab w:leader="none" w:pos="1262"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WHEREAS, Landlord and Tenant desire to modify and amend the Existing Lease only in the respects and on the conditions hereinafter stated.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AGREEMENT</w:t>
      </w:r>
    </w:p>
    <w:p>
      <w:pPr>
        <w:spacing w:after="0" w:line="209" w:lineRule="exact"/>
        <w:rPr>
          <w:sz w:val="20"/>
          <w:szCs w:val="20"/>
          <w:color w:val="auto"/>
        </w:rPr>
      </w:pPr>
    </w:p>
    <w:p>
      <w:pPr>
        <w:ind w:firstLine="634"/>
        <w:spacing w:after="0" w:line="269" w:lineRule="auto"/>
        <w:rPr>
          <w:sz w:val="20"/>
          <w:szCs w:val="20"/>
          <w:color w:val="auto"/>
        </w:rPr>
      </w:pPr>
      <w:r>
        <w:rPr>
          <w:rFonts w:ascii="Times New Roman" w:cs="Times New Roman" w:eastAsia="Times New Roman" w:hAnsi="Times New Roman"/>
          <w:sz w:val="19"/>
          <w:szCs w:val="19"/>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45" w:lineRule="exact"/>
        <w:rPr>
          <w:sz w:val="20"/>
          <w:szCs w:val="20"/>
          <w:color w:val="auto"/>
        </w:rPr>
      </w:pPr>
    </w:p>
    <w:p>
      <w:pPr>
        <w:jc w:val="both"/>
        <w:ind w:firstLine="640"/>
        <w:spacing w:after="0" w:line="251" w:lineRule="auto"/>
        <w:tabs>
          <w:tab w:leader="none" w:pos="126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 From and after the date hereof, the term “Lease,” as used in the Existing Lease, shall mean the Existing Lease, as amended by this Amendment.</w:t>
      </w:r>
    </w:p>
    <w:p>
      <w:pPr>
        <w:spacing w:after="0" w:line="160" w:lineRule="exact"/>
        <w:rPr>
          <w:rFonts w:ascii="Times New Roman" w:cs="Times New Roman" w:eastAsia="Times New Roman" w:hAnsi="Times New Roman"/>
          <w:sz w:val="19"/>
          <w:szCs w:val="19"/>
          <w:color w:val="auto"/>
        </w:rPr>
      </w:pPr>
    </w:p>
    <w:p>
      <w:pPr>
        <w:jc w:val="both"/>
        <w:ind w:firstLine="640"/>
        <w:spacing w:after="0" w:line="242" w:lineRule="auto"/>
        <w:tabs>
          <w:tab w:leader="none" w:pos="126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Premises</w:t>
      </w:r>
      <w:r>
        <w:rPr>
          <w:rFonts w:ascii="Times New Roman" w:cs="Times New Roman" w:eastAsia="Times New Roman" w:hAnsi="Times New Roman"/>
          <w:sz w:val="19"/>
          <w:szCs w:val="19"/>
          <w:color w:val="auto"/>
        </w:rPr>
        <w:t xml:space="preserve">. Landlord hereby leases to Tenant, and Tenant hereby leases from Landlord, as of the Expansion Premises Term Commencement Date (as defined below), the Expansion Premises, as shown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for use by Tenant in accordance with the Permitted Use and no other uses without Landlord’s prior written consent. Tenant’s leasing of the Expansion Premises shall be upon all of the same terms and conditions of the Lease applicable to the Existing Premises, except to the extent inconsistent with the provisions of this Amendment. From and after the Expansion Premises Term Commencement Date, all references to the “</w:t>
      </w:r>
      <w:r>
        <w:rPr>
          <w:rFonts w:ascii="Times New Roman" w:cs="Times New Roman" w:eastAsia="Times New Roman" w:hAnsi="Times New Roman"/>
          <w:sz w:val="19"/>
          <w:szCs w:val="19"/>
          <w:u w:val="single" w:color="auto"/>
          <w:color w:val="auto"/>
        </w:rPr>
        <w:t>Premises</w:t>
      </w:r>
      <w:r>
        <w:rPr>
          <w:rFonts w:ascii="Times New Roman" w:cs="Times New Roman" w:eastAsia="Times New Roman" w:hAnsi="Times New Roman"/>
          <w:sz w:val="19"/>
          <w:szCs w:val="19"/>
          <w:color w:val="auto"/>
        </w:rPr>
        <w:t>,” as used in the Lease, shall mean the Existing Premises plus the Expansion Premises.</w:t>
      </w:r>
    </w:p>
    <w:p>
      <w:pPr>
        <w:spacing w:after="0" w:line="172" w:lineRule="exact"/>
        <w:rPr>
          <w:rFonts w:ascii="Times New Roman" w:cs="Times New Roman" w:eastAsia="Times New Roman" w:hAnsi="Times New Roman"/>
          <w:sz w:val="19"/>
          <w:szCs w:val="19"/>
          <w:color w:val="auto"/>
        </w:rPr>
      </w:pPr>
    </w:p>
    <w:p>
      <w:pPr>
        <w:jc w:val="both"/>
        <w:ind w:firstLine="640"/>
        <w:spacing w:after="0" w:line="239" w:lineRule="auto"/>
        <w:tabs>
          <w:tab w:leader="none" w:pos="126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Premises Term Commencement Date</w:t>
      </w:r>
      <w:r>
        <w:rPr>
          <w:rFonts w:ascii="Times New Roman" w:cs="Times New Roman" w:eastAsia="Times New Roman" w:hAnsi="Times New Roman"/>
          <w:sz w:val="19"/>
          <w:szCs w:val="19"/>
          <w:color w:val="auto"/>
        </w:rPr>
        <w:t>. The term with respect to the Expansion Premises shall commence on the later of (i) date upon which Landlord delivers possession of the Expansion Premises as demised to Tenant, and (ii) September 1, 2022 (the “</w:t>
      </w:r>
      <w:r>
        <w:rPr>
          <w:rFonts w:ascii="Times New Roman" w:cs="Times New Roman" w:eastAsia="Times New Roman" w:hAnsi="Times New Roman"/>
          <w:sz w:val="19"/>
          <w:szCs w:val="19"/>
          <w:u w:val="single" w:color="auto"/>
          <w:color w:val="auto"/>
        </w:rPr>
        <w:t>Expansion Premises Term Commencement Date</w:t>
      </w:r>
      <w:r>
        <w:rPr>
          <w:rFonts w:ascii="Times New Roman" w:cs="Times New Roman" w:eastAsia="Times New Roman" w:hAnsi="Times New Roman"/>
          <w:sz w:val="19"/>
          <w:szCs w:val="19"/>
          <w:color w:val="auto"/>
        </w:rPr>
        <w:t>”). Landlord estimates that the Expansion Premises Term Commencement Date will occur on September 1, 2022 (the “</w:t>
      </w:r>
      <w:r>
        <w:rPr>
          <w:rFonts w:ascii="Times New Roman" w:cs="Times New Roman" w:eastAsia="Times New Roman" w:hAnsi="Times New Roman"/>
          <w:sz w:val="19"/>
          <w:szCs w:val="19"/>
          <w:u w:val="single" w:color="auto"/>
          <w:color w:val="auto"/>
        </w:rPr>
        <w:t>Estimated Term Commencement Date</w:t>
      </w:r>
      <w:r>
        <w:rPr>
          <w:rFonts w:ascii="Times New Roman" w:cs="Times New Roman" w:eastAsia="Times New Roman" w:hAnsi="Times New Roman"/>
          <w:sz w:val="19"/>
          <w:szCs w:val="19"/>
          <w:color w:val="auto"/>
        </w:rPr>
        <w:t>”); provided, however, that Tenant agrees that in the event such actual term commencement date has not occurred on or before such Estimated Term Commencement Date for any reason, then, (a) this Lease with respect to the Expansion Premises shall not be void or voidable, (b) Landlord shall not be liable to Tenant for any loss or damage resulting therefrom, and (c) Tenant shall not be responsible for the payment of any Annual Base Rent or Additional Rent with respect to the Expansion Premises until the actual Expansion Premises Rent</w:t>
      </w:r>
    </w:p>
    <w:p>
      <w:pPr>
        <w:sectPr>
          <w:pgSz w:w="11900" w:h="16838" w:orient="portrait"/>
          <w:cols w:equalWidth="0" w:num="1">
            <w:col w:w="11240"/>
          </w:cols>
          <w:pgMar w:left="320" w:top="119" w:right="339" w:bottom="1440" w:gutter="0" w:footer="0" w:header="0"/>
        </w:sectPr>
      </w:pPr>
    </w:p>
    <w:bookmarkStart w:id="48" w:name="page49"/>
    <w:bookmarkEnd w:id="48"/>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Commencement Date occurs. Tenant shall execute and deliver to Landlord a written acknowledgment of the Expansion Premises Term Commencement Date within ten (10) business days after the Expansion Premises Term Commencement Date, in substantially the form attached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Failure to execute and deliver such acknowledgment, however, shall not affect the Expansion Premises Term Commencement Date, or Landlord’s or Tenant’s liability hereunder.</w:t>
      </w:r>
    </w:p>
    <w:p>
      <w:pPr>
        <w:spacing w:after="0" w:line="182" w:lineRule="exact"/>
        <w:rPr>
          <w:sz w:val="20"/>
          <w:szCs w:val="20"/>
          <w:color w:val="auto"/>
        </w:rPr>
      </w:pPr>
    </w:p>
    <w:p>
      <w:pPr>
        <w:jc w:val="both"/>
        <w:ind w:firstLine="640"/>
        <w:spacing w:after="0" w:line="244" w:lineRule="auto"/>
        <w:tabs>
          <w:tab w:leader="none" w:pos="126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Premises Term</w:t>
      </w:r>
      <w:r>
        <w:rPr>
          <w:rFonts w:ascii="Times New Roman" w:cs="Times New Roman" w:eastAsia="Times New Roman" w:hAnsi="Times New Roman"/>
          <w:sz w:val="19"/>
          <w:szCs w:val="19"/>
          <w:color w:val="auto"/>
        </w:rPr>
        <w:t>. The term with respect to the Expansion Premises shall expire on May 24, 2028 (the “</w:t>
      </w:r>
      <w:r>
        <w:rPr>
          <w:rFonts w:ascii="Times New Roman" w:cs="Times New Roman" w:eastAsia="Times New Roman" w:hAnsi="Times New Roman"/>
          <w:sz w:val="19"/>
          <w:szCs w:val="19"/>
          <w:u w:val="single" w:color="auto"/>
          <w:color w:val="auto"/>
        </w:rPr>
        <w:t>Expansion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Expiration Date</w:t>
      </w:r>
      <w:r>
        <w:rPr>
          <w:rFonts w:ascii="Times New Roman" w:cs="Times New Roman" w:eastAsia="Times New Roman" w:hAnsi="Times New Roman"/>
          <w:sz w:val="19"/>
          <w:szCs w:val="19"/>
          <w:color w:val="auto"/>
        </w:rPr>
        <w:t>”), as the same may be further extended pursuant to the terms hereof (the “</w:t>
      </w:r>
      <w:r>
        <w:rPr>
          <w:rFonts w:ascii="Times New Roman" w:cs="Times New Roman" w:eastAsia="Times New Roman" w:hAnsi="Times New Roman"/>
          <w:sz w:val="19"/>
          <w:szCs w:val="19"/>
          <w:u w:val="single" w:color="auto"/>
          <w:color w:val="auto"/>
        </w:rPr>
        <w:t>Expansion Premises Term</w:t>
      </w:r>
      <w:r>
        <w:rPr>
          <w:rFonts w:ascii="Times New Roman" w:cs="Times New Roman" w:eastAsia="Times New Roman" w:hAnsi="Times New Roman"/>
          <w:sz w:val="19"/>
          <w:szCs w:val="19"/>
          <w:color w:val="auto"/>
        </w:rPr>
        <w:t>”), and shall be coterminous with the term with respect to the Existing Premises. The term “Term” as used in the Lease shall refer to such term as defined under the Existing Lease for the Existing Premises or the Expansion Premises Term for the Expansion Premises, as the context so requires.</w:t>
      </w:r>
    </w:p>
    <w:p>
      <w:pPr>
        <w:spacing w:after="0" w:line="169" w:lineRule="exact"/>
        <w:rPr>
          <w:rFonts w:ascii="Times New Roman" w:cs="Times New Roman" w:eastAsia="Times New Roman" w:hAnsi="Times New Roman"/>
          <w:sz w:val="19"/>
          <w:szCs w:val="19"/>
          <w:color w:val="auto"/>
        </w:rPr>
      </w:pPr>
    </w:p>
    <w:p>
      <w:pPr>
        <w:jc w:val="both"/>
        <w:ind w:firstLine="640"/>
        <w:spacing w:after="0" w:line="232" w:lineRule="auto"/>
        <w:tabs>
          <w:tab w:leader="none" w:pos="126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Rent for Expansion Premises</w:t>
      </w:r>
      <w:r>
        <w:rPr>
          <w:rFonts w:ascii="Times New Roman" w:cs="Times New Roman" w:eastAsia="Times New Roman" w:hAnsi="Times New Roman"/>
          <w:sz w:val="19"/>
          <w:szCs w:val="19"/>
          <w:color w:val="auto"/>
        </w:rPr>
        <w:t>. Tenant’s obligation to pay Base Rent for the Expansion Premises shall commence on the later of (i) the date that is two (2) months after the Expansion Premises Term Commencement Date and (ii) November 1, 2022 (such date, the “</w:t>
      </w:r>
      <w:r>
        <w:rPr>
          <w:rFonts w:ascii="Times New Roman" w:cs="Times New Roman" w:eastAsia="Times New Roman" w:hAnsi="Times New Roman"/>
          <w:sz w:val="19"/>
          <w:szCs w:val="19"/>
          <w:u w:val="single" w:color="auto"/>
          <w:color w:val="auto"/>
        </w:rPr>
        <w:t>Expansion Premises Rent Commencement Date</w:t>
      </w:r>
      <w:r>
        <w:rPr>
          <w:rFonts w:ascii="Times New Roman" w:cs="Times New Roman" w:eastAsia="Times New Roman" w:hAnsi="Times New Roman"/>
          <w:sz w:val="19"/>
          <w:szCs w:val="19"/>
          <w:color w:val="auto"/>
        </w:rPr>
        <w:t>”). Monthly and annual installments of Base Rent for the Expansion Premises shall be as set forth in the table below and shall be paid in the same manner as set forth in the Existing Lease. Base Rent for the Expansion Premises shall be subject to an annual upward adjustment of three percent (3%) of the then-current Base Rent. The first such adjustment shall become effective commencing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annual anniversary of the Expansion Premises Rent Commencement Date (the “</w:t>
      </w:r>
      <w:r>
        <w:rPr>
          <w:rFonts w:ascii="Times New Roman" w:cs="Times New Roman" w:eastAsia="Times New Roman" w:hAnsi="Times New Roman"/>
          <w:sz w:val="19"/>
          <w:szCs w:val="19"/>
          <w:u w:val="single" w:color="auto"/>
          <w:color w:val="auto"/>
        </w:rPr>
        <w:t>Expansion Rent Adjustment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and subsequent adjustments shall become effective on every successive annual anniversary of the Expansion Rent Adjustment Date for so long as this Lease with respect to the Expansion Premises continues in effect. The term “Lease Year” as used herein shall refer to a period of twelve (12) calendar months, with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Lease Year commencing on the Expansion Premises Rent Commencement Date.</w:t>
      </w:r>
    </w:p>
    <w:p>
      <w:pPr>
        <w:spacing w:after="0" w:line="123" w:lineRule="exact"/>
        <w:rPr>
          <w:sz w:val="20"/>
          <w:szCs w:val="20"/>
          <w:color w:val="auto"/>
        </w:rPr>
      </w:pPr>
    </w:p>
    <w:tbl>
      <w:tblPr>
        <w:tblLayout w:type="fixed"/>
        <w:tblInd w:w="14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rPr>
              <w:t>Dates</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Square Feet of</w:t>
            </w:r>
          </w:p>
        </w:tc>
        <w:tc>
          <w:tcPr>
            <w:tcW w:w="2720" w:type="dxa"/>
            <w:vAlign w:val="bottom"/>
            <w:tcBorders>
              <w:top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9"/>
                <w:szCs w:val="19"/>
                <w:b w:val="1"/>
                <w:bCs w:val="1"/>
                <w:color w:val="auto"/>
              </w:rPr>
              <w:t>Base Rent per Square Foot of</w:t>
            </w:r>
          </w:p>
        </w:tc>
        <w:tc>
          <w:tcPr>
            <w:tcW w:w="168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rPr>
              <w:t>Monthly Base Rent</w:t>
            </w:r>
          </w:p>
        </w:tc>
        <w:tc>
          <w:tcPr>
            <w:tcW w:w="40" w:type="dxa"/>
            <w:vAlign w:val="bottom"/>
            <w:tcBorders>
              <w:top w:val="single" w:sz="8" w:color="auto"/>
            </w:tcBorders>
          </w:tcPr>
          <w:p>
            <w:pPr>
              <w:spacing w:after="0"/>
              <w:rPr>
                <w:sz w:val="19"/>
                <w:szCs w:val="19"/>
                <w:color w:val="auto"/>
              </w:rPr>
            </w:pPr>
          </w:p>
        </w:tc>
        <w:tc>
          <w:tcPr>
            <w:tcW w:w="16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Annual Base Rent*</w:t>
            </w:r>
          </w:p>
        </w:tc>
      </w:tr>
      <w:tr>
        <w:trPr>
          <w:trHeight w:val="205"/>
        </w:trPr>
        <w:tc>
          <w:tcPr>
            <w:tcW w:w="600" w:type="dxa"/>
            <w:vAlign w:val="bottom"/>
            <w:tcBorders>
              <w:lef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b w:val="1"/>
                <w:bCs w:val="1"/>
                <w:color w:val="auto"/>
              </w:rPr>
              <w:t>Rentable Area</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jc w:val="center"/>
              <w:ind w:right="620"/>
              <w:spacing w:after="0" w:line="204" w:lineRule="exact"/>
              <w:rPr>
                <w:sz w:val="20"/>
                <w:szCs w:val="20"/>
                <w:color w:val="auto"/>
              </w:rPr>
            </w:pPr>
            <w:r>
              <w:rPr>
                <w:rFonts w:ascii="Times New Roman" w:cs="Times New Roman" w:eastAsia="Times New Roman" w:hAnsi="Times New Roman"/>
                <w:sz w:val="19"/>
                <w:szCs w:val="19"/>
                <w:b w:val="1"/>
                <w:bCs w:val="1"/>
                <w:color w:val="auto"/>
              </w:rPr>
              <w:t>Rentable Area</w:t>
            </w: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33"/>
        </w:trPr>
        <w:tc>
          <w:tcPr>
            <w:tcW w:w="6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54"/>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1</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$98.00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$58,930.67</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$707,168.00</w:t>
            </w:r>
          </w:p>
        </w:tc>
        <w:tc>
          <w:tcPr>
            <w:tcW w:w="60" w:type="dxa"/>
            <w:vAlign w:val="bottom"/>
            <w:tcBorders>
              <w:bottom w:val="single" w:sz="8" w:color="auto"/>
              <w:right w:val="single" w:sz="8" w:color="auto"/>
            </w:tcBorders>
          </w:tcPr>
          <w:p>
            <w:pPr>
              <w:spacing w:after="0"/>
              <w:rPr>
                <w:sz w:val="22"/>
                <w:szCs w:val="22"/>
                <w:color w:val="auto"/>
              </w:rPr>
            </w:pPr>
          </w:p>
        </w:tc>
      </w:tr>
      <w:tr>
        <w:trPr>
          <w:trHeight w:val="258"/>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2</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$100.94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$60,698.59</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$728,383.04</w:t>
            </w:r>
          </w:p>
        </w:tc>
        <w:tc>
          <w:tcPr>
            <w:tcW w:w="60" w:type="dxa"/>
            <w:vAlign w:val="bottom"/>
            <w:tcBorders>
              <w:bottom w:val="single" w:sz="8" w:color="auto"/>
              <w:right w:val="single" w:sz="8" w:color="auto"/>
            </w:tcBorders>
          </w:tcPr>
          <w:p>
            <w:pPr>
              <w:spacing w:after="0"/>
              <w:rPr>
                <w:sz w:val="22"/>
                <w:szCs w:val="22"/>
                <w:color w:val="auto"/>
              </w:rPr>
            </w:pPr>
          </w:p>
        </w:tc>
      </w:tr>
      <w:tr>
        <w:trPr>
          <w:trHeight w:val="258"/>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3</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$103.97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$62,520.63</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$750,247.52</w:t>
            </w:r>
          </w:p>
        </w:tc>
        <w:tc>
          <w:tcPr>
            <w:tcW w:w="60" w:type="dxa"/>
            <w:vAlign w:val="bottom"/>
            <w:tcBorders>
              <w:bottom w:val="single" w:sz="8" w:color="auto"/>
              <w:right w:val="single" w:sz="8" w:color="auto"/>
            </w:tcBorders>
          </w:tcPr>
          <w:p>
            <w:pPr>
              <w:spacing w:after="0"/>
              <w:rPr>
                <w:sz w:val="22"/>
                <w:szCs w:val="22"/>
                <w:color w:val="auto"/>
              </w:rPr>
            </w:pPr>
          </w:p>
        </w:tc>
      </w:tr>
      <w:tr>
        <w:trPr>
          <w:trHeight w:val="258"/>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4</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$107.09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$64,396.79</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$772,761.44</w:t>
            </w:r>
          </w:p>
        </w:tc>
        <w:tc>
          <w:tcPr>
            <w:tcW w:w="60" w:type="dxa"/>
            <w:vAlign w:val="bottom"/>
            <w:tcBorders>
              <w:bottom w:val="single" w:sz="8" w:color="auto"/>
              <w:right w:val="single" w:sz="8" w:color="auto"/>
            </w:tcBorders>
          </w:tcPr>
          <w:p>
            <w:pPr>
              <w:spacing w:after="0"/>
              <w:rPr>
                <w:sz w:val="22"/>
                <w:szCs w:val="22"/>
                <w:color w:val="auto"/>
              </w:rPr>
            </w:pPr>
          </w:p>
        </w:tc>
      </w:tr>
      <w:tr>
        <w:trPr>
          <w:trHeight w:val="258"/>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5</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$110.30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$66,327.07</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$795924.80</w:t>
            </w:r>
          </w:p>
        </w:tc>
        <w:tc>
          <w:tcPr>
            <w:tcW w:w="60" w:type="dxa"/>
            <w:vAlign w:val="bottom"/>
            <w:tcBorders>
              <w:bottom w:val="single" w:sz="8" w:color="auto"/>
              <w:right w:val="single" w:sz="8" w:color="auto"/>
            </w:tcBorders>
          </w:tcPr>
          <w:p>
            <w:pPr>
              <w:spacing w:after="0"/>
              <w:rPr>
                <w:sz w:val="22"/>
                <w:szCs w:val="22"/>
                <w:color w:val="auto"/>
              </w:rPr>
            </w:pPr>
          </w:p>
        </w:tc>
      </w:tr>
      <w:tr>
        <w:trPr>
          <w:trHeight w:val="258"/>
        </w:trPr>
        <w:tc>
          <w:tcPr>
            <w:tcW w:w="1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Lease Year 6</w:t>
            </w:r>
          </w:p>
        </w:tc>
        <w:tc>
          <w:tcPr>
            <w:tcW w:w="1440" w:type="dxa"/>
            <w:vAlign w:val="bottom"/>
            <w:tcBorders>
              <w:bottom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7,216</w:t>
            </w:r>
          </w:p>
        </w:tc>
        <w:tc>
          <w:tcPr>
            <w:tcW w:w="2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9"/>
                <w:szCs w:val="19"/>
                <w:color w:val="auto"/>
              </w:rPr>
              <w:t>$113.61 annually</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$68,317.48</w:t>
            </w:r>
          </w:p>
        </w:tc>
        <w:tc>
          <w:tcPr>
            <w:tcW w:w="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$819,809.76</w:t>
            </w:r>
          </w:p>
        </w:tc>
        <w:tc>
          <w:tcPr>
            <w:tcW w:w="60" w:type="dxa"/>
            <w:vAlign w:val="bottom"/>
            <w:tcBorders>
              <w:bottom w:val="single" w:sz="8" w:color="auto"/>
              <w:right w:val="single" w:sz="8" w:color="auto"/>
            </w:tcBorders>
          </w:tcPr>
          <w:p>
            <w:pPr>
              <w:spacing w:after="0"/>
              <w:rPr>
                <w:sz w:val="22"/>
                <w:szCs w:val="2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 be prorated for partial year.</w:t>
      </w:r>
    </w:p>
    <w:p>
      <w:pPr>
        <w:spacing w:after="0" w:line="207" w:lineRule="exact"/>
        <w:rPr>
          <w:sz w:val="20"/>
          <w:szCs w:val="20"/>
          <w:color w:val="auto"/>
        </w:rPr>
      </w:pPr>
    </w:p>
    <w:p>
      <w:pPr>
        <w:jc w:val="both"/>
        <w:ind w:firstLine="640"/>
        <w:spacing w:after="0" w:line="242" w:lineRule="auto"/>
        <w:tabs>
          <w:tab w:leader="none" w:pos="126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Rent for the Expansion Premises</w:t>
      </w:r>
      <w:r>
        <w:rPr>
          <w:rFonts w:ascii="Times New Roman" w:cs="Times New Roman" w:eastAsia="Times New Roman" w:hAnsi="Times New Roman"/>
          <w:sz w:val="19"/>
          <w:szCs w:val="19"/>
          <w:color w:val="auto"/>
        </w:rPr>
        <w:t xml:space="preserve">. Except as provided in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with respect to Operating Expenses and the Property Management Fee, Tenant’s obligation to pay Additional Rent with respect to the Expansion Premises shall commence on the Expansion Premises Term Commencement Date. Notwithstanding the foregoing, Tenant shall not be responsible to pay Tenant’s Adjusted Share of Operating Expenses for any Operating Expenses or the Property Management Fee applicable solely to the Expansion Premises during the period between the Expansion Premises Term Commencement Date and the Expansion Premises Rent Commencement Date. Tenant’s obligation to pay Additional Rent with respect to the Existing Premises shall continue through the Term in accordance with the Lease.</w:t>
      </w:r>
    </w:p>
    <w:p>
      <w:pPr>
        <w:spacing w:after="0" w:line="172" w:lineRule="exact"/>
        <w:rPr>
          <w:rFonts w:ascii="Times New Roman" w:cs="Times New Roman" w:eastAsia="Times New Roman" w:hAnsi="Times New Roman"/>
          <w:sz w:val="19"/>
          <w:szCs w:val="19"/>
          <w:color w:val="auto"/>
        </w:rPr>
      </w:pPr>
    </w:p>
    <w:p>
      <w:pPr>
        <w:jc w:val="both"/>
        <w:ind w:firstLine="640"/>
        <w:spacing w:after="0" w:line="251" w:lineRule="auto"/>
        <w:tabs>
          <w:tab w:leader="none" w:pos="126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Security Deposit</w:t>
      </w:r>
      <w:r>
        <w:rPr>
          <w:rFonts w:ascii="Times New Roman" w:cs="Times New Roman" w:eastAsia="Times New Roman" w:hAnsi="Times New Roman"/>
          <w:sz w:val="19"/>
          <w:szCs w:val="19"/>
          <w:color w:val="auto"/>
        </w:rPr>
        <w:t xml:space="preserve">. The Security Deposit set forth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of the Existing Lease shall be increased by Two Hundred Twenty Thousand Seven Hundred and Ten Dollars ($220,710.00) (the “</w:t>
      </w:r>
      <w:r>
        <w:rPr>
          <w:rFonts w:ascii="Times New Roman" w:cs="Times New Roman" w:eastAsia="Times New Roman" w:hAnsi="Times New Roman"/>
          <w:sz w:val="19"/>
          <w:szCs w:val="19"/>
          <w:u w:val="single" w:color="auto"/>
          <w:color w:val="auto"/>
        </w:rPr>
        <w:t>Additional Security Deposit</w:t>
      </w:r>
      <w:r>
        <w:rPr>
          <w:rFonts w:ascii="Times New Roman" w:cs="Times New Roman" w:eastAsia="Times New Roman" w:hAnsi="Times New Roman"/>
          <w:sz w:val="19"/>
          <w:szCs w:val="19"/>
          <w:color w:val="auto"/>
        </w:rPr>
        <w:t>”) to One Million Six Hundred Thousand Dollars ($1,600,000.00).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6" w:right="339" w:bottom="1440" w:gutter="0" w:footer="0" w:header="0"/>
        </w:sectPr>
      </w:pPr>
    </w:p>
    <w:bookmarkStart w:id="49" w:name="page50"/>
    <w:bookmarkEnd w:id="49"/>
    <w:p>
      <w:pPr>
        <w:jc w:val="both"/>
        <w:ind w:right="100"/>
        <w:spacing w:after="0" w:line="242" w:lineRule="auto"/>
        <w:rPr>
          <w:sz w:val="20"/>
          <w:szCs w:val="20"/>
          <w:color w:val="auto"/>
        </w:rPr>
      </w:pPr>
      <w:r>
        <w:rPr>
          <w:rFonts w:ascii="Times New Roman" w:cs="Times New Roman" w:eastAsia="Times New Roman" w:hAnsi="Times New Roman"/>
          <w:sz w:val="19"/>
          <w:szCs w:val="19"/>
          <w:color w:val="auto"/>
        </w:rPr>
        <w:t xml:space="preserve">avoidance of doubt, the Additional Security Deposit shall be considered part of the Security Deposit for all purposes under the Lease. Tenant may deliver the Additional Security Deposit in the form of cash or an amendment to the existing L/C Security or a separate L/C Security, in either case, complying with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of the Existing Lease. Nothing herein shall modify Tenant rights under </w:t>
      </w:r>
      <w:r>
        <w:rPr>
          <w:rFonts w:ascii="Times New Roman" w:cs="Times New Roman" w:eastAsia="Times New Roman" w:hAnsi="Times New Roman"/>
          <w:sz w:val="19"/>
          <w:szCs w:val="19"/>
          <w:u w:val="single" w:color="auto"/>
          <w:color w:val="auto"/>
        </w:rPr>
        <w:t>Section 11.7</w:t>
      </w:r>
      <w:r>
        <w:rPr>
          <w:rFonts w:ascii="Times New Roman" w:cs="Times New Roman" w:eastAsia="Times New Roman" w:hAnsi="Times New Roman"/>
          <w:sz w:val="19"/>
          <w:szCs w:val="19"/>
          <w:color w:val="auto"/>
        </w:rPr>
        <w:t xml:space="preserve"> of the Existing Lease, subject to Tenant’s compliance with the SD Reduction Obligation, to decrease the Security Deposit as of the third anniversary of the original Rent Commencement Date under the Existing Lease, except that the Reduced Security Deposit shall be One Million Three Hundred Eleven Thousand Three Hundred Eighty-Two Dollars ($1,311,382.00).</w:t>
      </w:r>
    </w:p>
    <w:p>
      <w:pPr>
        <w:spacing w:after="0" w:line="172" w:lineRule="exact"/>
        <w:rPr>
          <w:sz w:val="20"/>
          <w:szCs w:val="20"/>
          <w:color w:val="auto"/>
        </w:rPr>
      </w:pPr>
    </w:p>
    <w:p>
      <w:pPr>
        <w:ind w:right="100" w:firstLine="640"/>
        <w:spacing w:after="0" w:line="269" w:lineRule="auto"/>
        <w:tabs>
          <w:tab w:leader="none" w:pos="126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Shares</w:t>
      </w:r>
      <w:r>
        <w:rPr>
          <w:rFonts w:ascii="Times New Roman" w:cs="Times New Roman" w:eastAsia="Times New Roman" w:hAnsi="Times New Roman"/>
          <w:sz w:val="19"/>
          <w:szCs w:val="19"/>
          <w:color w:val="auto"/>
        </w:rPr>
        <w:t xml:space="preserve">. Effective as of the Expansion Premises Term Commencement Date, the table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of the Existing Lease shall be deleted and replaced with the following table:</w:t>
      </w:r>
    </w:p>
    <w:p>
      <w:pPr>
        <w:spacing w:after="0" w:line="174" w:lineRule="exact"/>
        <w:rPr>
          <w:sz w:val="20"/>
          <w:szCs w:val="20"/>
          <w:color w:val="auto"/>
        </w:rPr>
      </w:pPr>
    </w:p>
    <w:tbl>
      <w:tblPr>
        <w:tblLayout w:type="fixed"/>
        <w:tblInd w:w="970" w:type="dxa"/>
        <w:tblCellMar>
          <w:top w:w="0" w:type="dxa"/>
          <w:left w:w="0" w:type="dxa"/>
          <w:bottom w:w="0" w:type="dxa"/>
          <w:right w:w="0" w:type="dxa"/>
        </w:tblCellMar>
      </w:tblPr>
      <w:tr>
        <w:trPr>
          <w:trHeight w:val="225"/>
        </w:trPr>
        <w:tc>
          <w:tcPr>
            <w:tcW w:w="528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Definition or Provision</w:t>
            </w:r>
          </w:p>
        </w:tc>
        <w:tc>
          <w:tcPr>
            <w:tcW w:w="280" w:type="dxa"/>
            <w:vAlign w:val="bottom"/>
            <w:tcBorders>
              <w:top w:val="single" w:sz="8" w:color="auto"/>
            </w:tcBorders>
          </w:tcPr>
          <w:p>
            <w:pPr>
              <w:spacing w:after="0"/>
              <w:rPr>
                <w:sz w:val="19"/>
                <w:szCs w:val="19"/>
                <w:color w:val="auto"/>
              </w:rPr>
            </w:pPr>
          </w:p>
        </w:tc>
        <w:tc>
          <w:tcPr>
            <w:tcW w:w="482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Means the Following (As of the Expansion Premises Term</w:t>
            </w:r>
          </w:p>
        </w:tc>
      </w:tr>
      <w:tr>
        <w:trPr>
          <w:trHeight w:val="192"/>
        </w:trPr>
        <w:tc>
          <w:tcPr>
            <w:tcW w:w="1680" w:type="dxa"/>
            <w:vAlign w:val="bottom"/>
            <w:tcBorders>
              <w:left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2"/>
          </w:tcPr>
          <w:p>
            <w:pPr>
              <w:jc w:val="center"/>
              <w:ind w:right="1460"/>
              <w:spacing w:after="0" w:line="192" w:lineRule="exact"/>
              <w:rPr>
                <w:sz w:val="20"/>
                <w:szCs w:val="20"/>
                <w:color w:val="auto"/>
              </w:rPr>
            </w:pPr>
            <w:r>
              <w:rPr>
                <w:rFonts w:ascii="Times New Roman" w:cs="Times New Roman" w:eastAsia="Times New Roman" w:hAnsi="Times New Roman"/>
                <w:sz w:val="19"/>
                <w:szCs w:val="19"/>
                <w:b w:val="1"/>
                <w:bCs w:val="1"/>
                <w:color w:val="auto"/>
              </w:rPr>
              <w:t>Commencement Date)</w:t>
            </w:r>
          </w:p>
        </w:tc>
        <w:tc>
          <w:tcPr>
            <w:tcW w:w="60" w:type="dxa"/>
            <w:vAlign w:val="bottom"/>
          </w:tcPr>
          <w:p>
            <w:pPr>
              <w:spacing w:after="0"/>
              <w:rPr>
                <w:sz w:val="16"/>
                <w:szCs w:val="16"/>
                <w:color w:val="auto"/>
              </w:rPr>
            </w:pPr>
          </w:p>
        </w:tc>
      </w:tr>
      <w:tr>
        <w:trPr>
          <w:trHeight w:val="46"/>
        </w:trPr>
        <w:tc>
          <w:tcPr>
            <w:tcW w:w="1680" w:type="dxa"/>
            <w:vAlign w:val="bottom"/>
            <w:tcBorders>
              <w:left w:val="single" w:sz="8" w:color="auto"/>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54"/>
        </w:trPr>
        <w:tc>
          <w:tcPr>
            <w:tcW w:w="5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Approximate Rentable Area of Premises*</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3"/>
          </w:tcPr>
          <w:p>
            <w:pPr>
              <w:jc w:val="center"/>
              <w:ind w:right="1540"/>
              <w:spacing w:after="0"/>
              <w:rPr>
                <w:sz w:val="20"/>
                <w:szCs w:val="20"/>
                <w:color w:val="auto"/>
              </w:rPr>
            </w:pPr>
            <w:r>
              <w:rPr>
                <w:rFonts w:ascii="Times New Roman" w:cs="Times New Roman" w:eastAsia="Times New Roman" w:hAnsi="Times New Roman"/>
                <w:sz w:val="19"/>
                <w:szCs w:val="19"/>
                <w:color w:val="auto"/>
              </w:rPr>
              <w:t>32,294 square feet</w:t>
            </w:r>
          </w:p>
        </w:tc>
      </w:tr>
      <w:tr>
        <w:trPr>
          <w:trHeight w:val="258"/>
        </w:trPr>
        <w:tc>
          <w:tcPr>
            <w:tcW w:w="5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Approximate Rentable Area of Expansion Premises only</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3"/>
          </w:tcPr>
          <w:p>
            <w:pPr>
              <w:jc w:val="center"/>
              <w:ind w:right="1520"/>
              <w:spacing w:after="0"/>
              <w:rPr>
                <w:sz w:val="20"/>
                <w:szCs w:val="20"/>
                <w:color w:val="auto"/>
              </w:rPr>
            </w:pPr>
            <w:r>
              <w:rPr>
                <w:rFonts w:ascii="Times New Roman" w:cs="Times New Roman" w:eastAsia="Times New Roman" w:hAnsi="Times New Roman"/>
                <w:sz w:val="19"/>
                <w:szCs w:val="19"/>
                <w:color w:val="auto"/>
              </w:rPr>
              <w:t>7,216 square feet</w:t>
            </w:r>
          </w:p>
        </w:tc>
      </w:tr>
      <w:tr>
        <w:trPr>
          <w:trHeight w:val="258"/>
        </w:trPr>
        <w:tc>
          <w:tcPr>
            <w:tcW w:w="5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Approximate Rentable Area of Building</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3"/>
          </w:tcPr>
          <w:p>
            <w:pPr>
              <w:jc w:val="center"/>
              <w:ind w:right="1520"/>
              <w:spacing w:after="0"/>
              <w:rPr>
                <w:sz w:val="20"/>
                <w:szCs w:val="20"/>
                <w:color w:val="auto"/>
              </w:rPr>
            </w:pPr>
            <w:r>
              <w:rPr>
                <w:rFonts w:ascii="Times New Roman" w:cs="Times New Roman" w:eastAsia="Times New Roman" w:hAnsi="Times New Roman"/>
                <w:sz w:val="19"/>
                <w:szCs w:val="19"/>
                <w:color w:val="auto"/>
              </w:rPr>
              <w:t>124,349 square feet</w:t>
            </w:r>
          </w:p>
        </w:tc>
      </w:tr>
      <w:tr>
        <w:trPr>
          <w:trHeight w:val="258"/>
        </w:trPr>
        <w:tc>
          <w:tcPr>
            <w:tcW w:w="5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Tenant’s Pro Rata Share of Building</w:t>
            </w:r>
          </w:p>
        </w:tc>
        <w:tc>
          <w:tcPr>
            <w:tcW w:w="3580" w:type="dxa"/>
            <w:vAlign w:val="bottom"/>
            <w:tcBorders>
              <w:bottom w:val="single" w:sz="8" w:color="auto"/>
            </w:tcBorders>
            <w:gridSpan w:val="3"/>
          </w:tcPr>
          <w:p>
            <w:pPr>
              <w:jc w:val="center"/>
              <w:ind w:left="1643"/>
              <w:spacing w:after="0"/>
              <w:rPr>
                <w:sz w:val="20"/>
                <w:szCs w:val="20"/>
                <w:color w:val="auto"/>
              </w:rPr>
            </w:pPr>
            <w:r>
              <w:rPr>
                <w:rFonts w:ascii="Times New Roman" w:cs="Times New Roman" w:eastAsia="Times New Roman" w:hAnsi="Times New Roman"/>
                <w:sz w:val="19"/>
                <w:szCs w:val="19"/>
                <w:color w:val="auto"/>
              </w:rPr>
              <w:t>25.97%</w:t>
            </w:r>
          </w:p>
        </w:tc>
        <w:tc>
          <w:tcPr>
            <w:tcW w:w="1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00" w:firstLine="640"/>
        <w:spacing w:after="0" w:line="235" w:lineRule="auto"/>
        <w:tabs>
          <w:tab w:leader="none" w:pos="126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Tenant Improvements</w:t>
      </w:r>
      <w:r>
        <w:rPr>
          <w:rFonts w:ascii="Times New Roman" w:cs="Times New Roman" w:eastAsia="Times New Roman" w:hAnsi="Times New Roman"/>
          <w:sz w:val="19"/>
          <w:szCs w:val="19"/>
          <w:color w:val="auto"/>
        </w:rPr>
        <w:t>. Tenant shall cause the work described in the Expansion TI Work Letter attached hereto as Exhibit B (the “</w:t>
      </w:r>
      <w:r>
        <w:rPr>
          <w:rFonts w:ascii="Times New Roman" w:cs="Times New Roman" w:eastAsia="Times New Roman" w:hAnsi="Times New Roman"/>
          <w:sz w:val="19"/>
          <w:szCs w:val="19"/>
          <w:u w:val="single" w:color="auto"/>
          <w:color w:val="auto"/>
        </w:rPr>
        <w:t>Expansion Tenant Improvements</w:t>
      </w:r>
      <w:r>
        <w:rPr>
          <w:rFonts w:ascii="Times New Roman" w:cs="Times New Roman" w:eastAsia="Times New Roman" w:hAnsi="Times New Roman"/>
          <w:sz w:val="19"/>
          <w:szCs w:val="19"/>
          <w:color w:val="auto"/>
        </w:rPr>
        <w:t>”) to be constructed in the Premises at a cost to Landlord not to exceed Thirty Six Thousand and Eighty Dollars ($36,080.00) (based upon Five Dollars ($5.00) per square foot of Rentable Area of the Expansion Premises) (the “</w:t>
      </w:r>
      <w:r>
        <w:rPr>
          <w:rFonts w:ascii="Times New Roman" w:cs="Times New Roman" w:eastAsia="Times New Roman" w:hAnsi="Times New Roman"/>
          <w:sz w:val="19"/>
          <w:szCs w:val="19"/>
          <w:u w:val="single" w:color="auto"/>
          <w:color w:val="auto"/>
        </w:rPr>
        <w:t>Expansion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TI Allowance</w:t>
      </w:r>
      <w:r>
        <w:rPr>
          <w:rFonts w:ascii="Times New Roman" w:cs="Times New Roman" w:eastAsia="Times New Roman" w:hAnsi="Times New Roman"/>
          <w:sz w:val="19"/>
          <w:szCs w:val="19"/>
          <w:color w:val="auto"/>
        </w:rPr>
        <w:t>”). The Expansion TI Allowance may be applied to the costs of (m) construction, (n) project review by Landlord (which fee shall equal three percent (3%) of the Expansion TI Allowance), (o) commissioning of mechanical, electrical and plumbing systems by a licensed, qualified commissioning agent hired by Tenant, and review of such party’s commissioning report by a licensed, qualified commissioning agent hired by Landlord, (p) space planning, architect, engineering and other related services performed by third parties unaffiliated with Tenant, (q) building permits and other taxes, fees, charges and levies by Governmental Authorities for permits or for inspections of the Expansion Tenant Improvements, and (r) costs and expenses for labor, material, equipment and fixtures (including lab casework). In no event shall the Expansion TI Allowance be used for (v) the cost of work that is not authorized by the Approved Plans (as defined in the Expansion TI Work Letter) or otherwise approved in writing by Landlord, (w) payments to Tenant or any affiliates of Tenant, (x) the purchase of any furniture, personal property or other non-building system equipment, (y) costs arising from any default by Tenant of its obligations under this Lease or (z) costs that are recoverable by Tenant from a third party (e.g., insurers, warrantors, or tortfeasors). Tenant shall have until twenty-four (24) months after the Expansion Premises Term Commencement Date (the “</w:t>
      </w:r>
      <w:r>
        <w:rPr>
          <w:rFonts w:ascii="Times New Roman" w:cs="Times New Roman" w:eastAsia="Times New Roman" w:hAnsi="Times New Roman"/>
          <w:sz w:val="19"/>
          <w:szCs w:val="19"/>
          <w:u w:val="single" w:color="auto"/>
          <w:color w:val="auto"/>
        </w:rPr>
        <w:t>Expansion TI Deadline</w:t>
      </w:r>
      <w:r>
        <w:rPr>
          <w:rFonts w:ascii="Times New Roman" w:cs="Times New Roman" w:eastAsia="Times New Roman" w:hAnsi="Times New Roman"/>
          <w:sz w:val="19"/>
          <w:szCs w:val="19"/>
          <w:color w:val="auto"/>
        </w:rPr>
        <w:t>”) to submit Fund Requests (as defined in the Expansion TI Work Letter) to Landlord for disbursement of the unused portion of the Expansion TI Allowance, after which date Landlord’s obligation to fund any such costs for which Tenant has not submitted a Fund Request to Landlord shall expire. In no event shall any unused Expansion TI Allowance entitle Tenant to a credit against Rent payable under this Lease. Landlord shall have the right to review and approve the selection of the architect, engineer, general contractor and major subcontractors, which approval shall not be unreasonably withheld, conditioned or delayed. Landlord may refuse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 in Watertown, MA or Cambridge, 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320" w:top="1386" w:right="239" w:bottom="1440" w:gutter="0" w:footer="0" w:header="0"/>
        </w:sectPr>
      </w:pPr>
    </w:p>
    <w:bookmarkStart w:id="50" w:name="page51"/>
    <w:bookmarkEnd w:id="50"/>
    <w:p>
      <w:pPr>
        <w:jc w:val="both"/>
        <w:ind w:firstLine="640"/>
        <w:spacing w:after="0" w:line="237" w:lineRule="auto"/>
        <w:tabs>
          <w:tab w:leader="none" w:pos="12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 of Expansion Premises</w:t>
      </w:r>
      <w:r>
        <w:rPr>
          <w:rFonts w:ascii="Times New Roman" w:cs="Times New Roman" w:eastAsia="Times New Roman" w:hAnsi="Times New Roman"/>
          <w:sz w:val="19"/>
          <w:szCs w:val="19"/>
          <w:color w:val="auto"/>
        </w:rPr>
        <w:t>. Tenant acknowledges that neither Landlord nor any agent of Landlord has made any representation or warranty with respect to the condition of the Expansion Premises, the Building or the Project, or with respect to the suitability of the Expansion Premises, the Building or the Project for the conduct of Tenant’s business, except that the Expansion Premises have been decommissioned by the prior tenant in accordance with American National Standards Institute’s Laboratory Decommissioning guidelines (ANSI/AIHA Z9.11-2008). Tenant acknowledges that (a) it is fully familiar with the condition of the Expansion Premises and, notwithstanding anything contained in the Lease to the contrary, agrees to take the same in its condition “as is” as of the Expansion Premises Term Commencement Date, broom clean and free of any prior occupant(s) and such party’s property and (b) prior to the Expansion Premises Term Commencement Date, and subject to Landlord’s obligations expressly set forth elsewhere in this Amendment, Landlord shall have no obligation to alter, repair or otherwise prepare the Expansion Premises for Tenant’s occupancy or to pay for or construct any improvements to the Expansion Premises. Tenant’s taking of possession of the Expansion Premises shall, except as otherwise agreed to in this Amendment or in a separate writing by Landlord and Tenant, conclusively establish that the Expansion Premises, the Building and the Project were at such time in good, sanitary and satisfactory condition and repair.</w:t>
      </w:r>
    </w:p>
    <w:p>
      <w:pPr>
        <w:spacing w:after="0" w:line="187" w:lineRule="exact"/>
        <w:rPr>
          <w:rFonts w:ascii="Times New Roman" w:cs="Times New Roman" w:eastAsia="Times New Roman" w:hAnsi="Times New Roman"/>
          <w:sz w:val="19"/>
          <w:szCs w:val="19"/>
          <w:color w:val="auto"/>
        </w:rPr>
      </w:pPr>
    </w:p>
    <w:p>
      <w:pPr>
        <w:jc w:val="both"/>
        <w:ind w:firstLine="640"/>
        <w:spacing w:after="0" w:line="251" w:lineRule="auto"/>
        <w:tabs>
          <w:tab w:leader="none" w:pos="125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 to Extend Term</w:t>
      </w:r>
      <w:r>
        <w:rPr>
          <w:rFonts w:ascii="Times New Roman" w:cs="Times New Roman" w:eastAsia="Times New Roman" w:hAnsi="Times New Roman"/>
          <w:sz w:val="19"/>
          <w:szCs w:val="19"/>
          <w:color w:val="auto"/>
        </w:rPr>
        <w:t xml:space="preserve">. Landlord and Tenant agree that the existing Option to extend the Term as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of the Existing Lease remains in full force and effect. For the avoidance of doubt, the Option shall apply to the entire Premises (and not less than the entire Premises), including the Expansion Premises.</w:t>
      </w:r>
    </w:p>
    <w:p>
      <w:pPr>
        <w:spacing w:after="0" w:line="160" w:lineRule="exact"/>
        <w:rPr>
          <w:rFonts w:ascii="Times New Roman" w:cs="Times New Roman" w:eastAsia="Times New Roman" w:hAnsi="Times New Roman"/>
          <w:sz w:val="19"/>
          <w:szCs w:val="19"/>
          <w:color w:val="auto"/>
        </w:rPr>
      </w:pPr>
    </w:p>
    <w:p>
      <w:pPr>
        <w:jc w:val="both"/>
        <w:ind w:firstLine="640"/>
        <w:spacing w:after="0" w:line="244" w:lineRule="auto"/>
        <w:tabs>
          <w:tab w:leader="none" w:pos="12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Notwithstanding anything to the contrary set forth in the Existing Lease, the liability insurance required to be purchased and maintained by Tenant and any of its contractors and subcontractors pursuant to the Lease shall name Landlord, BioMed Realty L.P., and their respective officers, employees, directors, representatives, agents, general partners, members, subsidiaries, affiliates and Lenders (collectively with Landlord, the “</w:t>
      </w:r>
      <w:r>
        <w:rPr>
          <w:rFonts w:ascii="Times New Roman" w:cs="Times New Roman" w:eastAsia="Times New Roman" w:hAnsi="Times New Roman"/>
          <w:sz w:val="19"/>
          <w:szCs w:val="19"/>
          <w:u w:val="single" w:color="auto"/>
          <w:color w:val="auto"/>
        </w:rPr>
        <w:t>Landlord Parties</w:t>
      </w:r>
      <w:r>
        <w:rPr>
          <w:rFonts w:ascii="Times New Roman" w:cs="Times New Roman" w:eastAsia="Times New Roman" w:hAnsi="Times New Roman"/>
          <w:sz w:val="19"/>
          <w:szCs w:val="19"/>
          <w:color w:val="auto"/>
        </w:rPr>
        <w:t>”) as additional insureds on their respective insurance policies.</w:t>
      </w:r>
    </w:p>
    <w:p>
      <w:pPr>
        <w:spacing w:after="0" w:line="169" w:lineRule="exact"/>
        <w:rPr>
          <w:rFonts w:ascii="Times New Roman" w:cs="Times New Roman" w:eastAsia="Times New Roman" w:hAnsi="Times New Roman"/>
          <w:sz w:val="19"/>
          <w:szCs w:val="19"/>
          <w:color w:val="auto"/>
        </w:rPr>
      </w:pPr>
    </w:p>
    <w:p>
      <w:pPr>
        <w:jc w:val="both"/>
        <w:ind w:firstLine="640"/>
        <w:spacing w:after="0" w:line="242" w:lineRule="auto"/>
        <w:tabs>
          <w:tab w:leader="none" w:pos="12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Parking</w:t>
      </w:r>
      <w:r>
        <w:rPr>
          <w:rFonts w:ascii="Times New Roman" w:cs="Times New Roman" w:eastAsia="Times New Roman" w:hAnsi="Times New Roman"/>
          <w:sz w:val="19"/>
          <w:szCs w:val="19"/>
          <w:color w:val="auto"/>
        </w:rPr>
        <w:t xml:space="preserve">. In addition to the parking rights set forth in </w:t>
      </w:r>
      <w:r>
        <w:rPr>
          <w:rFonts w:ascii="Times New Roman" w:cs="Times New Roman" w:eastAsia="Times New Roman" w:hAnsi="Times New Roman"/>
          <w:sz w:val="19"/>
          <w:szCs w:val="19"/>
          <w:u w:val="single" w:color="auto"/>
          <w:color w:val="auto"/>
        </w:rPr>
        <w:t>Section 13.4</w:t>
      </w:r>
      <w:r>
        <w:rPr>
          <w:rFonts w:ascii="Times New Roman" w:cs="Times New Roman" w:eastAsia="Times New Roman" w:hAnsi="Times New Roman"/>
          <w:sz w:val="19"/>
          <w:szCs w:val="19"/>
          <w:color w:val="auto"/>
        </w:rPr>
        <w:t xml:space="preserve"> of the Existing Lease, Tenant shall have a non-exclusive, irrevocable right to use an additional eighteen (18) parking spaces in the facilities serving the Building and the Project in common and on an unreserved basis with other tenants of the Building and the Project (i) during the Expansion Premises Term at no additional cost and (ii) upon the commencement of any Option term, at a cost equal to fair market rent, as determined by Landlord from time to time, per parking space per month, which Tenant shall pay simultaneously with payments of Base Rent as Additional Rent. The parking rights granted to Tenant in this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shall be on the same terms and conditions applicable to reserved and unreserved spaces set forth in the Existing Lease.</w:t>
      </w:r>
    </w:p>
    <w:p>
      <w:pPr>
        <w:spacing w:after="0" w:line="172" w:lineRule="exact"/>
        <w:rPr>
          <w:rFonts w:ascii="Times New Roman" w:cs="Times New Roman" w:eastAsia="Times New Roman" w:hAnsi="Times New Roman"/>
          <w:sz w:val="19"/>
          <w:szCs w:val="19"/>
          <w:color w:val="auto"/>
        </w:rPr>
      </w:pPr>
    </w:p>
    <w:p>
      <w:pPr>
        <w:jc w:val="both"/>
        <w:ind w:firstLine="640"/>
        <w:spacing w:after="0" w:line="242" w:lineRule="auto"/>
        <w:tabs>
          <w:tab w:leader="none" w:pos="12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The parties represent and warrant to each other that it has not dealt with any broker or agent in the negotiation for or the obtaining of this Amendment, other than CBRE, Inc. (“</w:t>
      </w: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and agrees to reimburse, indemnify, save, defend (at the other party’s option and with counsel reasonably acceptable to it, at the indemnitor’s sole cost and expense) and hold harmless the other party for, from and against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172" w:lineRule="exact"/>
        <w:rPr>
          <w:rFonts w:ascii="Times New Roman" w:cs="Times New Roman" w:eastAsia="Times New Roman" w:hAnsi="Times New Roman"/>
          <w:sz w:val="19"/>
          <w:szCs w:val="19"/>
          <w:color w:val="auto"/>
        </w:rPr>
      </w:pPr>
    </w:p>
    <w:p>
      <w:pPr>
        <w:jc w:val="both"/>
        <w:ind w:firstLine="640"/>
        <w:spacing w:after="0" w:line="251" w:lineRule="auto"/>
        <w:tabs>
          <w:tab w:leader="none" w:pos="12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6" w:right="339" w:bottom="1440" w:gutter="0" w:footer="0" w:header="0"/>
        </w:sectPr>
      </w:pPr>
    </w:p>
    <w:bookmarkStart w:id="51" w:name="page52"/>
    <w:bookmarkEnd w:id="51"/>
    <w:p>
      <w:pPr>
        <w:ind w:firstLine="640"/>
        <w:spacing w:after="0" w:line="269" w:lineRule="auto"/>
        <w:tabs>
          <w:tab w:leader="none" w:pos="12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Landlord and Tenant confirm that, notwithstanding anything in the Lease to the contrary, notices delivered to each party pursuant to the Lease should be sent to:</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to Landlord: BRE-BMR Grove LLC</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4570 Executive Drive, Suite 400</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San Diego, CA 92121</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Attn: Legal Department</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Email: legalreview@biomedrealty.com</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to Tenant: Selecta Biosciences, Inc.</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65 Grove Street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Watertown, MA 02472</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Attn: Lloyd Johnston, C.O.O.</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With a copy to:</w:t>
      </w:r>
    </w:p>
    <w:p>
      <w:pPr>
        <w:spacing w:after="0" w:line="2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Foley Hoag LLP</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155 Seaport Boulevard</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Boston, Massachusetts 02210</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Attn: Jeffrey L. Quillen, Esq.</w:t>
      </w:r>
    </w:p>
    <w:p>
      <w:pPr>
        <w:spacing w:after="0" w:line="243" w:lineRule="exact"/>
        <w:rPr>
          <w:sz w:val="20"/>
          <w:szCs w:val="20"/>
          <w:color w:val="auto"/>
        </w:rPr>
      </w:pPr>
    </w:p>
    <w:p>
      <w:pPr>
        <w:jc w:val="both"/>
        <w:ind w:firstLine="640"/>
        <w:spacing w:after="0" w:line="244" w:lineRule="auto"/>
        <w:tabs>
          <w:tab w:leader="none" w:pos="12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Amendment</w:t>
      </w:r>
      <w:r>
        <w:rPr>
          <w:rFonts w:ascii="Times New Roman" w:cs="Times New Roman" w:eastAsia="Times New Roman" w:hAnsi="Times New Roman"/>
          <w:sz w:val="19"/>
          <w:szCs w:val="19"/>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69" w:lineRule="exact"/>
        <w:rPr>
          <w:rFonts w:ascii="Times New Roman" w:cs="Times New Roman" w:eastAsia="Times New Roman" w:hAnsi="Times New Roman"/>
          <w:sz w:val="19"/>
          <w:szCs w:val="19"/>
          <w:color w:val="auto"/>
        </w:rPr>
      </w:pPr>
    </w:p>
    <w:p>
      <w:pPr>
        <w:jc w:val="both"/>
        <w:ind w:firstLine="640"/>
        <w:spacing w:after="0" w:line="244" w:lineRule="auto"/>
        <w:tabs>
          <w:tab w:leader="none" w:pos="12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82" w:lineRule="exact"/>
        <w:rPr>
          <w:rFonts w:ascii="Times New Roman" w:cs="Times New Roman" w:eastAsia="Times New Roman" w:hAnsi="Times New Roman"/>
          <w:sz w:val="19"/>
          <w:szCs w:val="19"/>
          <w:color w:val="auto"/>
        </w:rPr>
      </w:pPr>
    </w:p>
    <w:p>
      <w:pPr>
        <w:jc w:val="both"/>
        <w:ind w:firstLine="640"/>
        <w:spacing w:after="0" w:line="241" w:lineRule="auto"/>
        <w:tabs>
          <w:tab w:leader="none" w:pos="12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72" w:lineRule="exact"/>
        <w:rPr>
          <w:rFonts w:ascii="Times New Roman" w:cs="Times New Roman" w:eastAsia="Times New Roman" w:hAnsi="Times New Roman"/>
          <w:sz w:val="19"/>
          <w:szCs w:val="19"/>
          <w:color w:val="auto"/>
        </w:rPr>
      </w:pPr>
    </w:p>
    <w:p>
      <w:pPr>
        <w:jc w:val="both"/>
        <w:ind w:firstLine="640"/>
        <w:spacing w:after="0" w:line="251" w:lineRule="auto"/>
        <w:tabs>
          <w:tab w:leader="none" w:pos="12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Each party warrants and represents to the other party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73" w:lineRule="exact"/>
        <w:rPr>
          <w:rFonts w:ascii="Times New Roman" w:cs="Times New Roman" w:eastAsia="Times New Roman" w:hAnsi="Times New Roman"/>
          <w:sz w:val="19"/>
          <w:szCs w:val="19"/>
          <w:color w:val="auto"/>
        </w:rPr>
      </w:pPr>
    </w:p>
    <w:p>
      <w:pPr>
        <w:jc w:val="both"/>
        <w:ind w:firstLine="640"/>
        <w:spacing w:after="0" w:line="244" w:lineRule="auto"/>
        <w:tabs>
          <w:tab w:leader="none" w:pos="12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Facsimile and PDF Signatures</w:t>
      </w:r>
      <w:r>
        <w:rPr>
          <w:rFonts w:ascii="Times New Roman" w:cs="Times New Roman" w:eastAsia="Times New Roman" w:hAnsi="Times New Roman"/>
          <w:sz w:val="19"/>
          <w:szCs w:val="19"/>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 Execution of this Amendment by means of DocuSign is an acceptable form of signature and shall be valid and binding, having the same legal effect as execution with original ink signatures.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86" w:right="339" w:bottom="1440" w:gutter="0" w:footer="0" w:header="0"/>
        </w:sectPr>
      </w:pPr>
    </w:p>
    <w:bookmarkStart w:id="52" w:name="page53"/>
    <w:bookmarkEnd w:id="52"/>
    <w:p>
      <w:pPr>
        <w:spacing w:after="0" w:line="200" w:lineRule="exact"/>
        <w:rPr>
          <w:sz w:val="20"/>
          <w:szCs w:val="20"/>
          <w:color w:val="auto"/>
        </w:rPr>
      </w:pPr>
    </w:p>
    <w:p>
      <w:pPr>
        <w:spacing w:after="0" w:line="222" w:lineRule="exact"/>
        <w:rPr>
          <w:sz w:val="20"/>
          <w:szCs w:val="20"/>
          <w:color w:val="auto"/>
        </w:rPr>
      </w:pPr>
    </w:p>
    <w:p>
      <w:pPr>
        <w:ind w:firstLine="634"/>
        <w:spacing w:after="0" w:line="269" w:lineRule="auto"/>
        <w:rPr>
          <w:sz w:val="20"/>
          <w:szCs w:val="20"/>
          <w:color w:val="auto"/>
        </w:rPr>
      </w:pPr>
      <w:r>
        <w:rPr>
          <w:rFonts w:ascii="Times New Roman" w:cs="Times New Roman" w:eastAsia="Times New Roman" w:hAnsi="Times New Roman"/>
          <w:sz w:val="19"/>
          <w:szCs w:val="19"/>
          <w:color w:val="auto"/>
        </w:rPr>
        <w:t>IN WITNESS WHEREOF, Landlord and Tenant have executed this Amendment as a sealed Massachusetts instrument as of the date and year first above written.</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BRE-BMR GROVE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Colleen O'Connor</w:t>
            </w: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Colleen O'Connor</w:t>
            </w:r>
          </w:p>
        </w:tc>
      </w:tr>
      <w:tr>
        <w:trPr>
          <w:trHeight w:val="2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SVP, Leasing, East Coast &amp; UK Markets</w:t>
            </w:r>
          </w:p>
        </w:tc>
      </w:tr>
    </w:tbl>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3460" w:type="dxa"/>
            <w:vAlign w:val="bottom"/>
          </w:tcPr>
          <w:p>
            <w:pPr>
              <w:spacing w:after="0"/>
              <w:rPr>
                <w:sz w:val="20"/>
                <w:szCs w:val="20"/>
                <w:color w:val="auto"/>
              </w:rPr>
            </w:pPr>
          </w:p>
        </w:tc>
      </w:tr>
      <w:tr>
        <w:trPr>
          <w:trHeight w:val="502"/>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SELECTA BIOSCIENCES INC.,</w:t>
            </w:r>
          </w:p>
        </w:tc>
        <w:tc>
          <w:tcPr>
            <w:tcW w:w="3460" w:type="dxa"/>
            <w:vAlign w:val="bottom"/>
          </w:tcPr>
          <w:p>
            <w:pPr>
              <w:spacing w:after="0"/>
              <w:rPr>
                <w:sz w:val="24"/>
                <w:szCs w:val="24"/>
                <w:color w:val="auto"/>
              </w:rPr>
            </w:pPr>
          </w:p>
        </w:tc>
      </w:tr>
      <w:tr>
        <w:trPr>
          <w:trHeight w:val="25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3460" w:type="dxa"/>
            <w:vAlign w:val="bottom"/>
          </w:tcPr>
          <w:p>
            <w:pPr>
              <w:spacing w:after="0"/>
              <w:rPr>
                <w:sz w:val="21"/>
                <w:szCs w:val="21"/>
                <w:color w:val="auto"/>
              </w:rPr>
            </w:pPr>
          </w:p>
        </w:tc>
      </w:tr>
      <w:tr>
        <w:trPr>
          <w:trHeight w:val="51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7"/>
              </w:rPr>
              <w:t>/s/ Lloyd Johnston</w:t>
            </w: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tcPr>
          <w:p>
            <w:pPr>
              <w:jc w:val="center"/>
              <w:ind w:right="1392"/>
              <w:spacing w:after="0"/>
              <w:rPr>
                <w:sz w:val="20"/>
                <w:szCs w:val="20"/>
                <w:color w:val="auto"/>
              </w:rPr>
            </w:pPr>
            <w:r>
              <w:rPr>
                <w:rFonts w:ascii="Times New Roman" w:cs="Times New Roman" w:eastAsia="Times New Roman" w:hAnsi="Times New Roman"/>
                <w:sz w:val="18"/>
                <w:szCs w:val="18"/>
                <w:color w:val="auto"/>
                <w:w w:val="98"/>
              </w:rPr>
              <w:t>Lloyd Johnston</w:t>
            </w:r>
          </w:p>
        </w:tc>
      </w:tr>
      <w:tr>
        <w:trPr>
          <w:trHeight w:val="25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jc w:val="center"/>
              <w:ind w:right="1372"/>
              <w:spacing w:after="0"/>
              <w:rPr>
                <w:sz w:val="20"/>
                <w:szCs w:val="20"/>
                <w:color w:val="auto"/>
              </w:rPr>
            </w:pPr>
            <w:r>
              <w:rPr>
                <w:rFonts w:ascii="Times New Roman" w:cs="Times New Roman" w:eastAsia="Times New Roman" w:hAnsi="Times New Roman"/>
                <w:sz w:val="18"/>
                <w:szCs w:val="18"/>
                <w:color w:val="auto"/>
                <w:w w:val="97"/>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Lease]</w:t>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EXPANSION PREMISES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B-3</w:t>
      </w:r>
    </w:p>
    <w:p>
      <w:pPr>
        <w:sectPr>
          <w:pgSz w:w="11900" w:h="16838" w:orient="portrait"/>
          <w:cols w:equalWidth="0" w:num="1">
            <w:col w:w="9019"/>
          </w:cols>
          <w:pgMar w:left="1440" w:top="1382"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WORK LETTER</w:t>
      </w:r>
    </w:p>
    <w:p>
      <w:pPr>
        <w:spacing w:after="0" w:line="209" w:lineRule="exact"/>
        <w:rPr>
          <w:sz w:val="20"/>
          <w:szCs w:val="20"/>
          <w:color w:val="auto"/>
        </w:rPr>
      </w:pPr>
    </w:p>
    <w:p>
      <w:pPr>
        <w:jc w:val="both"/>
        <w:ind w:firstLine="634"/>
        <w:spacing w:after="0" w:line="230" w:lineRule="auto"/>
        <w:rPr>
          <w:sz w:val="20"/>
          <w:szCs w:val="20"/>
          <w:color w:val="auto"/>
        </w:rPr>
      </w:pPr>
      <w:r>
        <w:rPr>
          <w:rFonts w:ascii="Times New Roman" w:cs="Times New Roman" w:eastAsia="Times New Roman" w:hAnsi="Times New Roman"/>
          <w:sz w:val="19"/>
          <w:szCs w:val="19"/>
          <w:color w:val="auto"/>
        </w:rPr>
        <w:t>This Expansion TI Work Letter (this “</w:t>
      </w:r>
      <w:r>
        <w:rPr>
          <w:rFonts w:ascii="Times New Roman" w:cs="Times New Roman" w:eastAsia="Times New Roman" w:hAnsi="Times New Roman"/>
          <w:sz w:val="19"/>
          <w:szCs w:val="19"/>
          <w:u w:val="single" w:color="auto"/>
          <w:color w:val="auto"/>
        </w:rPr>
        <w:t>Expansion TI Work Letter</w:t>
      </w:r>
      <w:r>
        <w:rPr>
          <w:rFonts w:ascii="Times New Roman" w:cs="Times New Roman" w:eastAsia="Times New Roman" w:hAnsi="Times New Roman"/>
          <w:sz w:val="19"/>
          <w:szCs w:val="19"/>
          <w:color w:val="auto"/>
        </w:rPr>
        <w:t>”) is made and entered into as of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September, 2022, by and between BRE-BMR Grove LLC, a Delaware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and Selecta Biosciences, Inc., a 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 and is attached to and made a part of that certain Lease dated as of July 23, 2019, as amended by that certain First Amendment to Lease dated as of September 1, 2022 (the “</w:t>
      </w:r>
      <w:r>
        <w:rPr>
          <w:rFonts w:ascii="Times New Roman" w:cs="Times New Roman" w:eastAsia="Times New Roman" w:hAnsi="Times New Roman"/>
          <w:sz w:val="19"/>
          <w:szCs w:val="19"/>
          <w:u w:val="single" w:color="auto"/>
          <w:color w:val="auto"/>
        </w:rPr>
        <w:t>First Amendment</w:t>
      </w:r>
      <w:r>
        <w:rPr>
          <w:rFonts w:ascii="Times New Roman" w:cs="Times New Roman" w:eastAsia="Times New Roman" w:hAnsi="Times New Roman"/>
          <w:sz w:val="19"/>
          <w:szCs w:val="19"/>
          <w:color w:val="auto"/>
        </w:rPr>
        <w:t>”) (as the same may be amended, amended and restated, supplemented or otherwise modified from time to time,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 by and between Landlord and Tenant for the Premises located at 65 Grove Street, Watertown, Massachusetts. All capitalized terms used but not otherwise defined herein shall have the meanings given them in the Lease.</w:t>
      </w:r>
    </w:p>
    <w:p>
      <w:pPr>
        <w:spacing w:after="0" w:line="171" w:lineRule="exact"/>
        <w:rPr>
          <w:sz w:val="20"/>
          <w:szCs w:val="20"/>
          <w:color w:val="auto"/>
        </w:rPr>
      </w:pPr>
    </w:p>
    <w:p>
      <w:pPr>
        <w:ind w:left="640" w:hanging="634"/>
        <w:spacing w:after="0"/>
        <w:tabs>
          <w:tab w:leader="none" w:pos="6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Requirements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Authorized Representatives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jc w:val="both"/>
        <w:ind w:firstLine="1275"/>
        <w:spacing w:after="0" w:line="242" w:lineRule="auto"/>
        <w:tabs>
          <w:tab w:leader="none" w:pos="1847"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designates, as Landlord’s authorized representative (“</w:t>
      </w:r>
      <w:r>
        <w:rPr>
          <w:rFonts w:ascii="Times New Roman" w:cs="Times New Roman" w:eastAsia="Times New Roman" w:hAnsi="Times New Roman"/>
          <w:sz w:val="19"/>
          <w:szCs w:val="19"/>
          <w:u w:val="single" w:color="auto"/>
          <w:color w:val="auto"/>
        </w:rPr>
        <w:t>Landlord’s Authorized Representative</w:t>
      </w:r>
      <w:r>
        <w:rPr>
          <w:rFonts w:ascii="Times New Roman" w:cs="Times New Roman" w:eastAsia="Times New Roman" w:hAnsi="Times New Roman"/>
          <w:sz w:val="19"/>
          <w:szCs w:val="19"/>
          <w:color w:val="auto"/>
        </w:rPr>
        <w:t>”), (i) Edward McDonald (edward.mcdonald@biomedrealty.com) as the person authorized to initial plans, drawings, approvals and to sign change orders pursuant to this Expansion TI Work Letter and (ii) an officer of Landlord as the person authorized to sign any amendments to this Expansion TI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72" w:lineRule="exact"/>
        <w:rPr>
          <w:rFonts w:ascii="Times New Roman" w:cs="Times New Roman" w:eastAsia="Times New Roman" w:hAnsi="Times New Roman"/>
          <w:sz w:val="19"/>
          <w:szCs w:val="19"/>
          <w:color w:val="auto"/>
        </w:rPr>
      </w:pPr>
    </w:p>
    <w:p>
      <w:pPr>
        <w:jc w:val="both"/>
        <w:ind w:firstLine="1275"/>
        <w:spacing w:after="0" w:line="244" w:lineRule="auto"/>
        <w:tabs>
          <w:tab w:leader="none" w:pos="1826"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designates Lloyd Johnston (ljohnston@selectabio.com) (“</w:t>
      </w:r>
      <w:r>
        <w:rPr>
          <w:rFonts w:ascii="Times New Roman" w:cs="Times New Roman" w:eastAsia="Times New Roman" w:hAnsi="Times New Roman"/>
          <w:sz w:val="19"/>
          <w:szCs w:val="19"/>
          <w:u w:val="single" w:color="auto"/>
          <w:color w:val="auto"/>
        </w:rPr>
        <w:t>Tenant’s Authorized Representative</w:t>
      </w:r>
      <w:r>
        <w:rPr>
          <w:rFonts w:ascii="Times New Roman" w:cs="Times New Roman" w:eastAsia="Times New Roman" w:hAnsi="Times New Roman"/>
          <w:sz w:val="19"/>
          <w:szCs w:val="19"/>
          <w:color w:val="auto"/>
        </w:rPr>
        <w:t>”) as the person authorized to initial and sign all plans, drawings, change orders and approvals pursuant to this Expansion TI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82" w:lineRule="exact"/>
        <w:rPr>
          <w:sz w:val="20"/>
          <w:szCs w:val="20"/>
          <w:color w:val="auto"/>
        </w:rPr>
      </w:pPr>
    </w:p>
    <w:p>
      <w:pPr>
        <w:jc w:val="both"/>
        <w:ind w:firstLine="634"/>
        <w:spacing w:after="0" w:line="235"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The schedule for design and development of the Expansion Tenant Improvements, including the time periods for preparation and review of construction documents, approvals and performance, shall be in accordance with a schedule to be prepared by Tenant (the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Tenant shall prepare the Schedule so that it is a reasonable schedule for the completion of the Expansion Tenant Improvements. The Schedule shall clearly identify all activities requiring Landlord participation, including specific dates and time periods when Tenant’s contractor will require access to areas of the Project outside of the Premises. As soon as the Schedule is completed, Tenant shall deliver the same to Landlord for Landlord’s approval, which approval shall not be unreasonably withheld, conditioned or delayed. Such Schedule shall be approved or disapproved by Landlord within ten (10) business days after delivery to Landlord. Landlord’s failure to respond within such ten</w:t>
      </w:r>
    </w:p>
    <w:p>
      <w:pPr>
        <w:spacing w:after="0" w:line="5" w:lineRule="exact"/>
        <w:rPr>
          <w:sz w:val="20"/>
          <w:szCs w:val="20"/>
          <w:color w:val="auto"/>
        </w:rPr>
      </w:pPr>
    </w:p>
    <w:p>
      <w:pPr>
        <w:jc w:val="both"/>
        <w:ind w:firstLine="6"/>
        <w:spacing w:after="0" w:line="246" w:lineRule="auto"/>
        <w:tabs>
          <w:tab w:leader="none" w:pos="39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 period shall be deemed approval by Landlord. If Landlord disapproves the Schedule, then Landlord shall notify Tenant in writing of its objections to such Schedule, and the parties shall confer and negotiate in good faith to reach agreement on the Schedule. The Schedule shall be subject to adjustment as mutually agreed upon in writing by the parties, or as provided in this Work Letter.</w:t>
      </w:r>
    </w:p>
    <w:p>
      <w:pPr>
        <w:spacing w:after="0" w:line="165"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Tenant’s Architects, Contractors and Consultants</w:t>
      </w:r>
      <w:r>
        <w:rPr>
          <w:rFonts w:ascii="Times New Roman" w:cs="Times New Roman" w:eastAsia="Times New Roman" w:hAnsi="Times New Roman"/>
          <w:sz w:val="19"/>
          <w:szCs w:val="19"/>
          <w:color w:val="auto"/>
        </w:rPr>
        <w:t>. The architect, engineering consultants, design team, general contractor and subcontractors responsible for the construction of the Expansion Tenant Improvements shall be selected by Tenant and approved by Landlord, which approval Landlord shall not unreasonably withhold, condition or delay. Landlord may refuse to use any architects,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w:t>
      </w:r>
    </w:p>
    <w:p>
      <w:pPr>
        <w:sectPr>
          <w:pgSz w:w="11900" w:h="16838" w:orient="portrait"/>
          <w:cols w:equalWidth="0" w:num="1">
            <w:col w:w="11240"/>
          </w:cols>
          <w:pgMar w:left="320" w:top="1382" w:right="339" w:bottom="1440" w:gutter="0" w:footer="0" w:header="0"/>
        </w:sectPr>
      </w:pPr>
    </w:p>
    <w:bookmarkStart w:id="55" w:name="page56"/>
    <w:bookmarkEnd w:id="55"/>
    <w:p>
      <w:pPr>
        <w:jc w:val="both"/>
        <w:spacing w:after="0" w:line="244" w:lineRule="auto"/>
        <w:rPr>
          <w:sz w:val="20"/>
          <w:szCs w:val="20"/>
          <w:color w:val="auto"/>
        </w:rPr>
      </w:pPr>
      <w:r>
        <w:rPr>
          <w:rFonts w:ascii="Times New Roman" w:cs="Times New Roman" w:eastAsia="Times New Roman" w:hAnsi="Times New Roman"/>
          <w:sz w:val="19"/>
          <w:szCs w:val="19"/>
          <w:color w:val="auto"/>
        </w:rPr>
        <w:t>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 in Watertown, MA or Cambridge, MA. All Tenant contracts related to the Expansion Tenant Improvements shall provide that Tenant may assign such contracts and any warranties with respect to the Expansion Tenant Improvements to Landlord at any time.</w:t>
      </w:r>
    </w:p>
    <w:p>
      <w:pPr>
        <w:spacing w:after="0" w:line="182" w:lineRule="exact"/>
        <w:rPr>
          <w:sz w:val="20"/>
          <w:szCs w:val="20"/>
          <w:color w:val="auto"/>
        </w:rPr>
      </w:pPr>
    </w:p>
    <w:p>
      <w:pPr>
        <w:jc w:val="both"/>
        <w:ind w:firstLine="6"/>
        <w:spacing w:after="0"/>
        <w:tabs>
          <w:tab w:leader="none" w:pos="63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Tenant Improvements</w:t>
      </w:r>
      <w:r>
        <w:rPr>
          <w:rFonts w:ascii="Times New Roman" w:cs="Times New Roman" w:eastAsia="Times New Roman" w:hAnsi="Times New Roman"/>
          <w:sz w:val="19"/>
          <w:szCs w:val="19"/>
          <w:color w:val="auto"/>
        </w:rPr>
        <w:t>. All Expansion Tenant Improvements shall be performed by Tenant’s contractor, at Tenant’s sole cost and expense (subject to Landlord’s obligations with respect to any portion of the Expansion TI Allowance), in a good and workmanlike manner in compliance with all Applicable Laws, and in substantial accordance with the Approved Plans (as defined below), the Lease and this Expansion TI Work Letter. To the extent that the total projected cost of the Expansion Tenant Improvements (as projected by Landlord) exceeds the Expansion TI Allowance (such excess, the “</w:t>
      </w:r>
      <w:r>
        <w:rPr>
          <w:rFonts w:ascii="Times New Roman" w:cs="Times New Roman" w:eastAsia="Times New Roman" w:hAnsi="Times New Roman"/>
          <w:sz w:val="19"/>
          <w:szCs w:val="19"/>
          <w:u w:val="single" w:color="auto"/>
          <w:color w:val="auto"/>
        </w:rPr>
        <w:t>Excess Expansion TI Costs</w:t>
      </w:r>
      <w:r>
        <w:rPr>
          <w:rFonts w:ascii="Times New Roman" w:cs="Times New Roman" w:eastAsia="Times New Roman" w:hAnsi="Times New Roman"/>
          <w:sz w:val="19"/>
          <w:szCs w:val="19"/>
          <w:color w:val="auto"/>
        </w:rPr>
        <w:t xml:space="preserve">”), Tenant shall pay the costs of the Expansion Tenant Improvements as such costs become due, and Landlord shall reimburse Tenant (or pay directly to Tenant’s contractor)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in the proportion of Excess Expansion TI Costs payable by Tenant to the Expansion TI Allowance payable by Landlord. If the cost of the Expansion Tenant Improvements (as projected by Landlord) increases over Landlord’s initial projection, Tenant shall promptly notify Landlord, and Landlord’s payment of the Expansion TI Allowance shall be on an adjusted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based on the additional Excess Expansion TI Costs. All material and equipment furnished by Tenant or its contractors as the Expansion Tenant Improvements shall be new or “like new,” and the Expansion Tenant Improvements shall be performed in a first-class, workmanlike manner; and the quality of the Expansion Tenant Improvements shall be of a nature and character not less than the Building Standard. Tenant shall take, and shall require its contractors to take, commercially reasonable steps to protect the Premises during the performance of any Expansion Tenant Improvements, including covering or temporarily removing any window coverings so as to guard against dust, debris or damage. All Expansion Tenant Improvements shall be performed in accordance with </w:t>
      </w:r>
      <w:r>
        <w:rPr>
          <w:rFonts w:ascii="Times New Roman" w:cs="Times New Roman" w:eastAsia="Times New Roman" w:hAnsi="Times New Roman"/>
          <w:sz w:val="19"/>
          <w:szCs w:val="19"/>
          <w:u w:val="single" w:color="auto"/>
          <w:color w:val="auto"/>
        </w:rPr>
        <w:t>Article 17</w:t>
      </w:r>
      <w:r>
        <w:rPr>
          <w:rFonts w:ascii="Times New Roman" w:cs="Times New Roman" w:eastAsia="Times New Roman" w:hAnsi="Times New Roman"/>
          <w:sz w:val="19"/>
          <w:szCs w:val="19"/>
          <w:color w:val="auto"/>
        </w:rPr>
        <w:t xml:space="preserve"> of the Lease;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in the Lease or this Expansion TI Work Letter to the contrary, in the event of a conflict between this Expansion TI Work Letter and </w:t>
      </w:r>
      <w:r>
        <w:rPr>
          <w:rFonts w:ascii="Times New Roman" w:cs="Times New Roman" w:eastAsia="Times New Roman" w:hAnsi="Times New Roman"/>
          <w:sz w:val="19"/>
          <w:szCs w:val="19"/>
          <w:u w:val="single" w:color="auto"/>
          <w:color w:val="auto"/>
        </w:rPr>
        <w:t>Article 17</w:t>
      </w:r>
      <w:r>
        <w:rPr>
          <w:rFonts w:ascii="Times New Roman" w:cs="Times New Roman" w:eastAsia="Times New Roman" w:hAnsi="Times New Roman"/>
          <w:sz w:val="19"/>
          <w:szCs w:val="19"/>
          <w:color w:val="auto"/>
        </w:rPr>
        <w:t xml:space="preserve"> of the Lease, the terms of this Expansion TI Work Letter shall govern.</w:t>
      </w:r>
    </w:p>
    <w:p>
      <w:pPr>
        <w:spacing w:after="0" w:line="338"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both"/>
        <w:ind w:firstLine="634"/>
        <w:spacing w:after="0" w:line="237"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Work Plans</w:t>
      </w:r>
      <w:r>
        <w:rPr>
          <w:rFonts w:ascii="Times New Roman" w:cs="Times New Roman" w:eastAsia="Times New Roman" w:hAnsi="Times New Roman"/>
          <w:sz w:val="19"/>
          <w:szCs w:val="19"/>
          <w:color w:val="auto"/>
        </w:rPr>
        <w:t>. Tenant shall prepare and submit to Landlord for approval schematics covering the Expansion Tenant Improvements prepared in conformity with the applicable provisions of this Expansion TI Work Letter (the “</w:t>
      </w:r>
      <w:r>
        <w:rPr>
          <w:rFonts w:ascii="Times New Roman" w:cs="Times New Roman" w:eastAsia="Times New Roman" w:hAnsi="Times New Roman"/>
          <w:sz w:val="19"/>
          <w:szCs w:val="19"/>
          <w:u w:val="single" w:color="auto"/>
          <w:color w:val="auto"/>
        </w:rPr>
        <w:t>Draft Schematic Plans</w:t>
      </w:r>
      <w:r>
        <w:rPr>
          <w:rFonts w:ascii="Times New Roman" w:cs="Times New Roman" w:eastAsia="Times New Roman" w:hAnsi="Times New Roman"/>
          <w:sz w:val="19"/>
          <w:szCs w:val="19"/>
          <w:color w:val="auto"/>
        </w:rPr>
        <w:t>”). The Draft Schematic Plans shall contain sufficient information and detail to accurately describe the proposed design to Landlord and such other information as Landlord may reasonably request. Landlord shall notify Tenant in writing within ten (10) business days after receipt of the Draft Schematic Plans whether Landlord approves or objects to the Draft Schematic Plans and of the manner, if any, in which the Draft Schematic Plans are unacceptable. Landlord’s failure to respond within such ten (10) business day period shall be deemed approval by Landlord. If Landlord reasonably objects to the Draft Schematic Plans, then Tenant shall revise the Draft Schematic Plans and cause Landlord’s objections to be remedied in the revised Draft Schematic Plans. Tenant shall then resubmit the revised Draft Schematic Plans to Landlord for approval, such approval not to be unreasonably withheld, conditioned or delayed. Landlord’s approval of or objection to revised Draft Schematic Plans and Tenant’s correction of the same shall be in accordance with this Section until Landlord has approved the Draft Schematic Plans in writing or been deemed to have approved them. The iteration of the Draft Schematic Plans that is approved or deemed approved by Landlord without objection shall be referred to herein as the “</w:t>
      </w:r>
      <w:r>
        <w:rPr>
          <w:rFonts w:ascii="Times New Roman" w:cs="Times New Roman" w:eastAsia="Times New Roman" w:hAnsi="Times New Roman"/>
          <w:sz w:val="19"/>
          <w:szCs w:val="19"/>
          <w:u w:val="single" w:color="auto"/>
          <w:color w:val="auto"/>
        </w:rPr>
        <w:t>Approved Schematic Plans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634"/>
        <w:spacing w:after="0" w:line="258"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u w:val="single" w:color="auto"/>
          <w:color w:val="auto"/>
        </w:rPr>
        <w:t>Construction Plans</w:t>
      </w:r>
      <w:r>
        <w:rPr>
          <w:rFonts w:ascii="Times New Roman" w:cs="Times New Roman" w:eastAsia="Times New Roman" w:hAnsi="Times New Roman"/>
          <w:sz w:val="19"/>
          <w:szCs w:val="19"/>
          <w:color w:val="auto"/>
        </w:rPr>
        <w:t>. Tenant shall prepare final plans and specifications for the Expansion Tenant Improvements that (a) are consistent with and are logical evolutions of the Approved Schematic Plans and (b) incorporate any other Tenant-requested (and Landlord-approved) Changes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B-2</w:t>
      </w:r>
    </w:p>
    <w:p>
      <w:pPr>
        <w:sectPr>
          <w:pgSz w:w="11900" w:h="16838" w:orient="portrait"/>
          <w:cols w:equalWidth="0" w:num="1">
            <w:col w:w="11240"/>
          </w:cols>
          <w:pgMar w:left="320" w:top="1386" w:right="339" w:bottom="1440" w:gutter="0" w:footer="0" w:header="0"/>
        </w:sectPr>
      </w:pPr>
    </w:p>
    <w:bookmarkStart w:id="56" w:name="page57"/>
    <w:bookmarkEnd w:id="56"/>
    <w:p>
      <w:pPr>
        <w:jc w:val="both"/>
        <w:spacing w:after="0" w:line="238" w:lineRule="auto"/>
        <w:rPr>
          <w:sz w:val="20"/>
          <w:szCs w:val="20"/>
          <w:color w:val="auto"/>
        </w:rPr>
      </w:pPr>
      <w:r>
        <w:rPr>
          <w:rFonts w:ascii="Times New Roman" w:cs="Times New Roman" w:eastAsia="Times New Roman" w:hAnsi="Times New Roman"/>
          <w:sz w:val="19"/>
          <w:szCs w:val="19"/>
          <w:color w:val="auto"/>
        </w:rPr>
        <w:t>below). As soon as such final plans and specifications (“</w:t>
      </w:r>
      <w:r>
        <w:rPr>
          <w:rFonts w:ascii="Times New Roman" w:cs="Times New Roman" w:eastAsia="Times New Roman" w:hAnsi="Times New Roman"/>
          <w:sz w:val="19"/>
          <w:szCs w:val="19"/>
          <w:u w:val="single" w:color="auto"/>
          <w:color w:val="auto"/>
        </w:rPr>
        <w:t>Construction Plans</w:t>
      </w:r>
      <w:r>
        <w:rPr>
          <w:rFonts w:ascii="Times New Roman" w:cs="Times New Roman" w:eastAsia="Times New Roman" w:hAnsi="Times New Roman"/>
          <w:sz w:val="19"/>
          <w:szCs w:val="19"/>
          <w:color w:val="auto"/>
        </w:rPr>
        <w:t>”) are completed, Tenant shall deliver the same to Landlord for Landlord’s approval, which approval shall not be unreasonably withheld, conditioned or delayed. All such Construction Plans shall be submitted by Tenant to Landlord in electronic .pdf, and CADD format, and shall be approved or disapproved by Landlord within ten (10) business days after delivery to Landlord. Landlord’s failure to respond within such ten (10) business day period shall be deemed approval by Landlord. If the Construction Plans are disapproved by Landlord, then Landlord shall notify Tenant in writing of its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Tenant shall promptly submit such Construction Plans to all appropriate Governmental Authorities for approval. The Construction Plans so approved, and all change orders specifically permitted by this Work Letter, are referred to herein as the “</w:t>
      </w:r>
      <w:r>
        <w:rPr>
          <w:rFonts w:ascii="Times New Roman" w:cs="Times New Roman" w:eastAsia="Times New Roman" w:hAnsi="Times New Roman"/>
          <w:sz w:val="19"/>
          <w:szCs w:val="19"/>
          <w:u w:val="single" w:color="auto"/>
          <w:color w:val="auto"/>
        </w:rPr>
        <w:t>Approved Plans</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Changes to the Expansion Tenant Improvements</w:t>
      </w:r>
      <w:r>
        <w:rPr>
          <w:rFonts w:ascii="Times New Roman" w:cs="Times New Roman" w:eastAsia="Times New Roman" w:hAnsi="Times New Roman"/>
          <w:sz w:val="19"/>
          <w:szCs w:val="19"/>
          <w:color w:val="auto"/>
        </w:rPr>
        <w:t>. Any changes to the Approved Plans (each, a “</w:t>
      </w:r>
      <w:r>
        <w:rPr>
          <w:rFonts w:ascii="Times New Roman" w:cs="Times New Roman" w:eastAsia="Times New Roman" w:hAnsi="Times New Roman"/>
          <w:sz w:val="19"/>
          <w:szCs w:val="19"/>
          <w:u w:val="single" w:color="auto"/>
          <w:color w:val="auto"/>
        </w:rPr>
        <w:t>Change</w:t>
      </w:r>
      <w:r>
        <w:rPr>
          <w:rFonts w:ascii="Times New Roman" w:cs="Times New Roman" w:eastAsia="Times New Roman" w:hAnsi="Times New Roman"/>
          <w:sz w:val="19"/>
          <w:szCs w:val="19"/>
          <w:color w:val="auto"/>
        </w:rPr>
        <w:t xml:space="preserve">”) shall be requested and instituted in accordance with the provisions of this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and shall be subject to the written approval of the non-requesting party in accordance with this Expansion TI Work Letter.</w:t>
      </w:r>
    </w:p>
    <w:p>
      <w:pPr>
        <w:spacing w:after="0" w:line="174" w:lineRule="exact"/>
        <w:rPr>
          <w:sz w:val="20"/>
          <w:szCs w:val="20"/>
          <w:color w:val="auto"/>
        </w:rPr>
      </w:pPr>
    </w:p>
    <w:p>
      <w:pPr>
        <w:jc w:val="both"/>
        <w:ind w:firstLine="1275"/>
        <w:spacing w:after="0" w:line="238" w:lineRule="auto"/>
        <w:tabs>
          <w:tab w:leader="none" w:pos="182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Request</w:t>
      </w:r>
      <w:r>
        <w:rPr>
          <w:rFonts w:ascii="Times New Roman" w:cs="Times New Roman" w:eastAsia="Times New Roman" w:hAnsi="Times New Roman"/>
          <w:sz w:val="19"/>
          <w:szCs w:val="19"/>
          <w:color w:val="auto"/>
        </w:rPr>
        <w:t>. Either Landlord or Tenant may request Changes after Landlord approves the Approved Plans by notifying the other party thereof in writing in substantially the same form as the AIA standard change order form (a “</w:t>
      </w:r>
      <w:r>
        <w:rPr>
          <w:rFonts w:ascii="Times New Roman" w:cs="Times New Roman" w:eastAsia="Times New Roman" w:hAnsi="Times New Roman"/>
          <w:sz w:val="19"/>
          <w:szCs w:val="19"/>
          <w:u w:val="single" w:color="auto"/>
          <w:color w:val="auto"/>
        </w:rPr>
        <w:t>Change Request</w:t>
      </w:r>
      <w:r>
        <w:rPr>
          <w:rFonts w:ascii="Times New Roman" w:cs="Times New Roman" w:eastAsia="Times New Roman" w:hAnsi="Times New Roman"/>
          <w:sz w:val="19"/>
          <w:szCs w:val="19"/>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Expansion Tenant Improvements as a result of such Change. Change Requests shall be signed by the requesting party’s Authorized Representative.</w:t>
      </w:r>
    </w:p>
    <w:p>
      <w:pPr>
        <w:spacing w:after="0" w:line="175" w:lineRule="exact"/>
        <w:rPr>
          <w:rFonts w:ascii="Times New Roman" w:cs="Times New Roman" w:eastAsia="Times New Roman" w:hAnsi="Times New Roman"/>
          <w:sz w:val="19"/>
          <w:szCs w:val="19"/>
          <w:color w:val="auto"/>
        </w:rPr>
      </w:pPr>
    </w:p>
    <w:p>
      <w:pPr>
        <w:jc w:val="both"/>
        <w:ind w:firstLine="1275"/>
        <w:spacing w:after="0" w:line="249" w:lineRule="auto"/>
        <w:tabs>
          <w:tab w:leader="none" w:pos="175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Approval of Changes</w:t>
      </w:r>
      <w:r>
        <w:rPr>
          <w:rFonts w:ascii="Times New Roman" w:cs="Times New Roman" w:eastAsia="Times New Roman" w:hAnsi="Times New Roman"/>
          <w:sz w:val="19"/>
          <w:szCs w:val="19"/>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164" w:lineRule="exact"/>
        <w:rPr>
          <w:sz w:val="20"/>
          <w:szCs w:val="20"/>
          <w:color w:val="auto"/>
        </w:rPr>
      </w:pPr>
    </w:p>
    <w:p>
      <w:pPr>
        <w:jc w:val="both"/>
        <w:ind w:firstLine="634"/>
        <w:spacing w:after="0" w:line="242"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Preparation of Estimates</w:t>
      </w:r>
      <w:r>
        <w:rPr>
          <w:rFonts w:ascii="Times New Roman" w:cs="Times New Roman" w:eastAsia="Times New Roman" w:hAnsi="Times New Roman"/>
          <w:sz w:val="19"/>
          <w:szCs w:val="19"/>
          <w:color w:val="auto"/>
        </w:rPr>
        <w:t>. Tenant shall, before proceeding with any Change, using its best efforts, prepare as soon as is reasonably practicable (but in no event more than five (5) business days after delivering a Change Request to Landlord or receipt of a Change Request) an estimate of the increased costs or savings that would result from such Change, as well as an estimate of such Change’s effects on the Schedule. Landlord shall have five (5) business days after receipt of such information from Tenant to (a) in the case of a Tenant-initiated Change Request, approve or reject such Change Request in writing, or (b) in the case of a Landlord-initiated Change Request, notify Tenant in writing of Landlord’s decision either to proceed with or abandon the Landlord-initiated Change Request.</w:t>
      </w:r>
    </w:p>
    <w:p>
      <w:pPr>
        <w:spacing w:after="0" w:line="172" w:lineRule="exact"/>
        <w:rPr>
          <w:sz w:val="20"/>
          <w:szCs w:val="20"/>
          <w:color w:val="auto"/>
        </w:rPr>
      </w:pPr>
    </w:p>
    <w:p>
      <w:pPr>
        <w:jc w:val="both"/>
        <w:ind w:firstLine="634"/>
        <w:spacing w:after="0" w:line="239" w:lineRule="auto"/>
        <w:rPr>
          <w:sz w:val="20"/>
          <w:szCs w:val="20"/>
          <w:color w:val="auto"/>
        </w:rPr>
      </w:pPr>
      <w:r>
        <w:rPr>
          <w:rFonts w:ascii="Times New Roman" w:cs="Times New Roman" w:eastAsia="Times New Roman" w:hAnsi="Times New Roman"/>
          <w:sz w:val="19"/>
          <w:szCs w:val="19"/>
          <w:color w:val="auto"/>
        </w:rPr>
        <w:t xml:space="preserve">2.6 </w:t>
      </w:r>
      <w:r>
        <w:rPr>
          <w:rFonts w:ascii="Times New Roman" w:cs="Times New Roman" w:eastAsia="Times New Roman" w:hAnsi="Times New Roman"/>
          <w:sz w:val="19"/>
          <w:szCs w:val="19"/>
          <w:u w:val="single" w:color="auto"/>
          <w:color w:val="auto"/>
        </w:rPr>
        <w:t>Quality Control Program; Coordination</w:t>
      </w:r>
      <w:r>
        <w:rPr>
          <w:rFonts w:ascii="Times New Roman" w:cs="Times New Roman" w:eastAsia="Times New Roman" w:hAnsi="Times New Roman"/>
          <w:sz w:val="19"/>
          <w:szCs w:val="19"/>
          <w:color w:val="auto"/>
        </w:rPr>
        <w:t>. Tenant shall provide Landlord with information regarding the following (together, the “</w:t>
      </w:r>
      <w:r>
        <w:rPr>
          <w:rFonts w:ascii="Times New Roman" w:cs="Times New Roman" w:eastAsia="Times New Roman" w:hAnsi="Times New Roman"/>
          <w:sz w:val="19"/>
          <w:szCs w:val="19"/>
          <w:u w:val="single" w:color="auto"/>
          <w:color w:val="auto"/>
        </w:rPr>
        <w:t>QCP</w:t>
      </w:r>
      <w:r>
        <w:rPr>
          <w:rFonts w:ascii="Times New Roman" w:cs="Times New Roman" w:eastAsia="Times New Roman" w:hAnsi="Times New Roman"/>
          <w:sz w:val="19"/>
          <w:szCs w:val="19"/>
          <w:color w:val="auto"/>
        </w:rPr>
        <w:t>”): (a) Tenant’s general contractor’s quality control program and (b) evidence of subsequent monitoring and action plans. The QCP shall be subject to Landlord’s reasonable review and approval and shall specifically address the Expansion Tenant Improvements. Tenant shall ensure that the QCP is regularly implemented on a scheduled basis and shall provide Landlord with reasonable prior notice and access to attend all inspections and meetings between Tenant and its general contractor. At the conclusion of the Expansion Tenant Improvements, Tenant shall deliver the quality control log to Landlord, which shall include all records of quality control meetings and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B-3</w:t>
      </w:r>
    </w:p>
    <w:p>
      <w:pPr>
        <w:sectPr>
          <w:pgSz w:w="11900" w:h="16838" w:orient="portrait"/>
          <w:cols w:equalWidth="0" w:num="1">
            <w:col w:w="11240"/>
          </w:cols>
          <w:pgMar w:left="320" w:top="138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color w:val="auto"/>
        </w:rPr>
        <w:t>and of inspections held in the field, including inspections relating to concrete, steel roofing, piping pressure testing and system commissioning.</w:t>
      </w:r>
    </w:p>
    <w:p>
      <w:pPr>
        <w:spacing w:after="0" w:line="205" w:lineRule="exact"/>
        <w:rPr>
          <w:sz w:val="20"/>
          <w:szCs w:val="20"/>
          <w:color w:val="auto"/>
        </w:rPr>
      </w:pPr>
    </w:p>
    <w:p>
      <w:pPr>
        <w:jc w:val="both"/>
        <w:ind w:firstLine="6"/>
        <w:spacing w:after="0"/>
        <w:tabs>
          <w:tab w:leader="none" w:pos="63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Completion of Expansion Tenant Improvements</w:t>
      </w:r>
      <w:r>
        <w:rPr>
          <w:rFonts w:ascii="Times New Roman" w:cs="Times New Roman" w:eastAsia="Times New Roman" w:hAnsi="Times New Roman"/>
          <w:sz w:val="19"/>
          <w:szCs w:val="19"/>
          <w:color w:val="auto"/>
        </w:rPr>
        <w:t>. Tenant, at its sole cost and expense (except for the Expansion TI Allowance), shall perform and complete the Expansion Tenant Improvements in all respects (a) in substantial conformance with the Approved Plans, (b) otherwise in compliance with provisions of the Lease and this Expansion TI Work Letter and (c) in accordance with Applicable Laws, the requirements of Tenant’s insurance carriers, the requirements of Landlord’s insurance carriers (to the extent Landlord provides its insurance carriers’ requirements to Tenant) and the board of fire underwriters having jurisdiction over the Premises. The Expansion Tenant Improvements shall be deemed completed at such time as Tenant shall furnish to Landlord (t) evidence reasonably satisfactory to Landlord that (i) all Expansion Tenant Improvements have been completed and paid for in full (which shall be evidenced by the architect’s certificate of completion and the general contractor’s and each subcontractor’s and material supplier’s final unconditional waivers and releases of liens, each in a form reasonably acceptable to Landlord and complying with Applicable Laws, and a Certificate of Substantial Completion in the form of the American Institute of Architects document G704, executed by the project architect and the general contractor, together with a statutory notice of substantial completion from the general contractor), (ii) all Expansion Tenant Improvements have been constructed in accordance with the Approved Plans, (iii) any and all liens related to the Expansion Tenant Improvements have either been discharged of record (by payment, bond, order of a court of competent jurisdiction or otherwise) or waived by the party filing such lien and (iv) no security interests relating to the Expansion Tenant Improvements are outstanding, (u) all certifications and approvals with respect to the Expansion Tenant Improvements that may be required from any Governmental Authority and any board of fire underwriters or similar body for the use and occupancy of the Expansion Premises (including a certificate of occupancy (or its substantial equivalent) for the Expansion Premises for the Permitted Use), (v) certificates of insurance required by the Lease to be purchased and maintained by Tenant, (w) an affidavit from Tenant’s architect certifying that all work performed in, on or about the Premises is in accordance with the Approved Plans, (x) complete “as built” drawing print sets, project specifications and shop drawings and electronic CADD files on disc (showing the Expansion Tenant Improvements as an overlay on the Building “as built” plans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Landlord provides the Building “as-built” plans provided to Tenant) of all contract documents for work performed by their architect and engineers in relation to the Expansion Tenant Improvements, (y) a commissioning report prepared by a licensed, qualified commissioning agent hired by Tenant and approved by Landlord for all new or affected mechanical, electrical and plumbing systems (which report Landlord may hire a licensed, qualified commissioning agent to peer review, and whose reasonable recommendations Tenant’s commissioning agent shall perform and incorporate into a revised report) and (z) such other “close out” materials as Landlord reasonably requests consistent with Landlord’s own requirements for its contractors, such as copies of manufacturers’ warranties, operation and maintenance manuals and the like.</w:t>
      </w:r>
    </w:p>
    <w:p>
      <w:pPr>
        <w:spacing w:after="0" w:line="288"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jc w:val="both"/>
        <w:ind w:firstLine="634"/>
        <w:spacing w:after="0" w:line="238"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Property Insurance</w:t>
      </w:r>
      <w:r>
        <w:rPr>
          <w:rFonts w:ascii="Times New Roman" w:cs="Times New Roman" w:eastAsia="Times New Roman" w:hAnsi="Times New Roman"/>
          <w:sz w:val="19"/>
          <w:szCs w:val="19"/>
          <w:color w:val="auto"/>
        </w:rPr>
        <w:t xml:space="preserve">. At all times during the period beginning with commencement of construction of the Expansion Tenant Improvements and ending with final completion of the Expansion Tenant Improvements, Tenant shall maintain, or cause to be maintained (in addition to the insurance required of Tenant pursuant to the Lease), property insurance insuring Landlord and the Landlord Parties, as their interests may appear. Such policy shall, on a completed replacement cost basis for the full insurable value at all times, insure against loss or damage by fire, vandalism and malicious mischief and other such risks as are customarily covered by the so-called “broad form extended coverage endorsement” upon all Expansion Tenant Improvements and the general contractor’s and any subcontractors’ machinery, tools and equipment, all while each forms a part of, or is contained in, the Expansion Tenant Improvements or any temporary structures on the Premises, or is adjacent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insurance coverage with respect to the general contractor’s and any subcontractors’ machinery, tools and equipment shall be carried on a primary basis by such general contractor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B-4</w:t>
      </w:r>
    </w:p>
    <w:p>
      <w:pPr>
        <w:sectPr>
          <w:pgSz w:w="11900" w:h="16838" w:orient="portrait"/>
          <w:cols w:equalWidth="0" w:num="1">
            <w:col w:w="11240"/>
          </w:cols>
          <w:pgMar w:left="320" w:top="1386" w:right="339" w:bottom="1440" w:gutter="0" w:footer="0" w:header="0"/>
        </w:sectPr>
      </w:pPr>
    </w:p>
    <w:bookmarkStart w:id="58" w:name="page59"/>
    <w:bookmarkEnd w:id="58"/>
    <w:p>
      <w:pPr>
        <w:jc w:val="both"/>
        <w:spacing w:after="0" w:line="269" w:lineRule="auto"/>
        <w:rPr>
          <w:sz w:val="20"/>
          <w:szCs w:val="20"/>
          <w:color w:val="auto"/>
        </w:rPr>
      </w:pPr>
      <w:r>
        <w:rPr>
          <w:rFonts w:ascii="Times New Roman" w:cs="Times New Roman" w:eastAsia="Times New Roman" w:hAnsi="Times New Roman"/>
          <w:sz w:val="19"/>
          <w:szCs w:val="19"/>
          <w:color w:val="auto"/>
        </w:rPr>
        <w:t>applicable subcontractor(s). Tenant agrees to pay any deductible, and Landlord is not responsible for any deductible, for a claim under such insurance.</w:t>
      </w:r>
    </w:p>
    <w:p>
      <w:pPr>
        <w:spacing w:after="0" w:line="145" w:lineRule="exact"/>
        <w:rPr>
          <w:sz w:val="20"/>
          <w:szCs w:val="20"/>
          <w:color w:val="auto"/>
        </w:rPr>
      </w:pPr>
    </w:p>
    <w:p>
      <w:pPr>
        <w:jc w:val="both"/>
        <w:ind w:right="20" w:firstLine="634"/>
        <w:spacing w:after="0" w:line="26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Workers’ Compensation Insurance</w:t>
      </w:r>
      <w:r>
        <w:rPr>
          <w:rFonts w:ascii="Times New Roman" w:cs="Times New Roman" w:eastAsia="Times New Roman" w:hAnsi="Times New Roman"/>
          <w:sz w:val="19"/>
          <w:szCs w:val="19"/>
          <w:color w:val="auto"/>
        </w:rPr>
        <w:t>. At all times during the period of construction of the Expansion Tenant Improvements, Tenant shall, or shall cause its contractors or subcontractors to, maintain statutory workers’ compensation insurance as required by Applicable Laws.</w:t>
      </w:r>
    </w:p>
    <w:p>
      <w:pPr>
        <w:spacing w:after="0" w:line="158"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Waivers of Subrogation</w:t>
      </w:r>
      <w:r>
        <w:rPr>
          <w:rFonts w:ascii="Times New Roman" w:cs="Times New Roman" w:eastAsia="Times New Roman" w:hAnsi="Times New Roman"/>
          <w:sz w:val="19"/>
          <w:szCs w:val="19"/>
          <w:color w:val="auto"/>
        </w:rPr>
        <w:t>. Any insurance provided pursuant to this Article shall waive subrogation against the Landlord Parties and Tenant shall hold harmless and indemnify the Landlord Parties for any loss or expense incurred as a result of a failure to obtain such waivers of subrogation from insurers.</w:t>
      </w:r>
    </w:p>
    <w:p>
      <w:pPr>
        <w:spacing w:after="0" w:line="161" w:lineRule="exact"/>
        <w:rPr>
          <w:sz w:val="20"/>
          <w:szCs w:val="20"/>
          <w:color w:val="auto"/>
        </w:rPr>
      </w:pPr>
    </w:p>
    <w:p>
      <w:pPr>
        <w:jc w:val="both"/>
        <w:ind w:firstLine="6"/>
        <w:spacing w:after="0" w:line="238" w:lineRule="auto"/>
        <w:tabs>
          <w:tab w:leader="none" w:pos="63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Liability</w:t>
      </w:r>
      <w:r>
        <w:rPr>
          <w:rFonts w:ascii="Times New Roman" w:cs="Times New Roman" w:eastAsia="Times New Roman" w:hAnsi="Times New Roman"/>
          <w:sz w:val="19"/>
          <w:szCs w:val="19"/>
          <w:color w:val="auto"/>
        </w:rPr>
        <w:t xml:space="preserve">. Tenant assumes sole responsibility and liability for any and all injuries or the death of any persons, including Tenant’s contractors and subcontractors and their respective employees, agents and invitees, and for any and all damages to property arising from any act or omission on the part of Tenant, Tenant’s contractors or subcontractors, or their respective employees, agents and invitees in the prosecution of the Expansion Tenant Improvements. Tenant agrees to Indemnify the Landlord Indemnitees from and against all Claims due to, because of or arising from any and all such injuries, death or damage, whether real or alleged, and Tenant and Tenant’s contractors and subcontractors shall assume and defend at their sole cost and expense all such Claims;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nothing contained in this Work Letter shall be deemed to Indemnify Landlord from or against liability to the extent arising directly from Landlord’s negligence or willful misconduct. Any deficiency in design or construction of the Expansion Tenant Improvements shall be solely the responsibility of Tenant, notwithstanding the fact that Landlord may have approved of the same in writing.</w:t>
      </w:r>
    </w:p>
    <w:p>
      <w:pPr>
        <w:spacing w:after="0" w:line="178"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Expansion TI Allowance</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both"/>
        <w:ind w:firstLine="634"/>
        <w:spacing w:after="0" w:line="245"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Application of Expansion TI Allowance</w:t>
      </w:r>
      <w:r>
        <w:rPr>
          <w:rFonts w:ascii="Times New Roman" w:cs="Times New Roman" w:eastAsia="Times New Roman" w:hAnsi="Times New Roman"/>
          <w:sz w:val="19"/>
          <w:szCs w:val="19"/>
          <w:color w:val="auto"/>
        </w:rPr>
        <w:t xml:space="preserve">. Landlord shall contribute the Expansion TI Allowance towards the costs and expenses incurred in connection with the performance of the Expansion Tenant Improvements, in accordance with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of the First Amendment. If the entire Expansion TI Allowance is not applied toward or reserved for the costs of the Expansion Tenant Improvements, then Tenant shall not be entitled to a credit of such unused portion of the Expansion TI Allowance. Tenant may apply the Expansion TI Allowance for the payment of construction and other costs in accordance with the terms and provisions of the Lease.</w:t>
      </w:r>
    </w:p>
    <w:p>
      <w:pPr>
        <w:spacing w:after="0" w:line="167" w:lineRule="exact"/>
        <w:rPr>
          <w:sz w:val="20"/>
          <w:szCs w:val="20"/>
          <w:color w:val="auto"/>
        </w:rPr>
      </w:pPr>
    </w:p>
    <w:p>
      <w:pPr>
        <w:jc w:val="both"/>
        <w:ind w:firstLine="634"/>
        <w:spacing w:after="0" w:line="241"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Approval of Budget for the Expansion Tenant Improvements</w:t>
      </w:r>
      <w:r>
        <w:rPr>
          <w:rFonts w:ascii="Times New Roman" w:cs="Times New Roman" w:eastAsia="Times New Roman" w:hAnsi="Times New Roman"/>
          <w:sz w:val="19"/>
          <w:szCs w:val="19"/>
          <w:color w:val="auto"/>
        </w:rPr>
        <w:t>. Notwithstanding anything to the contrary set forth elsewhere in this Expansion TI Work Letter or the Lease, Landlord shall not have any obligation to expend any portion of the Expansion TI Allowance until Landlord and Tenant shall have approved in writing the budget for the Expansion Tenant Improvements (the “</w:t>
      </w:r>
      <w:r>
        <w:rPr>
          <w:rFonts w:ascii="Times New Roman" w:cs="Times New Roman" w:eastAsia="Times New Roman" w:hAnsi="Times New Roman"/>
          <w:sz w:val="19"/>
          <w:szCs w:val="19"/>
          <w:u w:val="single" w:color="auto"/>
          <w:color w:val="auto"/>
        </w:rPr>
        <w:t>Approved Budget</w:t>
      </w:r>
      <w:r>
        <w:rPr>
          <w:rFonts w:ascii="Times New Roman" w:cs="Times New Roman" w:eastAsia="Times New Roman" w:hAnsi="Times New Roman"/>
          <w:sz w:val="19"/>
          <w:szCs w:val="19"/>
          <w:color w:val="auto"/>
        </w:rPr>
        <w:t>”). Prior to Landlord’s approval of the Approved Budget, Tenant shall pay all of the costs and expenses incurred in connection with the Expansion Tenant Improvements as they become due. Landlord shall not be obligated to reimburse Tenant for costs or expenses relating to the Expansion Tenant Improvements that exceed the amount of the Expansion TI Allowance. Landlord shall not unreasonably withhold, condition or delay its approval of any budget for Expansion Tenant Improvements that is proposed by Tenant.</w:t>
      </w:r>
    </w:p>
    <w:p>
      <w:pPr>
        <w:spacing w:after="0" w:line="170" w:lineRule="exact"/>
        <w:rPr>
          <w:sz w:val="20"/>
          <w:szCs w:val="20"/>
          <w:color w:val="auto"/>
        </w:rPr>
      </w:pPr>
    </w:p>
    <w:p>
      <w:pPr>
        <w:jc w:val="both"/>
        <w:ind w:firstLine="634"/>
        <w:spacing w:after="0" w:line="239"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Fund Requests</w:t>
      </w:r>
      <w:r>
        <w:rPr>
          <w:rFonts w:ascii="Times New Roman" w:cs="Times New Roman" w:eastAsia="Times New Roman" w:hAnsi="Times New Roman"/>
          <w:sz w:val="19"/>
          <w:szCs w:val="19"/>
          <w:color w:val="auto"/>
        </w:rPr>
        <w:t>. Upon submission by Tenant to Landlord as of or prior to the Expansion TI Deadline of (a) a statement (a “</w:t>
      </w:r>
      <w:r>
        <w:rPr>
          <w:rFonts w:ascii="Times New Roman" w:cs="Times New Roman" w:eastAsia="Times New Roman" w:hAnsi="Times New Roman"/>
          <w:sz w:val="19"/>
          <w:szCs w:val="19"/>
          <w:u w:val="single" w:color="auto"/>
          <w:color w:val="auto"/>
        </w:rPr>
        <w:t>Fund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Request</w:t>
      </w:r>
      <w:r>
        <w:rPr>
          <w:rFonts w:ascii="Times New Roman" w:cs="Times New Roman" w:eastAsia="Times New Roman" w:hAnsi="Times New Roman"/>
          <w:sz w:val="19"/>
          <w:szCs w:val="19"/>
          <w:color w:val="auto"/>
        </w:rPr>
        <w:t>”) setting forth the total amount of the Expansion TI Allowance requested, (b) a summary of the Expansion Tenant Improvements performed using AIA standard form Application for Payment (G 702) executed by the general contractor and by the architect, (c) invoices from the general contractor, the architect, and any subcontractors, material suppliers and other parties requesting payment with respect to the amount of the Expansion TI Allowance then being requested, and (d) except with respect to the final Fund Request, conditional lien releases from the general contractor and each subcontractor and material supplier with respect to the Expansion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B-5</w:t>
      </w:r>
    </w:p>
    <w:p>
      <w:pPr>
        <w:sectPr>
          <w:pgSz w:w="11900" w:h="16838" w:orient="portrait"/>
          <w:cols w:equalWidth="0" w:num="1">
            <w:col w:w="11240"/>
          </w:cols>
          <w:pgMar w:left="320" w:top="1386" w:right="339" w:bottom="1440" w:gutter="0" w:footer="0" w:header="0"/>
        </w:sectPr>
      </w:pPr>
    </w:p>
    <w:bookmarkStart w:id="59" w:name="page60"/>
    <w:bookmarkEnd w:id="59"/>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Improvements performed that correspond to the Fund Request each in a form acceptable to Landlord and complying with Applicable Laws, then Landlord shall, within thirty (30) days following receipt by Landlord of a Fund Request and the accompanying materials required by this Section, pay to Tenant (for reimbursement for payments made by Tenant to the applicable contractors, subcontractors and material suppliers either prior to Landlord’s approval of the Approved TI Budget or as a result of Tenant’s decision to pay for the Expansion Tenant Improvements itself and later seek reimbursement from Landlord in the form of one lump sum payment in accordance with the Lease and this Expansion TI Work Letter), the amount of Expansion Tenant Improvement costs set forth in such Fund Request or Landlord’s pari passu share thereof if Excess Expansion TI Costs exist based on the Approved Budget;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Landlord shall not be obligated to make any payments under this Section until the budget for the Expansion Tenant Improvements is approved in accordance with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and any Fund Request under this Section shall be submitted as of or prior to the Expansion TI Deadline and shall be subject to the payment limits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6.2</w:t>
      </w:r>
      <w:r>
        <w:rPr>
          <w:rFonts w:ascii="Times New Roman" w:cs="Times New Roman" w:eastAsia="Times New Roman" w:hAnsi="Times New Roman"/>
          <w:sz w:val="19"/>
          <w:szCs w:val="19"/>
          <w:color w:val="auto"/>
        </w:rPr>
        <w:t xml:space="preserve"> above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9 of the First Amendment. Notwithstanding anything in this Section to the contrary, Tenant shall not submit a Fund Request after the Expansion TI Deadline or more often than every thirty (30) days. Any additional Fund Requests submitted by Tenant after the Expansion TI Deadline or more often than every thirty (30) days shall be void and of no force or effect.</w:t>
      </w:r>
    </w:p>
    <w:p>
      <w:pPr>
        <w:spacing w:after="0" w:line="176" w:lineRule="exact"/>
        <w:rPr>
          <w:sz w:val="20"/>
          <w:szCs w:val="20"/>
          <w:color w:val="auto"/>
        </w:rPr>
      </w:pPr>
    </w:p>
    <w:p>
      <w:pPr>
        <w:jc w:val="both"/>
        <w:ind w:firstLine="634"/>
        <w:spacing w:after="0"/>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Accrual Information</w:t>
      </w:r>
      <w:r>
        <w:rPr>
          <w:rFonts w:ascii="Times New Roman" w:cs="Times New Roman" w:eastAsia="Times New Roman" w:hAnsi="Times New Roman"/>
          <w:sz w:val="19"/>
          <w:szCs w:val="19"/>
          <w:color w:val="auto"/>
        </w:rPr>
        <w:t xml:space="preserve">. In addition to the other requirements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Tenant shall, no later than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business day of each month until the Expansion Tenant Improvements are complete, provide Landlord with an estimate of (a) the percentage of design and other soft cost work that has been completed, (b) design and other soft costs spent through the end of the previous month, both from commencement of the Expansion Tenant Improvements and solely for the previous month, (c) the percentage of construction and other hard cost work that has been completed, (d) construction and other hard costs spent through the end of the previous month, both from commencement of the Expansion Tenant Improvements and solely for the previous month, and (e) the date of Substantial Completion of the Expansion Tenant Improvements.</w:t>
      </w:r>
    </w:p>
    <w:p>
      <w:pPr>
        <w:spacing w:after="0" w:line="323" w:lineRule="exact"/>
        <w:rPr>
          <w:sz w:val="20"/>
          <w:szCs w:val="20"/>
          <w:color w:val="auto"/>
        </w:rPr>
      </w:pPr>
    </w:p>
    <w:p>
      <w:pPr>
        <w:ind w:left="640" w:hanging="634"/>
        <w:spacing w:after="0"/>
        <w:tabs>
          <w:tab w:leader="none" w:pos="6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jc w:val="both"/>
        <w:ind w:firstLine="634"/>
        <w:spacing w:after="0" w:line="269"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Incorporation of Lease Provisions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40.6</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40.19</w:t>
      </w:r>
      <w:r>
        <w:rPr>
          <w:rFonts w:ascii="Times New Roman" w:cs="Times New Roman" w:eastAsia="Times New Roman" w:hAnsi="Times New Roman"/>
          <w:sz w:val="19"/>
          <w:szCs w:val="19"/>
          <w:color w:val="auto"/>
        </w:rPr>
        <w:t xml:space="preserve"> of the Lease are incorporated into this Expansion TI Work Letter by reference, and shall apply to this Expansion TI Work Letter in the same way that they apply to the Lease.</w:t>
      </w:r>
    </w:p>
    <w:p>
      <w:pPr>
        <w:spacing w:after="0" w:line="145" w:lineRule="exact"/>
        <w:rPr>
          <w:sz w:val="20"/>
          <w:szCs w:val="20"/>
          <w:color w:val="auto"/>
        </w:rPr>
      </w:pPr>
    </w:p>
    <w:p>
      <w:pPr>
        <w:jc w:val="both"/>
        <w:ind w:firstLine="634"/>
        <w:spacing w:after="0" w:line="241"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Except as otherwise set forth in the Lease or this Expansion TI Work Letter, this Expansion TI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72" w:lineRule="exact"/>
        <w:rPr>
          <w:sz w:val="20"/>
          <w:szCs w:val="20"/>
          <w:color w:val="auto"/>
        </w:rPr>
      </w:pPr>
    </w:p>
    <w:p>
      <w:pPr>
        <w:jc w:val="both"/>
        <w:ind w:firstLine="634"/>
        <w:spacing w:after="0" w:line="258"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Notwithstanding anything to the contrary set forth in the Lease, for the purposes of delivering notices, requests and responses related to the Expansion Tenant Improvements under this Expansion TI Work Letter, delivery by electronic mail to Landlord’s Authorized Representative and Tenant’s Authorized Representative shall be deemed sufficient.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B-6</w:t>
      </w:r>
    </w:p>
    <w:p>
      <w:pPr>
        <w:sectPr>
          <w:pgSz w:w="11900" w:h="16838" w:orient="portrait"/>
          <w:cols w:equalWidth="0" w:num="1">
            <w:col w:w="11240"/>
          </w:cols>
          <w:pgMar w:left="320" w:top="1386" w:right="339" w:bottom="1440" w:gutter="0" w:footer="0" w:header="0"/>
        </w:sectPr>
      </w:pPr>
    </w:p>
    <w:bookmarkStart w:id="60" w:name="page61"/>
    <w:bookmarkEnd w:id="60"/>
    <w:p>
      <w:pPr>
        <w:ind w:firstLine="634"/>
        <w:spacing w:after="0" w:line="269" w:lineRule="auto"/>
        <w:rPr>
          <w:sz w:val="20"/>
          <w:szCs w:val="20"/>
          <w:color w:val="auto"/>
        </w:rPr>
      </w:pPr>
      <w:r>
        <w:rPr>
          <w:rFonts w:ascii="Times New Roman" w:cs="Times New Roman" w:eastAsia="Times New Roman" w:hAnsi="Times New Roman"/>
          <w:sz w:val="19"/>
          <w:szCs w:val="19"/>
          <w:color w:val="auto"/>
        </w:rPr>
        <w:t>IN WITNESS WHEREOF, Landlord and Tenant have executed this Expansion TI Work Letter as a sealed Massachusetts instrument to be effective on the date first above written.</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BRE-BMR GROVE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22860</wp:posOffset>
            </wp:positionV>
            <wp:extent cx="3122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B-7</w:t>
      </w:r>
    </w:p>
    <w:p>
      <w:pPr>
        <w:sectPr>
          <w:pgSz w:w="11900" w:h="16838" w:orient="portrait"/>
          <w:cols w:equalWidth="0" w:num="1">
            <w:col w:w="11100"/>
          </w:cols>
          <w:pgMar w:left="320" w:top="1386" w:right="4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ACKNOWLEDGEMENT OF EXPANSION PREMISES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TERM COMMENCEMENT DATE AND LEASE EXPIRATION DATE</w:t>
      </w:r>
    </w:p>
    <w:p>
      <w:pPr>
        <w:spacing w:after="0" w:line="209"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9"/>
          <w:szCs w:val="19"/>
          <w:color w:val="auto"/>
        </w:rPr>
        <w:t>This acknowledgement of EXPANSION PREMISES TERM commencement date AND LEASE EXPIRATION DATE is entered into as of _____________, 2022, with reference to that certain First Amendment to Lease (the “</w:t>
      </w:r>
      <w:r>
        <w:rPr>
          <w:rFonts w:ascii="Times New Roman" w:cs="Times New Roman" w:eastAsia="Times New Roman" w:hAnsi="Times New Roman"/>
          <w:sz w:val="19"/>
          <w:szCs w:val="19"/>
          <w:u w:val="single" w:color="auto"/>
          <w:color w:val="auto"/>
        </w:rPr>
        <w:t>First Amendment</w:t>
      </w:r>
      <w:r>
        <w:rPr>
          <w:rFonts w:ascii="Times New Roman" w:cs="Times New Roman" w:eastAsia="Times New Roman" w:hAnsi="Times New Roman"/>
          <w:sz w:val="19"/>
          <w:szCs w:val="19"/>
          <w:color w:val="auto"/>
        </w:rPr>
        <w:t>”) dated as of ____________, 202__,</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by SELECTA BIOSCIENCES, INC., a 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 in favor of BRE-BMR GROVE LLC, a Delaware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which amends that certain Lease dated as of July 23, 2019 by and between Landlord and Tenant (as amended and modified,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 All capitalized terms used herein without definition shall have the meanings ascribed to them in the Lease.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Tenant hereby confirms the following:</w:t>
      </w:r>
    </w:p>
    <w:p>
      <w:pPr>
        <w:spacing w:after="0" w:line="205" w:lineRule="exact"/>
        <w:rPr>
          <w:sz w:val="20"/>
          <w:szCs w:val="20"/>
          <w:color w:val="auto"/>
        </w:rPr>
      </w:pPr>
    </w:p>
    <w:p>
      <w:pPr>
        <w:ind w:firstLine="6"/>
        <w:spacing w:after="0" w:line="269"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accepted possession of the Expansion Premises for construction of improvements or the installation of personal or other property on [_______], 20[__]. Tenant first occupied the Expansion Premises for the Permitted Use on [_______], 20[__].</w:t>
      </w:r>
    </w:p>
    <w:p>
      <w:pPr>
        <w:spacing w:after="0" w:line="144"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Expansion Premises are in good order, condition and repair.</w:t>
      </w:r>
    </w:p>
    <w:p>
      <w:pPr>
        <w:spacing w:after="0" w:line="217"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04" w:lineRule="exact"/>
        <w:rPr>
          <w:rFonts w:ascii="Times New Roman" w:cs="Times New Roman" w:eastAsia="Times New Roman" w:hAnsi="Times New Roman"/>
          <w:sz w:val="19"/>
          <w:szCs w:val="19"/>
          <w:color w:val="auto"/>
        </w:rPr>
      </w:pPr>
    </w:p>
    <w:p>
      <w:pPr>
        <w:jc w:val="both"/>
        <w:ind w:firstLine="6"/>
        <w:spacing w:after="0" w:line="251"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conditions of the First Amendment to be performed by Landlord as a condition to the full effectiveness of the First Amendment have been satisfied, and Landlord has fulfilled all of its duties in the nature of inducements offered to Tenant to lease the Expansion Premises, except [_____].</w:t>
      </w:r>
    </w:p>
    <w:p>
      <w:pPr>
        <w:spacing w:after="0" w:line="160" w:lineRule="exact"/>
        <w:rPr>
          <w:rFonts w:ascii="Times New Roman" w:cs="Times New Roman" w:eastAsia="Times New Roman" w:hAnsi="Times New Roman"/>
          <w:sz w:val="19"/>
          <w:szCs w:val="19"/>
          <w:color w:val="auto"/>
        </w:rPr>
      </w:pPr>
    </w:p>
    <w:p>
      <w:pPr>
        <w:jc w:val="both"/>
        <w:ind w:firstLine="6"/>
        <w:spacing w:after="0" w:line="251"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accordance with the provisions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the First Amendment, the Expansion Premises Term Commencement Date is [_______], 20[__], and, unless the Lease is terminated prior to the Expansion Term Expiration Date pursuant to its terms, the Expansion Term Expiration Date is May 24, 2028.</w:t>
      </w:r>
    </w:p>
    <w:p>
      <w:pPr>
        <w:spacing w:after="0" w:line="160" w:lineRule="exact"/>
        <w:rPr>
          <w:rFonts w:ascii="Times New Roman" w:cs="Times New Roman" w:eastAsia="Times New Roman" w:hAnsi="Times New Roman"/>
          <w:sz w:val="19"/>
          <w:szCs w:val="19"/>
          <w:color w:val="auto"/>
        </w:rPr>
      </w:pPr>
    </w:p>
    <w:p>
      <w:pPr>
        <w:ind w:right="20" w:firstLine="6"/>
        <w:spacing w:after="0" w:line="284"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Lease is in full force and effect, and the same represents the entire agreement between Landlord and Tenant concerning the Expansion Premises , except [_______].</w:t>
      </w:r>
    </w:p>
    <w:p>
      <w:pPr>
        <w:spacing w:after="0" w:line="130" w:lineRule="exact"/>
        <w:rPr>
          <w:rFonts w:ascii="Times New Roman" w:cs="Times New Roman" w:eastAsia="Times New Roman" w:hAnsi="Times New Roman"/>
          <w:sz w:val="19"/>
          <w:szCs w:val="19"/>
          <w:color w:val="auto"/>
        </w:rPr>
      </w:pPr>
    </w:p>
    <w:p>
      <w:pPr>
        <w:ind w:firstLine="6"/>
        <w:spacing w:after="0" w:line="269"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has no existing defenses against the enforcement of the Lease by Landlord, and there exist no offsets or credits against Rent owed or to be owed by Tenant.</w:t>
      </w:r>
    </w:p>
    <w:p>
      <w:pPr>
        <w:spacing w:after="0" w:line="144" w:lineRule="exact"/>
        <w:rPr>
          <w:rFonts w:ascii="Times New Roman" w:cs="Times New Roman" w:eastAsia="Times New Roman" w:hAnsi="Times New Roman"/>
          <w:sz w:val="19"/>
          <w:szCs w:val="19"/>
          <w:color w:val="auto"/>
        </w:rPr>
      </w:pPr>
    </w:p>
    <w:p>
      <w:pPr>
        <w:jc w:val="both"/>
        <w:ind w:firstLine="6"/>
        <w:spacing w:after="0" w:line="238" w:lineRule="auto"/>
        <w:tabs>
          <w:tab w:leader="none" w:pos="6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 to pay Rent with respect to the Expansion Premises is presently in effect and all Rent obligations with respect to the Expansion Premises on the part of Tenant under the Lease commence to accrue on [_____________] (the “</w:t>
      </w:r>
      <w:r>
        <w:rPr>
          <w:rFonts w:ascii="Times New Roman" w:cs="Times New Roman" w:eastAsia="Times New Roman" w:hAnsi="Times New Roman"/>
          <w:sz w:val="19"/>
          <w:szCs w:val="19"/>
          <w:u w:val="single" w:color="auto"/>
          <w:color w:val="auto"/>
        </w:rPr>
        <w:t>Expansion Premises Rent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Commencement Date</w:t>
      </w:r>
      <w:r>
        <w:rPr>
          <w:rFonts w:ascii="Times New Roman" w:cs="Times New Roman" w:eastAsia="Times New Roman" w:hAnsi="Times New Roman"/>
          <w:sz w:val="19"/>
          <w:szCs w:val="19"/>
          <w:color w:val="auto"/>
        </w:rPr>
        <w:t>”), with Base Rent payable on the dates and amounts set forth in the chart below. Base Rent shall be subject to an annual upward adjustment of three percent (3%) of the then-current Base Rent during the Expansion Premises Term. The first such adjustment shall become effective commencing on the Expansion Rent Adjustment Date, and subsequent adjustments shall become effective on every successive annual anniversary for so long as this Lease continues in effect with respect to the Expansion Premises. The Expansion Rent Adjustment Date is</w:t>
      </w:r>
    </w:p>
    <w:p>
      <w:pPr>
        <w:spacing w:after="0" w:line="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_______ </w:t>
      </w:r>
      <w:r>
        <w:rPr>
          <w:rFonts w:ascii="Times New Roman" w:cs="Times New Roman" w:eastAsia="Times New Roman" w:hAnsi="Times New Roman"/>
          <w:sz w:val="19"/>
          <w:szCs w:val="19"/>
          <w:i w:val="1"/>
          <w:iCs w:val="1"/>
          <w:color w:val="auto"/>
        </w:rPr>
        <w:t>[insert first anniversary of Expansion Premises Rent Commencement Date]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1240"/>
          </w:cols>
          <w:pgMar w:left="320" w:top="1382" w:right="339" w:bottom="1440" w:gutter="0" w:footer="0" w:header="0"/>
        </w:sectPr>
      </w:pPr>
    </w:p>
    <w:bookmarkStart w:id="62" w:name="page63"/>
    <w:bookmarkEnd w:id="62"/>
    <w:p>
      <w:pPr>
        <w:spacing w:after="0" w:line="200" w:lineRule="exact"/>
        <w:rPr>
          <w:sz w:val="20"/>
          <w:szCs w:val="20"/>
          <w:color w:val="auto"/>
        </w:rPr>
      </w:pPr>
    </w:p>
    <w:p>
      <w:pPr>
        <w:spacing w:after="0" w:line="225" w:lineRule="exact"/>
        <w:rPr>
          <w:sz w:val="20"/>
          <w:szCs w:val="20"/>
          <w:color w:val="auto"/>
        </w:rPr>
      </w:pPr>
    </w:p>
    <w:tbl>
      <w:tblPr>
        <w:tblLayout w:type="fixed"/>
        <w:tblInd w:w="970" w:type="dxa"/>
        <w:tblCellMar>
          <w:top w:w="0" w:type="dxa"/>
          <w:left w:w="0" w:type="dxa"/>
          <w:bottom w:w="0" w:type="dxa"/>
          <w:right w:w="0" w:type="dxa"/>
        </w:tblCellMar>
      </w:tblPr>
      <w:tr>
        <w:trPr>
          <w:trHeight w:val="225"/>
        </w:trPr>
        <w:tc>
          <w:tcPr>
            <w:tcW w:w="22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rPr>
              <w:t>Dates</w:t>
            </w:r>
          </w:p>
        </w:tc>
        <w:tc>
          <w:tcPr>
            <w:tcW w:w="60" w:type="dxa"/>
            <w:vAlign w:val="bottom"/>
            <w:tcBorders>
              <w:top w:val="single" w:sz="8" w:color="auto"/>
            </w:tcBorders>
          </w:tcPr>
          <w:p>
            <w:pPr>
              <w:spacing w:after="0"/>
              <w:rPr>
                <w:sz w:val="19"/>
                <w:szCs w:val="19"/>
                <w:color w:val="auto"/>
              </w:rPr>
            </w:pPr>
          </w:p>
        </w:tc>
        <w:tc>
          <w:tcPr>
            <w:tcW w:w="206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Square Feet of Rentable</w:t>
            </w:r>
          </w:p>
        </w:tc>
        <w:tc>
          <w:tcPr>
            <w:tcW w:w="80" w:type="dxa"/>
            <w:vAlign w:val="bottom"/>
            <w:tcBorders>
              <w:top w:val="single" w:sz="8" w:color="auto"/>
            </w:tcBorders>
          </w:tcPr>
          <w:p>
            <w:pPr>
              <w:spacing w:after="0"/>
              <w:rPr>
                <w:sz w:val="19"/>
                <w:szCs w:val="19"/>
                <w:color w:val="auto"/>
              </w:rPr>
            </w:pPr>
          </w:p>
        </w:tc>
        <w:tc>
          <w:tcPr>
            <w:tcW w:w="192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Base Rent per Square</w:t>
            </w:r>
          </w:p>
        </w:tc>
        <w:tc>
          <w:tcPr>
            <w:tcW w:w="20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Monthly Base Rent</w:t>
            </w: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Annual Base Rent*</w:t>
            </w:r>
          </w:p>
        </w:tc>
      </w:tr>
      <w:tr>
        <w:trPr>
          <w:trHeight w:val="192"/>
        </w:trPr>
        <w:tc>
          <w:tcPr>
            <w:tcW w:w="880" w:type="dxa"/>
            <w:vAlign w:val="bottom"/>
            <w:tcBorders>
              <w:left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780"/>
              <w:spacing w:after="0" w:line="192" w:lineRule="exact"/>
              <w:rPr>
                <w:sz w:val="20"/>
                <w:szCs w:val="20"/>
                <w:color w:val="auto"/>
              </w:rPr>
            </w:pPr>
            <w:r>
              <w:rPr>
                <w:rFonts w:ascii="Times New Roman" w:cs="Times New Roman" w:eastAsia="Times New Roman" w:hAnsi="Times New Roman"/>
                <w:sz w:val="19"/>
                <w:szCs w:val="19"/>
                <w:b w:val="1"/>
                <w:bCs w:val="1"/>
                <w:color w:val="auto"/>
              </w:rPr>
              <w:t>Area</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Foot of Rentable Area</w:t>
            </w:r>
          </w:p>
        </w:tc>
        <w:tc>
          <w:tcPr>
            <w:tcW w:w="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46"/>
        </w:trPr>
        <w:tc>
          <w:tcPr>
            <w:tcW w:w="8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8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06"/>
        </w:trPr>
        <w:tc>
          <w:tcPr>
            <w:tcW w:w="2220" w:type="dxa"/>
            <w:vAlign w:val="bottom"/>
            <w:tcBorders>
              <w:left w:val="single" w:sz="8" w:color="auto"/>
              <w:right w:val="single" w:sz="8" w:color="auto"/>
            </w:tcBorders>
            <w:gridSpan w:val="3"/>
          </w:tcPr>
          <w:p>
            <w:pPr>
              <w:jc w:val="center"/>
              <w:ind w:right="20"/>
              <w:spacing w:after="0" w:line="206" w:lineRule="exact"/>
              <w:rPr>
                <w:sz w:val="20"/>
                <w:szCs w:val="20"/>
                <w:color w:val="auto"/>
              </w:rPr>
            </w:pPr>
            <w:r>
              <w:rPr>
                <w:rFonts w:ascii="Times New Roman" w:cs="Times New Roman" w:eastAsia="Times New Roman" w:hAnsi="Times New Roman"/>
                <w:sz w:val="19"/>
                <w:szCs w:val="19"/>
                <w:color w:val="auto"/>
              </w:rPr>
              <w:t xml:space="preserve">__/__/__ </w:t>
            </w:r>
            <w:r>
              <w:rPr>
                <w:rFonts w:ascii="Times New Roman" w:cs="Times New Roman" w:eastAsia="Times New Roman" w:hAnsi="Times New Roman"/>
                <w:sz w:val="19"/>
                <w:szCs w:val="19"/>
                <w:i w:val="1"/>
                <w:iCs w:val="1"/>
                <w:color w:val="auto"/>
              </w:rPr>
              <w:t>[insert Expansion</w:t>
            </w:r>
          </w:p>
        </w:tc>
        <w:tc>
          <w:tcPr>
            <w:tcW w:w="2040" w:type="dxa"/>
            <w:vAlign w:val="bottom"/>
            <w:gridSpan w:val="4"/>
          </w:tcPr>
          <w:p>
            <w:pPr>
              <w:jc w:val="center"/>
              <w:spacing w:after="0" w:line="206"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right w:val="single" w:sz="8" w:color="auto"/>
            </w:tcBorders>
            <w:gridSpan w:val="3"/>
          </w:tcPr>
          <w:p>
            <w:pPr>
              <w:jc w:val="center"/>
              <w:ind w:right="120"/>
              <w:spacing w:after="0" w:line="206" w:lineRule="exact"/>
              <w:rPr>
                <w:sz w:val="20"/>
                <w:szCs w:val="20"/>
                <w:color w:val="auto"/>
              </w:rPr>
            </w:pPr>
            <w:r>
              <w:rPr>
                <w:rFonts w:ascii="Times New Roman" w:cs="Times New Roman" w:eastAsia="Times New Roman" w:hAnsi="Times New Roman"/>
                <w:sz w:val="19"/>
                <w:szCs w:val="19"/>
                <w:color w:val="auto"/>
              </w:rPr>
              <w:t>$98.00 annually</w:t>
            </w:r>
          </w:p>
        </w:tc>
        <w:tc>
          <w:tcPr>
            <w:tcW w:w="1820" w:type="dxa"/>
            <w:vAlign w:val="bottom"/>
            <w:gridSpan w:val="2"/>
          </w:tcPr>
          <w:p>
            <w:pPr>
              <w:jc w:val="center"/>
              <w:ind w:left="143"/>
              <w:spacing w:after="0" w:line="206" w:lineRule="exact"/>
              <w:rPr>
                <w:sz w:val="20"/>
                <w:szCs w:val="20"/>
                <w:color w:val="auto"/>
              </w:rPr>
            </w:pPr>
            <w:r>
              <w:rPr>
                <w:rFonts w:ascii="Times New Roman" w:cs="Times New Roman" w:eastAsia="Times New Roman" w:hAnsi="Times New Roman"/>
                <w:sz w:val="19"/>
                <w:szCs w:val="19"/>
                <w:color w:val="auto"/>
              </w:rPr>
              <w:t>$58,930.67</w:t>
            </w:r>
          </w:p>
        </w:tc>
        <w:tc>
          <w:tcPr>
            <w:tcW w:w="260" w:type="dxa"/>
            <w:vAlign w:val="bottom"/>
            <w:tcBorders>
              <w:right w:val="single" w:sz="8" w:color="auto"/>
            </w:tcBorders>
          </w:tcPr>
          <w:p>
            <w:pPr>
              <w:spacing w:after="0"/>
              <w:rPr>
                <w:sz w:val="17"/>
                <w:szCs w:val="17"/>
                <w:color w:val="auto"/>
              </w:rPr>
            </w:pPr>
          </w:p>
        </w:tc>
        <w:tc>
          <w:tcPr>
            <w:tcW w:w="1800" w:type="dxa"/>
            <w:vAlign w:val="bottom"/>
            <w:gridSpan w:val="2"/>
          </w:tcPr>
          <w:p>
            <w:pPr>
              <w:jc w:val="center"/>
              <w:ind w:left="123"/>
              <w:spacing w:after="0" w:line="206" w:lineRule="exact"/>
              <w:rPr>
                <w:sz w:val="20"/>
                <w:szCs w:val="20"/>
                <w:color w:val="auto"/>
              </w:rPr>
            </w:pPr>
            <w:r>
              <w:rPr>
                <w:rFonts w:ascii="Times New Roman" w:cs="Times New Roman" w:eastAsia="Times New Roman" w:hAnsi="Times New Roman"/>
                <w:sz w:val="19"/>
                <w:szCs w:val="19"/>
                <w:color w:val="auto"/>
              </w:rPr>
              <w:t>$707,168.00</w:t>
            </w:r>
          </w:p>
        </w:tc>
        <w:tc>
          <w:tcPr>
            <w:tcW w:w="160" w:type="dxa"/>
            <w:vAlign w:val="bottom"/>
          </w:tcPr>
          <w:p>
            <w:pPr>
              <w:spacing w:after="0"/>
              <w:rPr>
                <w:sz w:val="17"/>
                <w:szCs w:val="17"/>
                <w:color w:val="auto"/>
              </w:rPr>
            </w:pPr>
          </w:p>
        </w:tc>
      </w:tr>
      <w:tr>
        <w:trPr>
          <w:trHeight w:val="225"/>
        </w:trPr>
        <w:tc>
          <w:tcPr>
            <w:tcW w:w="22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i w:val="1"/>
                <w:iCs w:val="1"/>
                <w:color w:val="auto"/>
              </w:rPr>
              <w:t>Premises Rent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2220" w:type="dxa"/>
            <w:vAlign w:val="bottom"/>
            <w:tcBorders>
              <w:left w:val="single" w:sz="8" w:color="auto"/>
              <w:right w:val="single" w:sz="8" w:color="auto"/>
            </w:tcBorders>
            <w:gridSpan w:val="3"/>
          </w:tcPr>
          <w:p>
            <w:pPr>
              <w:jc w:val="center"/>
              <w:ind w:right="20"/>
              <w:spacing w:after="0" w:line="214" w:lineRule="exact"/>
              <w:rPr>
                <w:sz w:val="20"/>
                <w:szCs w:val="20"/>
                <w:color w:val="auto"/>
              </w:rPr>
            </w:pPr>
            <w:r>
              <w:rPr>
                <w:rFonts w:ascii="Times New Roman" w:cs="Times New Roman" w:eastAsia="Times New Roman" w:hAnsi="Times New Roman"/>
                <w:sz w:val="19"/>
                <w:szCs w:val="19"/>
                <w:i w:val="1"/>
                <w:iCs w:val="1"/>
                <w:color w:val="auto"/>
              </w:rPr>
              <w:t xml:space="preserve">Commencement Date] </w:t>
            </w:r>
            <w:r>
              <w:rPr>
                <w:rFonts w:ascii="Times New Roman" w:cs="Times New Roman" w:eastAsia="Times New Roman" w:hAnsi="Times New Roman"/>
                <w:sz w:val="19"/>
                <w:szCs w:val="19"/>
                <w:color w:val="auto"/>
              </w:rPr>
              <w: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2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Expansion Rent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2"/>
        </w:trPr>
        <w:tc>
          <w:tcPr>
            <w:tcW w:w="2220" w:type="dxa"/>
            <w:vAlign w:val="bottom"/>
            <w:tcBorders>
              <w:left w:val="single" w:sz="8" w:color="auto"/>
              <w:right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19"/>
                <w:szCs w:val="19"/>
                <w:color w:val="auto"/>
              </w:rPr>
              <w:t xml:space="preserve">Adjustment Date </w:t>
            </w:r>
            <w:r>
              <w:rPr>
                <w:rFonts w:ascii="Times New Roman" w:cs="Times New Roman" w:eastAsia="Times New Roman" w:hAnsi="Times New Roman"/>
                <w:sz w:val="19"/>
                <w:szCs w:val="19"/>
                <w:i w:val="1"/>
                <w:iCs w:val="1"/>
                <w:color w:val="auto"/>
              </w:rPr>
              <w:t>[or insert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22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i w:val="1"/>
                <w:iCs w:val="1"/>
                <w:color w:val="auto"/>
              </w:rPr>
              <w:t>Expansion Rent Adjustment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9"/>
        </w:trPr>
        <w:tc>
          <w:tcPr>
            <w:tcW w:w="22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i w:val="1"/>
                <w:iCs w:val="1"/>
                <w:color w:val="auto"/>
              </w:rPr>
              <w:t>Date if occurred]</w:t>
            </w:r>
          </w:p>
        </w:tc>
        <w:tc>
          <w:tcPr>
            <w:tcW w:w="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r>
        <w:trPr>
          <w:trHeight w:val="212"/>
        </w:trPr>
        <w:tc>
          <w:tcPr>
            <w:tcW w:w="2220" w:type="dxa"/>
            <w:vAlign w:val="bottom"/>
            <w:tcBorders>
              <w:left w:val="single" w:sz="8" w:color="auto"/>
              <w:right w:val="single" w:sz="8" w:color="auto"/>
            </w:tcBorders>
            <w:gridSpan w:val="3"/>
          </w:tcPr>
          <w:p>
            <w:pPr>
              <w:jc w:val="center"/>
              <w:spacing w:after="0" w:line="213" w:lineRule="exact"/>
              <w:rPr>
                <w:sz w:val="20"/>
                <w:szCs w:val="20"/>
                <w:color w:val="auto"/>
              </w:rPr>
            </w:pPr>
            <w:r>
              <w:rPr>
                <w:rFonts w:ascii="Times New Roman" w:cs="Times New Roman" w:eastAsia="Times New Roman" w:hAnsi="Times New Roman"/>
                <w:sz w:val="19"/>
                <w:szCs w:val="19"/>
                <w:color w:val="auto"/>
              </w:rPr>
              <w:t>___/___/2023 -</w:t>
            </w:r>
          </w:p>
        </w:tc>
        <w:tc>
          <w:tcPr>
            <w:tcW w:w="204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right w:val="single" w:sz="8" w:color="auto"/>
            </w:tcBorders>
            <w:gridSpan w:val="3"/>
          </w:tcPr>
          <w:p>
            <w:pPr>
              <w:jc w:val="center"/>
              <w:ind w:right="120"/>
              <w:spacing w:after="0" w:line="213" w:lineRule="exact"/>
              <w:rPr>
                <w:sz w:val="20"/>
                <w:szCs w:val="20"/>
                <w:color w:val="auto"/>
              </w:rPr>
            </w:pPr>
            <w:r>
              <w:rPr>
                <w:rFonts w:ascii="Times New Roman" w:cs="Times New Roman" w:eastAsia="Times New Roman" w:hAnsi="Times New Roman"/>
                <w:sz w:val="19"/>
                <w:szCs w:val="19"/>
                <w:color w:val="auto"/>
              </w:rPr>
              <w:t>$100.94 annually</w:t>
            </w:r>
          </w:p>
        </w:tc>
        <w:tc>
          <w:tcPr>
            <w:tcW w:w="1820" w:type="dxa"/>
            <w:vAlign w:val="bottom"/>
            <w:gridSpan w:val="2"/>
          </w:tcPr>
          <w:p>
            <w:pPr>
              <w:jc w:val="center"/>
              <w:ind w:left="143"/>
              <w:spacing w:after="0" w:line="213" w:lineRule="exact"/>
              <w:rPr>
                <w:sz w:val="20"/>
                <w:szCs w:val="20"/>
                <w:color w:val="auto"/>
              </w:rPr>
            </w:pPr>
            <w:r>
              <w:rPr>
                <w:rFonts w:ascii="Times New Roman" w:cs="Times New Roman" w:eastAsia="Times New Roman" w:hAnsi="Times New Roman"/>
                <w:sz w:val="19"/>
                <w:szCs w:val="19"/>
                <w:color w:val="auto"/>
              </w:rPr>
              <w:t>$60,698.59</w:t>
            </w:r>
          </w:p>
        </w:tc>
        <w:tc>
          <w:tcPr>
            <w:tcW w:w="260" w:type="dxa"/>
            <w:vAlign w:val="bottom"/>
            <w:tcBorders>
              <w:right w:val="single" w:sz="8" w:color="auto"/>
            </w:tcBorders>
          </w:tcPr>
          <w:p>
            <w:pPr>
              <w:spacing w:after="0"/>
              <w:rPr>
                <w:sz w:val="18"/>
                <w:szCs w:val="18"/>
                <w:color w:val="auto"/>
              </w:rPr>
            </w:pPr>
          </w:p>
        </w:tc>
        <w:tc>
          <w:tcPr>
            <w:tcW w:w="1800" w:type="dxa"/>
            <w:vAlign w:val="bottom"/>
            <w:gridSpan w:val="2"/>
          </w:tcPr>
          <w:p>
            <w:pPr>
              <w:jc w:val="center"/>
              <w:ind w:left="123"/>
              <w:spacing w:after="0" w:line="213" w:lineRule="exact"/>
              <w:rPr>
                <w:sz w:val="20"/>
                <w:szCs w:val="20"/>
                <w:color w:val="auto"/>
              </w:rPr>
            </w:pPr>
            <w:r>
              <w:rPr>
                <w:rFonts w:ascii="Times New Roman" w:cs="Times New Roman" w:eastAsia="Times New Roman" w:hAnsi="Times New Roman"/>
                <w:sz w:val="19"/>
                <w:szCs w:val="19"/>
                <w:color w:val="auto"/>
              </w:rPr>
              <w:t>$728,383.04</w:t>
            </w:r>
          </w:p>
        </w:tc>
        <w:tc>
          <w:tcPr>
            <w:tcW w:w="160" w:type="dxa"/>
            <w:vAlign w:val="bottom"/>
          </w:tcPr>
          <w:p>
            <w:pPr>
              <w:spacing w:after="0"/>
              <w:rPr>
                <w:sz w:val="18"/>
                <w:szCs w:val="18"/>
                <w:color w:val="auto"/>
              </w:rPr>
            </w:pPr>
          </w:p>
        </w:tc>
      </w:tr>
      <w:tr>
        <w:trPr>
          <w:trHeight w:val="253"/>
        </w:trPr>
        <w:tc>
          <w:tcPr>
            <w:tcW w:w="22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rPr>
              <w:t>___/___/2024</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8"/>
        </w:trPr>
        <w:tc>
          <w:tcPr>
            <w:tcW w:w="2220" w:type="dxa"/>
            <w:vAlign w:val="bottom"/>
            <w:tcBorders>
              <w:left w:val="single" w:sz="8" w:color="auto"/>
              <w:right w:val="single" w:sz="8" w:color="auto"/>
            </w:tcBorders>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auto"/>
              </w:rPr>
              <w:t>___/___/2024 -</w:t>
            </w:r>
          </w:p>
        </w:tc>
        <w:tc>
          <w:tcPr>
            <w:tcW w:w="2040" w:type="dxa"/>
            <w:vAlign w:val="bottom"/>
            <w:gridSpan w:val="4"/>
          </w:tcPr>
          <w:p>
            <w:pPr>
              <w:jc w:val="center"/>
              <w:spacing w:after="0" w:line="208"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right w:val="single" w:sz="8" w:color="auto"/>
            </w:tcBorders>
            <w:gridSpan w:val="3"/>
          </w:tcPr>
          <w:p>
            <w:pPr>
              <w:jc w:val="center"/>
              <w:ind w:right="120"/>
              <w:spacing w:after="0" w:line="208" w:lineRule="exact"/>
              <w:rPr>
                <w:sz w:val="20"/>
                <w:szCs w:val="20"/>
                <w:color w:val="auto"/>
              </w:rPr>
            </w:pPr>
            <w:r>
              <w:rPr>
                <w:rFonts w:ascii="Times New Roman" w:cs="Times New Roman" w:eastAsia="Times New Roman" w:hAnsi="Times New Roman"/>
                <w:sz w:val="19"/>
                <w:szCs w:val="19"/>
                <w:color w:val="auto"/>
              </w:rPr>
              <w:t>$103.97 annually</w:t>
            </w:r>
          </w:p>
        </w:tc>
        <w:tc>
          <w:tcPr>
            <w:tcW w:w="1820" w:type="dxa"/>
            <w:vAlign w:val="bottom"/>
            <w:gridSpan w:val="2"/>
          </w:tcPr>
          <w:p>
            <w:pPr>
              <w:jc w:val="center"/>
              <w:ind w:left="143"/>
              <w:spacing w:after="0" w:line="208" w:lineRule="exact"/>
              <w:rPr>
                <w:sz w:val="20"/>
                <w:szCs w:val="20"/>
                <w:color w:val="auto"/>
              </w:rPr>
            </w:pPr>
            <w:r>
              <w:rPr>
                <w:rFonts w:ascii="Times New Roman" w:cs="Times New Roman" w:eastAsia="Times New Roman" w:hAnsi="Times New Roman"/>
                <w:sz w:val="19"/>
                <w:szCs w:val="19"/>
                <w:color w:val="auto"/>
              </w:rPr>
              <w:t>$62,520.63</w:t>
            </w:r>
          </w:p>
        </w:tc>
        <w:tc>
          <w:tcPr>
            <w:tcW w:w="260" w:type="dxa"/>
            <w:vAlign w:val="bottom"/>
            <w:tcBorders>
              <w:right w:val="single" w:sz="8" w:color="auto"/>
            </w:tcBorders>
          </w:tcPr>
          <w:p>
            <w:pPr>
              <w:spacing w:after="0"/>
              <w:rPr>
                <w:sz w:val="18"/>
                <w:szCs w:val="18"/>
                <w:color w:val="auto"/>
              </w:rPr>
            </w:pPr>
          </w:p>
        </w:tc>
        <w:tc>
          <w:tcPr>
            <w:tcW w:w="1800" w:type="dxa"/>
            <w:vAlign w:val="bottom"/>
            <w:gridSpan w:val="2"/>
          </w:tcPr>
          <w:p>
            <w:pPr>
              <w:jc w:val="center"/>
              <w:ind w:left="123"/>
              <w:spacing w:after="0" w:line="208" w:lineRule="exact"/>
              <w:rPr>
                <w:sz w:val="20"/>
                <w:szCs w:val="20"/>
                <w:color w:val="auto"/>
              </w:rPr>
            </w:pPr>
            <w:r>
              <w:rPr>
                <w:rFonts w:ascii="Times New Roman" w:cs="Times New Roman" w:eastAsia="Times New Roman" w:hAnsi="Times New Roman"/>
                <w:sz w:val="19"/>
                <w:szCs w:val="19"/>
                <w:color w:val="auto"/>
              </w:rPr>
              <w:t>$750,247.52</w:t>
            </w:r>
          </w:p>
        </w:tc>
        <w:tc>
          <w:tcPr>
            <w:tcW w:w="160" w:type="dxa"/>
            <w:vAlign w:val="bottom"/>
          </w:tcPr>
          <w:p>
            <w:pPr>
              <w:spacing w:after="0"/>
              <w:rPr>
                <w:sz w:val="18"/>
                <w:szCs w:val="18"/>
                <w:color w:val="auto"/>
              </w:rPr>
            </w:pPr>
          </w:p>
        </w:tc>
      </w:tr>
      <w:tr>
        <w:trPr>
          <w:trHeight w:val="253"/>
        </w:trPr>
        <w:tc>
          <w:tcPr>
            <w:tcW w:w="22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rPr>
              <w:t>___/___/2025</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8"/>
        </w:trPr>
        <w:tc>
          <w:tcPr>
            <w:tcW w:w="2220" w:type="dxa"/>
            <w:vAlign w:val="bottom"/>
            <w:tcBorders>
              <w:left w:val="single" w:sz="8" w:color="auto"/>
              <w:right w:val="single" w:sz="8" w:color="auto"/>
            </w:tcBorders>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auto"/>
              </w:rPr>
              <w:t>___/___/2025 -</w:t>
            </w:r>
          </w:p>
        </w:tc>
        <w:tc>
          <w:tcPr>
            <w:tcW w:w="2040" w:type="dxa"/>
            <w:vAlign w:val="bottom"/>
            <w:gridSpan w:val="4"/>
          </w:tcPr>
          <w:p>
            <w:pPr>
              <w:jc w:val="center"/>
              <w:spacing w:after="0" w:line="208"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right w:val="single" w:sz="8" w:color="auto"/>
            </w:tcBorders>
            <w:gridSpan w:val="3"/>
          </w:tcPr>
          <w:p>
            <w:pPr>
              <w:jc w:val="center"/>
              <w:ind w:right="120"/>
              <w:spacing w:after="0" w:line="208" w:lineRule="exact"/>
              <w:rPr>
                <w:sz w:val="20"/>
                <w:szCs w:val="20"/>
                <w:color w:val="auto"/>
              </w:rPr>
            </w:pPr>
            <w:r>
              <w:rPr>
                <w:rFonts w:ascii="Times New Roman" w:cs="Times New Roman" w:eastAsia="Times New Roman" w:hAnsi="Times New Roman"/>
                <w:sz w:val="19"/>
                <w:szCs w:val="19"/>
                <w:color w:val="auto"/>
              </w:rPr>
              <w:t>$107.09 annually</w:t>
            </w:r>
          </w:p>
        </w:tc>
        <w:tc>
          <w:tcPr>
            <w:tcW w:w="1820" w:type="dxa"/>
            <w:vAlign w:val="bottom"/>
            <w:gridSpan w:val="2"/>
          </w:tcPr>
          <w:p>
            <w:pPr>
              <w:jc w:val="center"/>
              <w:ind w:left="143"/>
              <w:spacing w:after="0" w:line="208" w:lineRule="exact"/>
              <w:rPr>
                <w:sz w:val="20"/>
                <w:szCs w:val="20"/>
                <w:color w:val="auto"/>
              </w:rPr>
            </w:pPr>
            <w:r>
              <w:rPr>
                <w:rFonts w:ascii="Times New Roman" w:cs="Times New Roman" w:eastAsia="Times New Roman" w:hAnsi="Times New Roman"/>
                <w:sz w:val="19"/>
                <w:szCs w:val="19"/>
                <w:color w:val="auto"/>
              </w:rPr>
              <w:t>$64,396.79</w:t>
            </w:r>
          </w:p>
        </w:tc>
        <w:tc>
          <w:tcPr>
            <w:tcW w:w="260" w:type="dxa"/>
            <w:vAlign w:val="bottom"/>
            <w:tcBorders>
              <w:right w:val="single" w:sz="8" w:color="auto"/>
            </w:tcBorders>
          </w:tcPr>
          <w:p>
            <w:pPr>
              <w:spacing w:after="0"/>
              <w:rPr>
                <w:sz w:val="18"/>
                <w:szCs w:val="18"/>
                <w:color w:val="auto"/>
              </w:rPr>
            </w:pPr>
          </w:p>
        </w:tc>
        <w:tc>
          <w:tcPr>
            <w:tcW w:w="1800" w:type="dxa"/>
            <w:vAlign w:val="bottom"/>
            <w:gridSpan w:val="2"/>
          </w:tcPr>
          <w:p>
            <w:pPr>
              <w:jc w:val="center"/>
              <w:ind w:left="123"/>
              <w:spacing w:after="0" w:line="208" w:lineRule="exact"/>
              <w:rPr>
                <w:sz w:val="20"/>
                <w:szCs w:val="20"/>
                <w:color w:val="auto"/>
              </w:rPr>
            </w:pPr>
            <w:r>
              <w:rPr>
                <w:rFonts w:ascii="Times New Roman" w:cs="Times New Roman" w:eastAsia="Times New Roman" w:hAnsi="Times New Roman"/>
                <w:sz w:val="19"/>
                <w:szCs w:val="19"/>
                <w:color w:val="auto"/>
              </w:rPr>
              <w:t>$772,761.44</w:t>
            </w:r>
          </w:p>
        </w:tc>
        <w:tc>
          <w:tcPr>
            <w:tcW w:w="160" w:type="dxa"/>
            <w:vAlign w:val="bottom"/>
          </w:tcPr>
          <w:p>
            <w:pPr>
              <w:spacing w:after="0"/>
              <w:rPr>
                <w:sz w:val="18"/>
                <w:szCs w:val="18"/>
                <w:color w:val="auto"/>
              </w:rPr>
            </w:pPr>
          </w:p>
        </w:tc>
      </w:tr>
      <w:tr>
        <w:trPr>
          <w:trHeight w:val="253"/>
        </w:trPr>
        <w:tc>
          <w:tcPr>
            <w:tcW w:w="22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rPr>
              <w:t>___/___/2026</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8"/>
        </w:trPr>
        <w:tc>
          <w:tcPr>
            <w:tcW w:w="2220" w:type="dxa"/>
            <w:vAlign w:val="bottom"/>
            <w:tcBorders>
              <w:left w:val="single" w:sz="8" w:color="auto"/>
              <w:right w:val="single" w:sz="8" w:color="auto"/>
            </w:tcBorders>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auto"/>
              </w:rPr>
              <w:t>___/___/2026 -</w:t>
            </w:r>
          </w:p>
        </w:tc>
        <w:tc>
          <w:tcPr>
            <w:tcW w:w="2040" w:type="dxa"/>
            <w:vAlign w:val="bottom"/>
            <w:gridSpan w:val="4"/>
          </w:tcPr>
          <w:p>
            <w:pPr>
              <w:jc w:val="center"/>
              <w:spacing w:after="0" w:line="208"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right w:val="single" w:sz="8" w:color="auto"/>
            </w:tcBorders>
            <w:gridSpan w:val="3"/>
          </w:tcPr>
          <w:p>
            <w:pPr>
              <w:jc w:val="center"/>
              <w:ind w:right="120"/>
              <w:spacing w:after="0" w:line="208" w:lineRule="exact"/>
              <w:rPr>
                <w:sz w:val="20"/>
                <w:szCs w:val="20"/>
                <w:color w:val="auto"/>
              </w:rPr>
            </w:pPr>
            <w:r>
              <w:rPr>
                <w:rFonts w:ascii="Times New Roman" w:cs="Times New Roman" w:eastAsia="Times New Roman" w:hAnsi="Times New Roman"/>
                <w:sz w:val="19"/>
                <w:szCs w:val="19"/>
                <w:color w:val="auto"/>
              </w:rPr>
              <w:t>$110.30 annually</w:t>
            </w:r>
          </w:p>
        </w:tc>
        <w:tc>
          <w:tcPr>
            <w:tcW w:w="1820" w:type="dxa"/>
            <w:vAlign w:val="bottom"/>
            <w:gridSpan w:val="2"/>
          </w:tcPr>
          <w:p>
            <w:pPr>
              <w:jc w:val="center"/>
              <w:ind w:left="143"/>
              <w:spacing w:after="0" w:line="208" w:lineRule="exact"/>
              <w:rPr>
                <w:sz w:val="20"/>
                <w:szCs w:val="20"/>
                <w:color w:val="auto"/>
              </w:rPr>
            </w:pPr>
            <w:r>
              <w:rPr>
                <w:rFonts w:ascii="Times New Roman" w:cs="Times New Roman" w:eastAsia="Times New Roman" w:hAnsi="Times New Roman"/>
                <w:sz w:val="19"/>
                <w:szCs w:val="19"/>
                <w:color w:val="auto"/>
              </w:rPr>
              <w:t>$66,327.07</w:t>
            </w:r>
          </w:p>
        </w:tc>
        <w:tc>
          <w:tcPr>
            <w:tcW w:w="260" w:type="dxa"/>
            <w:vAlign w:val="bottom"/>
            <w:tcBorders>
              <w:right w:val="single" w:sz="8" w:color="auto"/>
            </w:tcBorders>
          </w:tcPr>
          <w:p>
            <w:pPr>
              <w:spacing w:after="0"/>
              <w:rPr>
                <w:sz w:val="18"/>
                <w:szCs w:val="18"/>
                <w:color w:val="auto"/>
              </w:rPr>
            </w:pPr>
          </w:p>
        </w:tc>
        <w:tc>
          <w:tcPr>
            <w:tcW w:w="1800" w:type="dxa"/>
            <w:vAlign w:val="bottom"/>
            <w:gridSpan w:val="2"/>
          </w:tcPr>
          <w:p>
            <w:pPr>
              <w:jc w:val="center"/>
              <w:ind w:left="103"/>
              <w:spacing w:after="0" w:line="208" w:lineRule="exact"/>
              <w:rPr>
                <w:sz w:val="20"/>
                <w:szCs w:val="20"/>
                <w:color w:val="auto"/>
              </w:rPr>
            </w:pPr>
            <w:r>
              <w:rPr>
                <w:rFonts w:ascii="Times New Roman" w:cs="Times New Roman" w:eastAsia="Times New Roman" w:hAnsi="Times New Roman"/>
                <w:sz w:val="19"/>
                <w:szCs w:val="19"/>
                <w:color w:val="auto"/>
              </w:rPr>
              <w:t>$795924.80</w:t>
            </w:r>
          </w:p>
        </w:tc>
        <w:tc>
          <w:tcPr>
            <w:tcW w:w="160" w:type="dxa"/>
            <w:vAlign w:val="bottom"/>
          </w:tcPr>
          <w:p>
            <w:pPr>
              <w:spacing w:after="0"/>
              <w:rPr>
                <w:sz w:val="18"/>
                <w:szCs w:val="18"/>
                <w:color w:val="auto"/>
              </w:rPr>
            </w:pPr>
          </w:p>
        </w:tc>
      </w:tr>
      <w:tr>
        <w:trPr>
          <w:trHeight w:val="253"/>
        </w:trPr>
        <w:tc>
          <w:tcPr>
            <w:tcW w:w="22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rPr>
              <w:t>___/___/2027</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8"/>
        </w:trPr>
        <w:tc>
          <w:tcPr>
            <w:tcW w:w="2220" w:type="dxa"/>
            <w:vAlign w:val="bottom"/>
            <w:tcBorders>
              <w:left w:val="single" w:sz="8" w:color="auto"/>
              <w:right w:val="single" w:sz="8" w:color="auto"/>
            </w:tcBorders>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auto"/>
              </w:rPr>
              <w:t>___/___/2027 -</w:t>
            </w:r>
          </w:p>
        </w:tc>
        <w:tc>
          <w:tcPr>
            <w:tcW w:w="2040" w:type="dxa"/>
            <w:vAlign w:val="bottom"/>
            <w:gridSpan w:val="4"/>
          </w:tcPr>
          <w:p>
            <w:pPr>
              <w:jc w:val="center"/>
              <w:spacing w:after="0" w:line="208" w:lineRule="exact"/>
              <w:rPr>
                <w:sz w:val="20"/>
                <w:szCs w:val="20"/>
                <w:color w:val="auto"/>
              </w:rPr>
            </w:pPr>
            <w:r>
              <w:rPr>
                <w:rFonts w:ascii="Times New Roman" w:cs="Times New Roman" w:eastAsia="Times New Roman" w:hAnsi="Times New Roman"/>
                <w:sz w:val="19"/>
                <w:szCs w:val="19"/>
                <w:color w:val="auto"/>
                <w:w w:val="98"/>
              </w:rPr>
              <w:t>7,216</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right w:val="single" w:sz="8" w:color="auto"/>
            </w:tcBorders>
            <w:gridSpan w:val="3"/>
          </w:tcPr>
          <w:p>
            <w:pPr>
              <w:jc w:val="center"/>
              <w:ind w:right="120"/>
              <w:spacing w:after="0" w:line="208" w:lineRule="exact"/>
              <w:rPr>
                <w:sz w:val="20"/>
                <w:szCs w:val="20"/>
                <w:color w:val="auto"/>
              </w:rPr>
            </w:pPr>
            <w:r>
              <w:rPr>
                <w:rFonts w:ascii="Times New Roman" w:cs="Times New Roman" w:eastAsia="Times New Roman" w:hAnsi="Times New Roman"/>
                <w:sz w:val="19"/>
                <w:szCs w:val="19"/>
                <w:color w:val="auto"/>
              </w:rPr>
              <w:t>$113.61 annually</w:t>
            </w:r>
          </w:p>
        </w:tc>
        <w:tc>
          <w:tcPr>
            <w:tcW w:w="1820" w:type="dxa"/>
            <w:vAlign w:val="bottom"/>
            <w:gridSpan w:val="2"/>
          </w:tcPr>
          <w:p>
            <w:pPr>
              <w:jc w:val="center"/>
              <w:ind w:left="143"/>
              <w:spacing w:after="0" w:line="208" w:lineRule="exact"/>
              <w:rPr>
                <w:sz w:val="20"/>
                <w:szCs w:val="20"/>
                <w:color w:val="auto"/>
              </w:rPr>
            </w:pPr>
            <w:r>
              <w:rPr>
                <w:rFonts w:ascii="Times New Roman" w:cs="Times New Roman" w:eastAsia="Times New Roman" w:hAnsi="Times New Roman"/>
                <w:sz w:val="19"/>
                <w:szCs w:val="19"/>
                <w:color w:val="auto"/>
              </w:rPr>
              <w:t>$68,317.48</w:t>
            </w:r>
          </w:p>
        </w:tc>
        <w:tc>
          <w:tcPr>
            <w:tcW w:w="260" w:type="dxa"/>
            <w:vAlign w:val="bottom"/>
            <w:tcBorders>
              <w:right w:val="single" w:sz="8" w:color="auto"/>
            </w:tcBorders>
          </w:tcPr>
          <w:p>
            <w:pPr>
              <w:spacing w:after="0"/>
              <w:rPr>
                <w:sz w:val="18"/>
                <w:szCs w:val="18"/>
                <w:color w:val="auto"/>
              </w:rPr>
            </w:pPr>
          </w:p>
        </w:tc>
        <w:tc>
          <w:tcPr>
            <w:tcW w:w="1800" w:type="dxa"/>
            <w:vAlign w:val="bottom"/>
            <w:gridSpan w:val="2"/>
          </w:tcPr>
          <w:p>
            <w:pPr>
              <w:jc w:val="center"/>
              <w:ind w:left="123"/>
              <w:spacing w:after="0" w:line="208" w:lineRule="exact"/>
              <w:rPr>
                <w:sz w:val="20"/>
                <w:szCs w:val="20"/>
                <w:color w:val="auto"/>
              </w:rPr>
            </w:pPr>
            <w:r>
              <w:rPr>
                <w:rFonts w:ascii="Times New Roman" w:cs="Times New Roman" w:eastAsia="Times New Roman" w:hAnsi="Times New Roman"/>
                <w:sz w:val="19"/>
                <w:szCs w:val="19"/>
                <w:color w:val="auto"/>
              </w:rPr>
              <w:t>$819,809.76</w:t>
            </w:r>
          </w:p>
        </w:tc>
        <w:tc>
          <w:tcPr>
            <w:tcW w:w="160" w:type="dxa"/>
            <w:vAlign w:val="bottom"/>
          </w:tcPr>
          <w:p>
            <w:pPr>
              <w:spacing w:after="0"/>
              <w:rPr>
                <w:sz w:val="18"/>
                <w:szCs w:val="18"/>
                <w:color w:val="auto"/>
              </w:rPr>
            </w:pPr>
          </w:p>
        </w:tc>
      </w:tr>
      <w:tr>
        <w:trPr>
          <w:trHeight w:val="225"/>
        </w:trPr>
        <w:tc>
          <w:tcPr>
            <w:tcW w:w="22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rPr>
              <w:t>___/___/2028 (Lease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22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Expiration Date)</w:t>
            </w:r>
          </w:p>
        </w:tc>
        <w:tc>
          <w:tcPr>
            <w:tcW w:w="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bl>
    <w:p>
      <w:pPr>
        <w:spacing w:after="0" w:line="281" w:lineRule="exact"/>
        <w:rPr>
          <w:sz w:val="20"/>
          <w:szCs w:val="20"/>
          <w:color w:val="auto"/>
        </w:rPr>
      </w:pPr>
    </w:p>
    <w:p>
      <w:pPr>
        <w:ind w:right="100" w:firstLine="6"/>
        <w:spacing w:after="0" w:line="269" w:lineRule="auto"/>
        <w:tabs>
          <w:tab w:leader="none" w:pos="63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Tenant has not made any prior assignment, transfer, hypothecation or pledge of the Lease or of the rents thereunder or sublease of the Expansion Premises or any portion thereof.</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11340"/>
          </w:cols>
          <w:pgMar w:left="320" w:top="1440" w:right="239" w:bottom="1440" w:gutter="0" w:footer="0" w:header="0"/>
        </w:sectPr>
      </w:pPr>
    </w:p>
    <w:bookmarkStart w:id="63" w:name="page64"/>
    <w:bookmarkEnd w:id="63"/>
    <w:p>
      <w:pPr>
        <w:spacing w:after="0" w:line="396" w:lineRule="exact"/>
        <w:rPr>
          <w:sz w:val="20"/>
          <w:szCs w:val="20"/>
          <w:color w:val="auto"/>
        </w:rPr>
      </w:pPr>
    </w:p>
    <w:p>
      <w:pPr>
        <w:ind w:firstLine="634"/>
        <w:spacing w:after="0" w:line="269" w:lineRule="auto"/>
        <w:rPr>
          <w:sz w:val="20"/>
          <w:szCs w:val="20"/>
          <w:color w:val="auto"/>
        </w:rPr>
      </w:pPr>
      <w:r>
        <w:rPr>
          <w:rFonts w:ascii="Times New Roman" w:cs="Times New Roman" w:eastAsia="Times New Roman" w:hAnsi="Times New Roman"/>
          <w:sz w:val="19"/>
          <w:szCs w:val="19"/>
          <w:color w:val="auto"/>
        </w:rPr>
        <w:t>IN WITNESS WHEREOF, Tenant has executed this Acknowledgment of Expansion Premises Term Commencement Date as of the date first written above.</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22860</wp:posOffset>
            </wp:positionV>
            <wp:extent cx="3122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22860</wp:posOffset>
            </wp:positionV>
            <wp:extent cx="3122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22860</wp:posOffset>
            </wp:positionV>
            <wp:extent cx="3122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C-3</w:t>
      </w:r>
    </w:p>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LOAN AND SECURITY AGREEMENT</w:t>
      </w:r>
    </w:p>
    <w:p>
      <w:pPr>
        <w:spacing w:after="0" w:line="200" w:lineRule="exact"/>
        <w:rPr>
          <w:sz w:val="20"/>
          <w:szCs w:val="20"/>
          <w:color w:val="auto"/>
        </w:rPr>
      </w:pPr>
    </w:p>
    <w:p>
      <w:pPr>
        <w:spacing w:after="0" w:line="254" w:lineRule="exact"/>
        <w:rPr>
          <w:sz w:val="20"/>
          <w:szCs w:val="20"/>
          <w:color w:val="auto"/>
        </w:rPr>
      </w:pPr>
    </w:p>
    <w:p>
      <w:pPr>
        <w:jc w:val="both"/>
        <w:ind w:firstLine="634"/>
        <w:spacing w:after="0" w:line="250" w:lineRule="auto"/>
        <w:rPr>
          <w:sz w:val="20"/>
          <w:szCs w:val="20"/>
          <w:color w:val="auto"/>
        </w:rPr>
      </w:pPr>
      <w:r>
        <w:rPr>
          <w:rFonts w:ascii="Times New Roman" w:cs="Times New Roman" w:eastAsia="Times New Roman" w:hAnsi="Times New Roman"/>
          <w:sz w:val="18"/>
          <w:szCs w:val="18"/>
          <w:color w:val="auto"/>
        </w:rPr>
        <w:t>THIS THIRD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September 20, 2022, by and among OXFORD FINANCE LLC, a Delaware limited liability company with an office located at 115 South Union Street, Suite 300, Alexandria, Virginia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the Lenders listed on Schedule 1.1 to the Loan Agreement (as defined below) or otherwise a party thereto from time to time including Oxford in its capacity as a Lender and SILICON VALLEY BANK, a California corporation with an office located at 3003 Tasman Drive, Santa Clara, CA 95054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SELECTA BIOSCIENCES, INC., a Delaware corporation with offices located at 65 Grove Street, Suite 101, Watertown, MA 02472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ind w:firstLine="640"/>
        <w:spacing w:after="0" w:line="253" w:lineRule="auto"/>
        <w:tabs>
          <w:tab w:leader="none" w:pos="1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Collateral Agent, Borrower and Lenders have entered into that certain Loan and Security Agreement dated as of August 31, 2020 (as amended by that certain First Amendment to Loan and Security Agreement dated as of September 7, 2021, as amended by that certain Second Amendment to Loan and Security Agreement dated as of March 21, 2022, and as further amended,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Lenders have provided to Borrower certain loans in accordance with the terms and conditions thereof; and</w:t>
      </w:r>
    </w:p>
    <w:p>
      <w:pPr>
        <w:spacing w:after="0" w:line="131" w:lineRule="exact"/>
        <w:rPr>
          <w:rFonts w:ascii="Times New Roman" w:cs="Times New Roman" w:eastAsia="Times New Roman" w:hAnsi="Times New Roman"/>
          <w:sz w:val="18"/>
          <w:szCs w:val="18"/>
          <w:color w:val="auto"/>
        </w:rPr>
      </w:pPr>
    </w:p>
    <w:p>
      <w:pPr>
        <w:ind w:left="1260" w:hanging="620"/>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WHEREAS, Borrower has requested that Collateral Agent and Lenders make certain revisions to the Loan Agreement as more fully set forth</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herein; and</w:t>
      </w:r>
    </w:p>
    <w:p>
      <w:pPr>
        <w:spacing w:after="0" w:line="145" w:lineRule="exact"/>
        <w:rPr>
          <w:rFonts w:ascii="Times New Roman" w:cs="Times New Roman" w:eastAsia="Times New Roman" w:hAnsi="Times New Roman"/>
          <w:sz w:val="17"/>
          <w:szCs w:val="17"/>
          <w:color w:val="auto"/>
        </w:rPr>
      </w:pPr>
    </w:p>
    <w:p>
      <w:pPr>
        <w:ind w:firstLine="640"/>
        <w:spacing w:after="0" w:line="270" w:lineRule="auto"/>
        <w:tabs>
          <w:tab w:leader="none" w:pos="1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Borrower, the Lenders party to this Amendment (constituting the Required Lenders) and Collateral Agent desire to amend certain provisions of the Loan Agreement as provided herein and subject to the terms and conditions set forth herein.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14" w:lineRule="exact"/>
        <w:rPr>
          <w:sz w:val="20"/>
          <w:szCs w:val="20"/>
          <w:color w:val="auto"/>
        </w:rPr>
      </w:pPr>
    </w:p>
    <w:p>
      <w:pPr>
        <w:ind w:left="640" w:hanging="634"/>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Capitalized terms used but not defined in this Amendment shall have the meanings given to them in the Loan Agreement.</w:t>
      </w:r>
    </w:p>
    <w:p>
      <w:pPr>
        <w:spacing w:after="0" w:line="163"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Section 6.6 (Operating Accounts)</w:t>
      </w:r>
      <w:r>
        <w:rPr>
          <w:rFonts w:ascii="Times New Roman" w:cs="Times New Roman" w:eastAsia="Times New Roman" w:hAnsi="Times New Roman"/>
          <w:sz w:val="18"/>
          <w:szCs w:val="18"/>
          <w:color w:val="auto"/>
        </w:rPr>
        <w:t>. The last sentence of Section 6.6(c) of the Loan Agreement is hereby amended and restated as follows:</w:t>
      </w:r>
    </w:p>
    <w:p>
      <w:pPr>
        <w:spacing w:after="0" w:line="165"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“The provisions of the previous sentence shall not apply to deposit accounts exclusively used for payroll, payroll taxes and other employee wage benefit payments to or for the benefit of Borrower’s, or any of its Subsidiaries’, employees or deposit accounts exclusively used as cash collateral to secure letters of credit permitted by clause (l) of the definition of “Permitted Liens”, in each case identified to Collateral Agent by Borrower as such in the Perfection Certificates.”</w:t>
      </w:r>
    </w:p>
    <w:p>
      <w:pPr>
        <w:spacing w:after="0" w:line="130" w:lineRule="exact"/>
        <w:rPr>
          <w:sz w:val="20"/>
          <w:szCs w:val="20"/>
          <w:color w:val="auto"/>
        </w:rPr>
      </w:pPr>
    </w:p>
    <w:p>
      <w:pPr>
        <w:jc w:val="both"/>
        <w:ind w:firstLine="634"/>
        <w:spacing w:after="0" w:line="273" w:lineRule="auto"/>
        <w:rPr>
          <w:sz w:val="20"/>
          <w:szCs w:val="20"/>
          <w:color w:val="auto"/>
        </w:rPr>
      </w:pPr>
      <w:r>
        <w:rPr>
          <w:rFonts w:ascii="Times New Roman" w:cs="Times New Roman" w:eastAsia="Times New Roman" w:hAnsi="Times New Roman"/>
          <w:sz w:val="18"/>
          <w:szCs w:val="18"/>
          <w:b w:val="1"/>
          <w:bCs w:val="1"/>
          <w:color w:val="auto"/>
        </w:rPr>
        <w:t>2.2 Definition of Permitted Indebtedness</w:t>
      </w:r>
      <w:r>
        <w:rPr>
          <w:rFonts w:ascii="Times New Roman" w:cs="Times New Roman" w:eastAsia="Times New Roman" w:hAnsi="Times New Roman"/>
          <w:sz w:val="18"/>
          <w:szCs w:val="18"/>
          <w:color w:val="auto"/>
        </w:rPr>
        <w:t>. The definition of “Permitted Indebtedness” in Section 13.1 of the Loan Agreement is hereby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deleting “and” from the end of clause (i) and replacing clause (j) and adding new clause (k) as follows:</w:t>
      </w:r>
    </w:p>
    <w:p>
      <w:pPr>
        <w:spacing w:after="0" w:line="113"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“(j) Indebtedness in respect of letters of credit in an aggregate amount not to exceed One Million Six Hundred Twenty-Five Thousand Dollars ($1,625,000) issued to landlords as credit support for Borrower’s real property leases; and</w:t>
      </w:r>
    </w:p>
    <w:p>
      <w:pPr>
        <w:sectPr>
          <w:pgSz w:w="11900" w:h="16838" w:orient="portrait"/>
          <w:cols w:equalWidth="0" w:num="1">
            <w:col w:w="11240"/>
          </w:cols>
          <w:pgMar w:left="320" w:top="119" w:right="339" w:bottom="1440" w:gutter="0" w:footer="0" w:header="0"/>
        </w:sectPr>
      </w:pPr>
    </w:p>
    <w:bookmarkStart w:id="65" w:name="page66"/>
    <w:bookmarkEnd w:id="65"/>
    <w:p>
      <w:pPr>
        <w:jc w:val="both"/>
        <w:ind w:firstLine="640"/>
        <w:spacing w:after="0" w:line="258" w:lineRule="auto"/>
        <w:tabs>
          <w:tab w:leader="none" w:pos="8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(j) above, provided that the principal amount thereof is not increased or the terms thereof are not modified to impose more burdensome terms upon Borrower, or its Subsidiary, as the case may be.”</w:t>
      </w:r>
    </w:p>
    <w:p>
      <w:pPr>
        <w:spacing w:after="0" w:line="200" w:lineRule="exact"/>
        <w:rPr>
          <w:sz w:val="20"/>
          <w:szCs w:val="20"/>
          <w:color w:val="auto"/>
        </w:rPr>
      </w:pPr>
    </w:p>
    <w:p>
      <w:pPr>
        <w:spacing w:after="0" w:line="320" w:lineRule="exact"/>
        <w:rPr>
          <w:sz w:val="20"/>
          <w:szCs w:val="20"/>
          <w:color w:val="auto"/>
        </w:rPr>
      </w:pPr>
    </w:p>
    <w:p>
      <w:pPr>
        <w:ind w:right="20" w:firstLine="634"/>
        <w:spacing w:after="0" w:line="273" w:lineRule="auto"/>
        <w:rPr>
          <w:sz w:val="20"/>
          <w:szCs w:val="20"/>
          <w:color w:val="auto"/>
        </w:rPr>
      </w:pPr>
      <w:r>
        <w:rPr>
          <w:rFonts w:ascii="Times New Roman" w:cs="Times New Roman" w:eastAsia="Times New Roman" w:hAnsi="Times New Roman"/>
          <w:sz w:val="18"/>
          <w:szCs w:val="18"/>
          <w:b w:val="1"/>
          <w:bCs w:val="1"/>
          <w:color w:val="auto"/>
        </w:rPr>
        <w:t>2.3 Definition of Permitted Liens</w:t>
      </w:r>
      <w:r>
        <w:rPr>
          <w:rFonts w:ascii="Times New Roman" w:cs="Times New Roman" w:eastAsia="Times New Roman" w:hAnsi="Times New Roman"/>
          <w:sz w:val="18"/>
          <w:szCs w:val="18"/>
          <w:color w:val="auto"/>
        </w:rPr>
        <w:t>. The definition of “Permitted Liens” in Section 13.1 of Loan Agreement is hereby amended by deleting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end of clause (j) and replacing clause (k) and adding new clause (l) as follows: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 Liens consisting of Permitted Licenses; and</w:t>
      </w:r>
    </w:p>
    <w:p>
      <w:pPr>
        <w:spacing w:after="0" w:line="163" w:lineRule="exact"/>
        <w:rPr>
          <w:sz w:val="20"/>
          <w:szCs w:val="20"/>
          <w:color w:val="auto"/>
        </w:rPr>
      </w:pPr>
    </w:p>
    <w:p>
      <w:pPr>
        <w:ind w:firstLine="640"/>
        <w:spacing w:after="0" w:line="270" w:lineRule="auto"/>
        <w:tabs>
          <w:tab w:leader="none" w:pos="8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collateral to secure letters of credit permitted by clause (j) of the definition of “Permitted Indebtedness” and in an amount not to exceed One Million Six Hundred Twenty-Five Thousand Dollars ($1,625,000).”</w:t>
      </w:r>
    </w:p>
    <w:p>
      <w:pPr>
        <w:spacing w:after="0" w:line="200" w:lineRule="exact"/>
        <w:rPr>
          <w:rFonts w:ascii="Times New Roman" w:cs="Times New Roman" w:eastAsia="Times New Roman" w:hAnsi="Times New Roman"/>
          <w:sz w:val="18"/>
          <w:szCs w:val="18"/>
          <w:color w:val="auto"/>
        </w:rPr>
      </w:pPr>
    </w:p>
    <w:p>
      <w:pPr>
        <w:spacing w:after="0" w:line="310"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Amendment.</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color w:val="auto"/>
        </w:rPr>
        <w:t>The amendments set forth above are effective for the purposes set forth herein and shall be limited precisely as written and shall not be deemed</w:t>
      </w:r>
    </w:p>
    <w:p>
      <w:pPr>
        <w:spacing w:after="0" w:line="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35" w:lineRule="exact"/>
        <w:rPr>
          <w:sz w:val="20"/>
          <w:szCs w:val="20"/>
          <w:color w:val="auto"/>
        </w:rPr>
      </w:pPr>
    </w:p>
    <w:p>
      <w:pPr>
        <w:jc w:val="both"/>
        <w:ind w:firstLine="63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set forth in the Loan Documents are hereby ratified and confirmed and shall remain in full force and effect.</w:t>
      </w:r>
    </w:p>
    <w:p>
      <w:pPr>
        <w:spacing w:after="0" w:line="111" w:lineRule="exact"/>
        <w:rPr>
          <w:sz w:val="20"/>
          <w:szCs w:val="20"/>
          <w:color w:val="auto"/>
        </w:rPr>
      </w:pPr>
    </w:p>
    <w:p>
      <w:pPr>
        <w:ind w:firstLine="6"/>
        <w:spacing w:after="0" w:line="273" w:lineRule="auto"/>
        <w:tabs>
          <w:tab w:leader="none" w:pos="63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To induce Collateral Agent and Lenders to enter into this Amendment, Borrower hereby represents and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Collateral Agent and Lenders as follows:</w:t>
      </w:r>
    </w:p>
    <w:p>
      <w:pPr>
        <w:spacing w:after="0" w:line="111" w:lineRule="exact"/>
        <w:rPr>
          <w:sz w:val="20"/>
          <w:szCs w:val="20"/>
          <w:color w:val="auto"/>
        </w:rPr>
      </w:pPr>
    </w:p>
    <w:p>
      <w:pPr>
        <w:jc w:val="both"/>
        <w:ind w:firstLine="6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Immediately after giving effect to this Amendment (a) the representations and warranties contained in the Loan Documents are true,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23" w:lineRule="exact"/>
        <w:rPr>
          <w:sz w:val="20"/>
          <w:szCs w:val="20"/>
          <w:color w:val="auto"/>
        </w:rPr>
      </w:pPr>
    </w:p>
    <w:p>
      <w:pPr>
        <w:jc w:val="both"/>
        <w:ind w:firstLine="63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Borrower has the power and due authority to execute and deliver this Amendment and to perform its obligations under the Loan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this Amendment;</w:t>
      </w:r>
    </w:p>
    <w:p>
      <w:pPr>
        <w:spacing w:after="0" w:line="111" w:lineRule="exact"/>
        <w:rPr>
          <w:sz w:val="20"/>
          <w:szCs w:val="20"/>
          <w:color w:val="auto"/>
        </w:rPr>
      </w:pPr>
    </w:p>
    <w:p>
      <w:pPr>
        <w:jc w:val="both"/>
        <w:ind w:firstLine="6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Borrower delivered to Collateral Agent on the Effective Date, and updated pursuant to subsequent deliveries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on behalf of the Borrower to the Collateral Agent, remain true, accurate and complete and have not been amended, supplemented or restated and are and continue to be in full force and effect;</w:t>
      </w:r>
    </w:p>
    <w:p>
      <w:pPr>
        <w:spacing w:after="0" w:line="123" w:lineRule="exact"/>
        <w:rPr>
          <w:sz w:val="20"/>
          <w:szCs w:val="20"/>
          <w:color w:val="auto"/>
        </w:rPr>
      </w:pPr>
    </w:p>
    <w:p>
      <w:pPr>
        <w:jc w:val="both"/>
        <w:ind w:firstLine="63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this Amendment, do not contravene (i) any material law or regulation binding on or affecting Borrower, (ii) any material contractual restriction with a Person binding on Borrower, (iii) any material order, judgment or decree of any court or other governmental or public body or authority, or subdivision thereof, binding on Borrower, or (iv) the organizational documents of Borrower;</w:t>
      </w:r>
    </w:p>
    <w:p>
      <w:pPr>
        <w:spacing w:after="0" w:line="128" w:lineRule="exact"/>
        <w:rPr>
          <w:sz w:val="20"/>
          <w:szCs w:val="20"/>
          <w:color w:val="auto"/>
        </w:rPr>
      </w:pPr>
    </w:p>
    <w:p>
      <w:pPr>
        <w:jc w:val="both"/>
        <w:ind w:firstLine="6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0" w:right="339" w:bottom="1440" w:gutter="0" w:footer="0" w:header="0"/>
        </w:sectPr>
      </w:pPr>
    </w:p>
    <w:bookmarkStart w:id="66" w:name="page67"/>
    <w:bookmarkEnd w:id="66"/>
    <w:p>
      <w:pPr>
        <w:jc w:val="both"/>
        <w:ind w:firstLine="6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This Amendment has been duly executed and delivered by Borrower and is the binding obligation of Borrower, enforceable against Borrower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23"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Effectiveness. </w:t>
      </w:r>
      <w:r>
        <w:rPr>
          <w:rFonts w:ascii="Times New Roman" w:cs="Times New Roman" w:eastAsia="Times New Roman" w:hAnsi="Times New Roman"/>
          <w:sz w:val="18"/>
          <w:szCs w:val="18"/>
          <w:color w:val="auto"/>
        </w:rPr>
        <w:t>This Amendment shall be deemed effective as of the date hereof upon the due execution of this Amendment by the parties thereto.</w:t>
      </w:r>
    </w:p>
    <w:p>
      <w:pPr>
        <w:spacing w:after="0" w:line="163" w:lineRule="exact"/>
        <w:rPr>
          <w:rFonts w:ascii="Times New Roman" w:cs="Times New Roman" w:eastAsia="Times New Roman" w:hAnsi="Times New Roman"/>
          <w:sz w:val="18"/>
          <w:szCs w:val="18"/>
          <w:b w:val="1"/>
          <w:bCs w:val="1"/>
          <w:color w:val="auto"/>
        </w:rPr>
      </w:pPr>
    </w:p>
    <w:p>
      <w:pPr>
        <w:jc w:val="both"/>
        <w:ind w:firstLine="6"/>
        <w:spacing w:after="0" w:line="259" w:lineRule="auto"/>
        <w:tabs>
          <w:tab w:leader="none" w:pos="63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counterparts, each of which shall be deemed an original, and all of which,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by electronic transmission (e.g. “.pdf”) of an executed counterpart of this Amendment shall be effective as a manually executed counterpart signature thereof.</w:t>
      </w:r>
    </w:p>
    <w:p>
      <w:pPr>
        <w:spacing w:after="0" w:line="123" w:lineRule="exact"/>
        <w:rPr>
          <w:rFonts w:ascii="Times New Roman" w:cs="Times New Roman" w:eastAsia="Times New Roman" w:hAnsi="Times New Roman"/>
          <w:sz w:val="18"/>
          <w:szCs w:val="18"/>
          <w:b w:val="1"/>
          <w:bCs w:val="1"/>
          <w:color w:val="auto"/>
        </w:rPr>
      </w:pPr>
    </w:p>
    <w:p>
      <w:pPr>
        <w:ind w:firstLine="6"/>
        <w:spacing w:after="0" w:line="273" w:lineRule="auto"/>
        <w:tabs>
          <w:tab w:leader="none" w:pos="63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rights and obligations of the parties hereto shall be governed by and construed in accordance with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California.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8" w:right="339" w:bottom="1440" w:gutter="0" w:footer="0" w:header="0"/>
        </w:sectPr>
      </w:pPr>
    </w:p>
    <w:bookmarkStart w:id="67" w:name="page68"/>
    <w:bookmarkEnd w:id="67"/>
    <w:p>
      <w:pPr>
        <w:spacing w:after="0" w:line="200" w:lineRule="exact"/>
        <w:rPr>
          <w:sz w:val="20"/>
          <w:szCs w:val="20"/>
          <w:color w:val="auto"/>
        </w:rPr>
      </w:pPr>
    </w:p>
    <w:p>
      <w:pPr>
        <w:spacing w:after="0" w:line="211" w:lineRule="exact"/>
        <w:rPr>
          <w:sz w:val="20"/>
          <w:szCs w:val="20"/>
          <w:color w:val="auto"/>
        </w:rPr>
      </w:pPr>
    </w:p>
    <w:p>
      <w:pPr>
        <w:ind w:firstLine="634"/>
        <w:spacing w:after="0" w:line="257"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Third Amendment to Loan and Security Agreement to be executed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3440" w:type="dxa"/>
            <w:vAlign w:val="bottom"/>
          </w:tcPr>
          <w:p>
            <w:pPr>
              <w:spacing w:after="0"/>
              <w:rPr>
                <w:sz w:val="20"/>
                <w:szCs w:val="20"/>
                <w:color w:val="auto"/>
              </w:rPr>
            </w:pPr>
          </w:p>
        </w:tc>
      </w:tr>
      <w:tr>
        <w:trPr>
          <w:trHeight w:val="502"/>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SELECTA BIOSCIENCES, INC.</w:t>
            </w:r>
          </w:p>
        </w:tc>
        <w:tc>
          <w:tcPr>
            <w:tcW w:w="3440" w:type="dxa"/>
            <w:vAlign w:val="bottom"/>
          </w:tcPr>
          <w:p>
            <w:pPr>
              <w:spacing w:after="0"/>
              <w:rPr>
                <w:sz w:val="24"/>
                <w:szCs w:val="24"/>
                <w:color w:val="auto"/>
              </w:rPr>
            </w:pPr>
          </w:p>
        </w:tc>
      </w:tr>
      <w:tr>
        <w:trPr>
          <w:trHeight w:val="51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jc w:val="center"/>
              <w:ind w:right="1412"/>
              <w:spacing w:after="0"/>
              <w:rPr>
                <w:sz w:val="20"/>
                <w:szCs w:val="20"/>
                <w:color w:val="auto"/>
              </w:rPr>
            </w:pPr>
            <w:r>
              <w:rPr>
                <w:rFonts w:ascii="Times New Roman" w:cs="Times New Roman" w:eastAsia="Times New Roman" w:hAnsi="Times New Roman"/>
                <w:sz w:val="18"/>
                <w:szCs w:val="18"/>
                <w:color w:val="auto"/>
                <w:w w:val="95"/>
              </w:rPr>
              <w:t>/s/ Kevin Tan</w:t>
            </w: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8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tcPr>
          <w:p>
            <w:pPr>
              <w:jc w:val="center"/>
              <w:ind w:right="1412"/>
              <w:spacing w:after="0"/>
              <w:rPr>
                <w:sz w:val="20"/>
                <w:szCs w:val="20"/>
                <w:color w:val="auto"/>
              </w:rPr>
            </w:pPr>
            <w:r>
              <w:rPr>
                <w:rFonts w:ascii="Times New Roman" w:cs="Times New Roman" w:eastAsia="Times New Roman" w:hAnsi="Times New Roman"/>
                <w:sz w:val="18"/>
                <w:szCs w:val="18"/>
                <w:color w:val="auto"/>
                <w:w w:val="96"/>
              </w:rPr>
              <w:t>Kevin Tan</w:t>
            </w:r>
          </w:p>
        </w:tc>
      </w:tr>
      <w:tr>
        <w:trPr>
          <w:trHeight w:val="25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OXFORD FINANCE LLC</w:t>
            </w:r>
          </w:p>
        </w:tc>
        <w:tc>
          <w:tcPr>
            <w:tcW w:w="3640" w:type="dxa"/>
            <w:vAlign w:val="bottom"/>
          </w:tcPr>
          <w:p>
            <w:pPr>
              <w:spacing w:after="0"/>
              <w:rPr>
                <w:sz w:val="19"/>
                <w:szCs w:val="19"/>
                <w:color w:val="auto"/>
              </w:rPr>
            </w:pPr>
          </w:p>
        </w:tc>
      </w:tr>
      <w:tr>
        <w:trPr>
          <w:trHeight w:val="51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1192"/>
              <w:spacing w:after="0"/>
              <w:rPr>
                <w:sz w:val="20"/>
                <w:szCs w:val="20"/>
                <w:color w:val="auto"/>
              </w:rPr>
            </w:pPr>
            <w:r>
              <w:rPr>
                <w:rFonts w:ascii="Times New Roman" w:cs="Times New Roman" w:eastAsia="Times New Roman" w:hAnsi="Times New Roman"/>
                <w:sz w:val="18"/>
                <w:szCs w:val="18"/>
                <w:color w:val="auto"/>
                <w:w w:val="97"/>
              </w:rPr>
              <w:t>/s/ Colette H. Featherly</w:t>
            </w: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1192"/>
              <w:spacing w:after="0"/>
              <w:rPr>
                <w:sz w:val="20"/>
                <w:szCs w:val="20"/>
                <w:color w:val="auto"/>
              </w:rPr>
            </w:pPr>
            <w:r>
              <w:rPr>
                <w:rFonts w:ascii="Times New Roman" w:cs="Times New Roman" w:eastAsia="Times New Roman" w:hAnsi="Times New Roman"/>
                <w:sz w:val="18"/>
                <w:szCs w:val="18"/>
                <w:color w:val="auto"/>
                <w:w w:val="98"/>
              </w:rPr>
              <w:t>Colette H. Featherly</w:t>
            </w:r>
          </w:p>
        </w:tc>
      </w:tr>
      <w:tr>
        <w:trPr>
          <w:trHeight w:val="251"/>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jc w:val="center"/>
              <w:ind w:right="1192"/>
              <w:spacing w:after="0"/>
              <w:rPr>
                <w:sz w:val="20"/>
                <w:szCs w:val="20"/>
                <w:color w:val="auto"/>
              </w:rPr>
            </w:pPr>
            <w:r>
              <w:rPr>
                <w:rFonts w:ascii="Times New Roman" w:cs="Times New Roman" w:eastAsia="Times New Roman" w:hAnsi="Times New Roman"/>
                <w:sz w:val="18"/>
                <w:szCs w:val="18"/>
                <w:color w:val="auto"/>
                <w:w w:val="96"/>
              </w:rPr>
              <w:t>Senior Vice President</w:t>
            </w:r>
          </w:p>
        </w:tc>
      </w:tr>
      <w:tr>
        <w:trPr>
          <w:trHeight w:val="78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640" w:type="dxa"/>
            <w:vAlign w:val="bottom"/>
          </w:tcPr>
          <w:p>
            <w:pPr>
              <w:spacing w:after="0"/>
              <w:rPr>
                <w:sz w:val="24"/>
                <w:szCs w:val="24"/>
                <w:color w:val="auto"/>
              </w:rPr>
            </w:pPr>
          </w:p>
        </w:tc>
      </w:tr>
      <w:tr>
        <w:trPr>
          <w:trHeight w:val="5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SILICON VALLEY BANK</w:t>
            </w:r>
          </w:p>
        </w:tc>
        <w:tc>
          <w:tcPr>
            <w:tcW w:w="3640" w:type="dxa"/>
            <w:vAlign w:val="bottom"/>
          </w:tcPr>
          <w:p>
            <w:pPr>
              <w:spacing w:after="0"/>
              <w:rPr>
                <w:sz w:val="24"/>
                <w:szCs w:val="24"/>
                <w:color w:val="auto"/>
              </w:rPr>
            </w:pPr>
          </w:p>
        </w:tc>
      </w:tr>
      <w:tr>
        <w:trPr>
          <w:trHeight w:val="52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1192"/>
              <w:spacing w:after="0"/>
              <w:rPr>
                <w:sz w:val="20"/>
                <w:szCs w:val="20"/>
                <w:color w:val="auto"/>
              </w:rPr>
            </w:pPr>
            <w:r>
              <w:rPr>
                <w:rFonts w:ascii="Times New Roman" w:cs="Times New Roman" w:eastAsia="Times New Roman" w:hAnsi="Times New Roman"/>
                <w:sz w:val="18"/>
                <w:szCs w:val="18"/>
                <w:color w:val="auto"/>
                <w:w w:val="97"/>
              </w:rPr>
              <w:t>/s/ Lauren Cole</w:t>
            </w: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1192"/>
              <w:spacing w:after="0"/>
              <w:rPr>
                <w:sz w:val="20"/>
                <w:szCs w:val="20"/>
                <w:color w:val="auto"/>
              </w:rPr>
            </w:pPr>
            <w:r>
              <w:rPr>
                <w:rFonts w:ascii="Times New Roman" w:cs="Times New Roman" w:eastAsia="Times New Roman" w:hAnsi="Times New Roman"/>
                <w:sz w:val="18"/>
                <w:szCs w:val="18"/>
                <w:color w:val="auto"/>
                <w:w w:val="98"/>
              </w:rPr>
              <w:t>Lauren Cole</w:t>
            </w:r>
          </w:p>
        </w:tc>
      </w:tr>
      <w:tr>
        <w:trPr>
          <w:trHeight w:val="251"/>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jc w:val="center"/>
              <w:ind w:right="1212"/>
              <w:spacing w:after="0"/>
              <w:rPr>
                <w:sz w:val="20"/>
                <w:szCs w:val="20"/>
                <w:color w:val="auto"/>
              </w:rPr>
            </w:pPr>
            <w:r>
              <w:rPr>
                <w:rFonts w:ascii="Times New Roman" w:cs="Times New Roman" w:eastAsia="Times New Roman" w:hAnsi="Times New Roman"/>
                <w:sz w:val="18"/>
                <w:szCs w:val="18"/>
                <w:color w:val="auto"/>
                <w:w w:val="96"/>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Third Amendment to Loan and Security Agreement</w:t>
      </w:r>
      <w:r>
        <w:rPr>
          <w:rFonts w:ascii="Times New Roman" w:cs="Times New Roman" w:eastAsia="Times New Roman" w:hAnsi="Times New Roman"/>
          <w:sz w:val="18"/>
          <w:szCs w:val="18"/>
          <w:b w:val="1"/>
          <w:bCs w:val="1"/>
          <w:color w:val="auto"/>
        </w:rPr>
        <w:t>]</w:t>
      </w:r>
    </w:p>
    <w:p>
      <w:pPr>
        <w:sectPr>
          <w:pgSz w:w="11900" w:h="16838" w:orient="portrait"/>
          <w:cols w:equalWidth="0" w:num="1">
            <w:col w:w="11200"/>
          </w:cols>
          <w:pgMar w:left="320" w:top="1440" w:right="3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Carsten Brunn, Ph.D. certify that:</w:t>
      </w:r>
    </w:p>
    <w:p>
      <w:pPr>
        <w:spacing w:after="0" w:line="231" w:lineRule="exact"/>
        <w:rPr>
          <w:sz w:val="20"/>
          <w:szCs w:val="20"/>
          <w:color w:val="auto"/>
        </w:rPr>
      </w:pPr>
    </w:p>
    <w:p>
      <w:pPr>
        <w:ind w:left="660" w:hanging="337"/>
        <w:spacing w:after="0"/>
        <w:tabs>
          <w:tab w:leader="none" w:pos="6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Selecta Biosciences, Inc.;</w:t>
      </w:r>
    </w:p>
    <w:p>
      <w:pPr>
        <w:spacing w:after="0" w:line="191" w:lineRule="exact"/>
        <w:rPr>
          <w:rFonts w:ascii="Times New Roman" w:cs="Times New Roman" w:eastAsia="Times New Roman" w:hAnsi="Times New Roman"/>
          <w:sz w:val="19"/>
          <w:szCs w:val="19"/>
          <w:color w:val="auto"/>
        </w:rPr>
      </w:pPr>
    </w:p>
    <w:p>
      <w:pPr>
        <w:ind w:left="640" w:right="60" w:hanging="317"/>
        <w:spacing w:after="0" w:line="272" w:lineRule="auto"/>
        <w:tabs>
          <w:tab w:leader="none" w:pos="66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9"/>
          <w:szCs w:val="19"/>
          <w:color w:val="auto"/>
        </w:rPr>
      </w:pPr>
    </w:p>
    <w:p>
      <w:pPr>
        <w:ind w:left="640" w:right="140" w:hanging="317"/>
        <w:spacing w:after="0" w:line="284" w:lineRule="auto"/>
        <w:tabs>
          <w:tab w:leader="none" w:pos="66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9"/>
          <w:szCs w:val="19"/>
          <w:color w:val="auto"/>
        </w:rPr>
      </w:pPr>
    </w:p>
    <w:p>
      <w:pPr>
        <w:ind w:left="640" w:hanging="317"/>
        <w:spacing w:after="0" w:line="269" w:lineRule="auto"/>
        <w:tabs>
          <w:tab w:leader="none" w:pos="65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13a-15(f) and 15d-15(f)) for the registrant and have:</w:t>
      </w:r>
    </w:p>
    <w:p>
      <w:pPr>
        <w:spacing w:after="0" w:line="163" w:lineRule="exact"/>
        <w:rPr>
          <w:rFonts w:ascii="Times New Roman" w:cs="Times New Roman" w:eastAsia="Times New Roman" w:hAnsi="Times New Roman"/>
          <w:sz w:val="19"/>
          <w:szCs w:val="19"/>
          <w:color w:val="auto"/>
        </w:rPr>
      </w:pPr>
    </w:p>
    <w:p>
      <w:pPr>
        <w:ind w:left="1280" w:right="60" w:hanging="402"/>
        <w:spacing w:after="0" w:line="280" w:lineRule="auto"/>
        <w:tabs>
          <w:tab w:leader="none" w:pos="129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9"/>
          <w:szCs w:val="19"/>
          <w:color w:val="auto"/>
        </w:rPr>
      </w:pPr>
    </w:p>
    <w:p>
      <w:pPr>
        <w:ind w:left="1280" w:right="180" w:hanging="402"/>
        <w:spacing w:after="0" w:line="272" w:lineRule="auto"/>
        <w:tabs>
          <w:tab w:leader="none" w:pos="130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9"/>
          <w:szCs w:val="19"/>
          <w:color w:val="auto"/>
        </w:rPr>
      </w:pPr>
    </w:p>
    <w:p>
      <w:pPr>
        <w:ind w:left="1280" w:right="280" w:hanging="402"/>
        <w:spacing w:after="0" w:line="272" w:lineRule="auto"/>
        <w:tabs>
          <w:tab w:leader="none" w:pos="129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9"/>
          <w:szCs w:val="19"/>
          <w:color w:val="auto"/>
        </w:rPr>
      </w:pPr>
    </w:p>
    <w:p>
      <w:pPr>
        <w:ind w:left="1280" w:right="320" w:hanging="402"/>
        <w:spacing w:after="0" w:line="272" w:lineRule="auto"/>
        <w:tabs>
          <w:tab w:leader="none" w:pos="130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Times New Roman" w:cs="Times New Roman" w:eastAsia="Times New Roman" w:hAnsi="Times New Roman"/>
          <w:sz w:val="19"/>
          <w:szCs w:val="19"/>
          <w:color w:val="auto"/>
        </w:rPr>
      </w:pPr>
    </w:p>
    <w:p>
      <w:pPr>
        <w:ind w:left="640" w:right="60" w:hanging="317"/>
        <w:spacing w:after="0" w:line="272" w:lineRule="auto"/>
        <w:tabs>
          <w:tab w:leader="none" w:pos="65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9"/>
          <w:szCs w:val="19"/>
          <w:color w:val="auto"/>
        </w:rPr>
      </w:pPr>
    </w:p>
    <w:p>
      <w:pPr>
        <w:ind w:left="1280" w:right="40" w:hanging="402"/>
        <w:spacing w:after="0" w:line="272" w:lineRule="auto"/>
        <w:tabs>
          <w:tab w:leader="none" w:pos="128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9"/>
          <w:szCs w:val="19"/>
          <w:color w:val="auto"/>
        </w:rPr>
      </w:pPr>
    </w:p>
    <w:p>
      <w:pPr>
        <w:ind w:left="1280" w:right="40" w:hanging="402"/>
        <w:spacing w:after="0" w:line="298" w:lineRule="auto"/>
        <w:tabs>
          <w:tab w:leader="none" w:pos="129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2C2C2C"/>
              </w:rPr>
              <w:t>November 3, 2022</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Carsten Brunn, Ph.D.</w:t>
            </w:r>
          </w:p>
        </w:tc>
      </w:tr>
      <w:tr>
        <w:trPr>
          <w:trHeight w:val="237"/>
        </w:trPr>
        <w:tc>
          <w:tcPr>
            <w:tcW w:w="63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Carsten Brunn, Ph.D.</w:t>
            </w:r>
          </w:p>
        </w:tc>
      </w:tr>
      <w:tr>
        <w:trPr>
          <w:trHeight w:val="251"/>
        </w:trPr>
        <w:tc>
          <w:tcPr>
            <w:tcW w:w="630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President and Chief Executive Officer, and Director</w:t>
            </w:r>
          </w:p>
        </w:tc>
      </w:tr>
      <w:tr>
        <w:trPr>
          <w:trHeight w:val="255"/>
        </w:trPr>
        <w:tc>
          <w:tcPr>
            <w:tcW w:w="6300" w:type="dxa"/>
            <w:vAlign w:val="bottom"/>
          </w:tcPr>
          <w:p>
            <w:pPr>
              <w:spacing w:after="0"/>
              <w:rPr>
                <w:sz w:val="22"/>
                <w:szCs w:val="22"/>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(Principal Executive Officer)</w:t>
            </w:r>
          </w:p>
        </w:tc>
      </w:tr>
    </w:tbl>
    <w:p>
      <w:pPr>
        <w:sectPr>
          <w:pgSz w:w="11900" w:h="16838" w:orient="portrait"/>
          <w:cols w:equalWidth="0" w:num="1">
            <w:col w:w="11240"/>
          </w:cols>
          <w:pgMar w:left="320" w:top="74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Kevin Tan, certify that:</w:t>
      </w:r>
    </w:p>
    <w:p>
      <w:pPr>
        <w:spacing w:after="0" w:line="231" w:lineRule="exact"/>
        <w:rPr>
          <w:sz w:val="20"/>
          <w:szCs w:val="20"/>
          <w:color w:val="auto"/>
        </w:rPr>
      </w:pPr>
    </w:p>
    <w:p>
      <w:pPr>
        <w:ind w:left="660" w:hanging="337"/>
        <w:spacing w:after="0"/>
        <w:tabs>
          <w:tab w:leader="none" w:pos="6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Selecta Biosciences, Inc.;</w:t>
      </w:r>
    </w:p>
    <w:p>
      <w:pPr>
        <w:spacing w:after="0" w:line="191" w:lineRule="exact"/>
        <w:rPr>
          <w:rFonts w:ascii="Times New Roman" w:cs="Times New Roman" w:eastAsia="Times New Roman" w:hAnsi="Times New Roman"/>
          <w:sz w:val="19"/>
          <w:szCs w:val="19"/>
          <w:color w:val="auto"/>
        </w:rPr>
      </w:pPr>
    </w:p>
    <w:p>
      <w:pPr>
        <w:ind w:left="640" w:right="60" w:hanging="317"/>
        <w:spacing w:after="0" w:line="272" w:lineRule="auto"/>
        <w:tabs>
          <w:tab w:leader="none" w:pos="66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9"/>
          <w:szCs w:val="19"/>
          <w:color w:val="auto"/>
        </w:rPr>
      </w:pPr>
    </w:p>
    <w:p>
      <w:pPr>
        <w:ind w:left="640" w:right="140" w:hanging="317"/>
        <w:spacing w:after="0" w:line="284" w:lineRule="auto"/>
        <w:tabs>
          <w:tab w:leader="none" w:pos="66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9"/>
          <w:szCs w:val="19"/>
          <w:color w:val="auto"/>
        </w:rPr>
      </w:pPr>
    </w:p>
    <w:p>
      <w:pPr>
        <w:ind w:left="640" w:hanging="317"/>
        <w:spacing w:after="0" w:line="269" w:lineRule="auto"/>
        <w:tabs>
          <w:tab w:leader="none" w:pos="65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13a-15(f) and 15d-15(f)) for the registrant and have:</w:t>
      </w:r>
    </w:p>
    <w:p>
      <w:pPr>
        <w:spacing w:after="0" w:line="163" w:lineRule="exact"/>
        <w:rPr>
          <w:rFonts w:ascii="Times New Roman" w:cs="Times New Roman" w:eastAsia="Times New Roman" w:hAnsi="Times New Roman"/>
          <w:sz w:val="19"/>
          <w:szCs w:val="19"/>
          <w:color w:val="auto"/>
        </w:rPr>
      </w:pPr>
    </w:p>
    <w:p>
      <w:pPr>
        <w:ind w:left="1280" w:right="60" w:hanging="402"/>
        <w:spacing w:after="0" w:line="280" w:lineRule="auto"/>
        <w:tabs>
          <w:tab w:leader="none" w:pos="129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9"/>
          <w:szCs w:val="19"/>
          <w:color w:val="auto"/>
        </w:rPr>
      </w:pPr>
    </w:p>
    <w:p>
      <w:pPr>
        <w:ind w:left="1280" w:right="180" w:hanging="402"/>
        <w:spacing w:after="0" w:line="272" w:lineRule="auto"/>
        <w:tabs>
          <w:tab w:leader="none" w:pos="1303"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9"/>
          <w:szCs w:val="19"/>
          <w:color w:val="auto"/>
        </w:rPr>
      </w:pPr>
    </w:p>
    <w:p>
      <w:pPr>
        <w:ind w:left="1280" w:right="280" w:hanging="402"/>
        <w:spacing w:after="0" w:line="272" w:lineRule="auto"/>
        <w:tabs>
          <w:tab w:leader="none" w:pos="129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9"/>
          <w:szCs w:val="19"/>
          <w:color w:val="auto"/>
        </w:rPr>
      </w:pPr>
    </w:p>
    <w:p>
      <w:pPr>
        <w:ind w:left="1280" w:right="320" w:hanging="402"/>
        <w:spacing w:after="0" w:line="272" w:lineRule="auto"/>
        <w:tabs>
          <w:tab w:leader="none" w:pos="1303"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Times New Roman" w:cs="Times New Roman" w:eastAsia="Times New Roman" w:hAnsi="Times New Roman"/>
          <w:sz w:val="19"/>
          <w:szCs w:val="19"/>
          <w:color w:val="auto"/>
        </w:rPr>
      </w:pPr>
    </w:p>
    <w:p>
      <w:pPr>
        <w:ind w:left="640" w:right="60" w:hanging="317"/>
        <w:spacing w:after="0" w:line="272" w:lineRule="auto"/>
        <w:tabs>
          <w:tab w:leader="none" w:pos="65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9"/>
          <w:szCs w:val="19"/>
          <w:color w:val="auto"/>
        </w:rPr>
      </w:pPr>
    </w:p>
    <w:p>
      <w:pPr>
        <w:ind w:left="1280" w:right="40" w:hanging="402"/>
        <w:spacing w:after="0" w:line="272" w:lineRule="auto"/>
        <w:tabs>
          <w:tab w:leader="none" w:pos="128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9"/>
          <w:szCs w:val="19"/>
          <w:color w:val="auto"/>
        </w:rPr>
      </w:pPr>
    </w:p>
    <w:p>
      <w:pPr>
        <w:ind w:left="1280" w:right="40" w:hanging="402"/>
        <w:spacing w:after="0" w:line="298" w:lineRule="auto"/>
        <w:tabs>
          <w:tab w:leader="none" w:pos="129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2C2C2C"/>
              </w:rPr>
              <w:t>November 3, 2022</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Kevin Tan</w:t>
            </w:r>
          </w:p>
        </w:tc>
      </w:tr>
      <w:tr>
        <w:trPr>
          <w:trHeight w:val="237"/>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Kevin Tan</w:t>
            </w:r>
          </w:p>
        </w:tc>
      </w:tr>
      <w:tr>
        <w:trPr>
          <w:trHeight w:val="251"/>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Chief Financial Officer</w:t>
            </w:r>
          </w:p>
        </w:tc>
      </w:tr>
      <w:tr>
        <w:trPr>
          <w:trHeight w:val="255"/>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(Principal Financial Officer)</w:t>
            </w:r>
          </w:p>
        </w:tc>
      </w:tr>
    </w:tbl>
    <w:p>
      <w:pPr>
        <w:sectPr>
          <w:pgSz w:w="11900" w:h="16838" w:orient="portrait"/>
          <w:cols w:equalWidth="0" w:num="1">
            <w:col w:w="11240"/>
          </w:cols>
          <w:pgMar w:left="320" w:top="74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335" w:lineRule="exact"/>
        <w:rPr>
          <w:sz w:val="20"/>
          <w:szCs w:val="20"/>
          <w:color w:val="auto"/>
        </w:rPr>
      </w:pPr>
    </w:p>
    <w:p>
      <w:pPr>
        <w:ind w:right="100" w:firstLine="317"/>
        <w:spacing w:after="0" w:line="280" w:lineRule="auto"/>
        <w:rPr>
          <w:sz w:val="20"/>
          <w:szCs w:val="20"/>
          <w:color w:val="auto"/>
        </w:rPr>
      </w:pPr>
      <w:r>
        <w:rPr>
          <w:rFonts w:ascii="Times New Roman" w:cs="Times New Roman" w:eastAsia="Times New Roman" w:hAnsi="Times New Roman"/>
          <w:sz w:val="19"/>
          <w:szCs w:val="19"/>
          <w:color w:val="auto"/>
        </w:rPr>
        <w:t>In connection with the Quarterly Report on Form 10-Q of Selecta Biosciences, Inc. (the “Company”) for the period ended September 30, 2022 as filed with the Securities and Exchange Commission on the date hereof (the “Report”), each of the undersigned officers of the Company hereby certifies, pursuant to 18 U.S.C. Section 1350, that to his knowledge:</w:t>
      </w:r>
    </w:p>
    <w:p>
      <w:pPr>
        <w:spacing w:after="0" w:line="42" w:lineRule="exact"/>
        <w:rPr>
          <w:sz w:val="20"/>
          <w:szCs w:val="20"/>
          <w:color w:val="auto"/>
        </w:rPr>
      </w:pPr>
    </w:p>
    <w:p>
      <w:pPr>
        <w:ind w:left="640" w:right="240" w:hanging="317"/>
        <w:spacing w:after="0" w:line="298" w:lineRule="auto"/>
        <w:tabs>
          <w:tab w:leader="none" w:pos="65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Quarterly Report on Form 10-Q of the Company for the period ended September 30, 2022 (the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9"/>
          <w:szCs w:val="19"/>
          <w:color w:val="auto"/>
        </w:rPr>
      </w:pPr>
    </w:p>
    <w:p>
      <w:pPr>
        <w:ind w:left="640" w:right="180" w:hanging="317"/>
        <w:spacing w:after="0" w:line="298" w:lineRule="auto"/>
        <w:tabs>
          <w:tab w:leader="none" w:pos="65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2C2C2C"/>
              </w:rPr>
              <w:t>November 3, 2022</w:t>
            </w:r>
          </w:p>
        </w:tc>
        <w:tc>
          <w:tcPr>
            <w:tcW w:w="2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/s/ Carsten Brunn, Ph.D.</w:t>
            </w:r>
          </w:p>
        </w:tc>
      </w:tr>
      <w:tr>
        <w:trPr>
          <w:trHeight w:val="237"/>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Carsten Brunn, Ph.D.</w:t>
            </w:r>
          </w:p>
        </w:tc>
      </w:tr>
      <w:tr>
        <w:trPr>
          <w:trHeight w:val="251"/>
        </w:trPr>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President and Chief Executive Officer, and Director</w:t>
            </w:r>
          </w:p>
        </w:tc>
      </w:tr>
      <w:tr>
        <w:trPr>
          <w:trHeight w:val="255"/>
        </w:trPr>
        <w:tc>
          <w:tcPr>
            <w:tcW w:w="6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(Principal Executive Officer)</w:t>
            </w:r>
          </w:p>
        </w:tc>
      </w:tr>
      <w:tr>
        <w:trPr>
          <w:trHeight w:val="943"/>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2C2C2C"/>
              </w:rPr>
              <w:t>November 3, 2022</w:t>
            </w:r>
          </w:p>
        </w:tc>
        <w:tc>
          <w:tcPr>
            <w:tcW w:w="2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/s/ Kevin Tan</w:t>
            </w:r>
          </w:p>
        </w:tc>
      </w:tr>
      <w:tr>
        <w:trPr>
          <w:trHeight w:val="237"/>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Kevin Tan</w:t>
            </w:r>
          </w:p>
        </w:tc>
        <w:tc>
          <w:tcPr>
            <w:tcW w:w="20" w:type="dxa"/>
            <w:vAlign w:val="bottom"/>
          </w:tcPr>
          <w:p>
            <w:pPr>
              <w:spacing w:after="0"/>
              <w:rPr>
                <w:sz w:val="20"/>
                <w:szCs w:val="20"/>
                <w:color w:val="auto"/>
              </w:rPr>
            </w:pPr>
          </w:p>
        </w:tc>
      </w:tr>
      <w:tr>
        <w:trPr>
          <w:trHeight w:val="251"/>
        </w:trPr>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Chief Financial Officer</w:t>
            </w:r>
          </w:p>
        </w:tc>
      </w:tr>
      <w:tr>
        <w:trPr>
          <w:trHeight w:val="255"/>
        </w:trPr>
        <w:tc>
          <w:tcPr>
            <w:tcW w:w="6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2"/>
    </w:lvl>
  </w:abstractNum>
  <w:abstractNum w:abstractNumId="5">
    <w:nsid w:val="333AB105"/>
    <w:multiLevelType w:val="hybridMultilevel"/>
    <w:lvl w:ilvl="0">
      <w:lvlJc w:val="left"/>
      <w:lvlText w:val="%1."/>
      <w:numFmt w:val="decimal"/>
      <w:start w:val="13"/>
    </w:lvl>
  </w:abstractNum>
  <w:abstractNum w:abstractNumId="6">
    <w:nsid w:val="721DA317"/>
    <w:multiLevelType w:val="hybridMultilevel"/>
    <w:lvl w:ilvl="0">
      <w:lvlJc w:val="left"/>
      <w:lvlText w:val="%1."/>
      <w:numFmt w:val="decimal"/>
      <w:start w:val="14"/>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upperLetter"/>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4"/>
    </w:lvl>
  </w:abstractNum>
  <w:abstractNum w:abstractNumId="12">
    <w:nsid w:val="79838CB2"/>
    <w:multiLevelType w:val="hybridMultilevel"/>
    <w:lvl w:ilvl="0">
      <w:lvlJc w:val="left"/>
      <w:lvlText w:val="%1."/>
      <w:numFmt w:val="decimal"/>
      <w:start w:val="6"/>
    </w:lvl>
  </w:abstractNum>
  <w:abstractNum w:abstractNumId="13">
    <w:nsid w:val="4353D0CD"/>
    <w:multiLevelType w:val="hybridMultilevel"/>
    <w:lvl w:ilvl="0">
      <w:lvlJc w:val="left"/>
      <w:lvlText w:val="%1."/>
      <w:numFmt w:val="decimal"/>
      <w:start w:val="8"/>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0"/>
    </w:lvl>
  </w:abstractNum>
  <w:abstractNum w:abstractNumId="16">
    <w:nsid w:val="54E49EB4"/>
    <w:multiLevelType w:val="hybridMultilevel"/>
    <w:lvl w:ilvl="0">
      <w:lvlJc w:val="left"/>
      <w:lvlText w:val="%1."/>
      <w:numFmt w:val="decimal"/>
      <w:start w:val="16"/>
    </w:lvl>
  </w:abstractNum>
  <w:abstractNum w:abstractNumId="17">
    <w:nsid w:val="71F32454"/>
    <w:multiLevelType w:val="hybridMultilevel"/>
    <w:lvl w:ilvl="0">
      <w:lvlJc w:val="left"/>
      <w:lvlText w:val="%1."/>
      <w:numFmt w:val="decimal"/>
      <w:start w:val="17"/>
    </w:lvl>
  </w:abstractNum>
  <w:abstractNum w:abstractNumId="18">
    <w:nsid w:val="2CA88611"/>
    <w:multiLevelType w:val="hybridMultilevel"/>
    <w:lvl w:ilvl="0">
      <w:lvlJc w:val="left"/>
      <w:lvlText w:val="%1."/>
      <w:numFmt w:val="decimal"/>
      <w:start w:val="1"/>
    </w:lvl>
    <w:lvl w:ilvl="1">
      <w:lvlJc w:val="left"/>
      <w:lvlText w:val="(%2)"/>
      <w:numFmt w:val="lowerLetter"/>
      <w:start w:val="1"/>
    </w:lvl>
  </w:abstractNum>
  <w:abstractNum w:abstractNumId="19">
    <w:nsid w:val="836C40E"/>
    <w:multiLevelType w:val="hybridMultilevel"/>
    <w:lvl w:ilvl="0">
      <w:lvlJc w:val="left"/>
      <w:lvlText w:val="(%1)"/>
      <w:numFmt w:val="decimal"/>
      <w:start w:val="10"/>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3"/>
    </w:lvl>
  </w:abstractNum>
  <w:abstractNum w:abstractNumId="23">
    <w:nsid w:val="1E7FF521"/>
    <w:multiLevelType w:val="hybridMultilevel"/>
    <w:lvl w:ilvl="0">
      <w:lvlJc w:val="left"/>
      <w:lvlText w:val="%1."/>
      <w:numFmt w:val="decimal"/>
      <w:start w:val="5"/>
    </w:lvl>
  </w:abstractNum>
  <w:abstractNum w:abstractNumId="24">
    <w:nsid w:val="7C3DBD3D"/>
    <w:multiLevelType w:val="hybridMultilevel"/>
    <w:lvl w:ilvl="0">
      <w:lvlJc w:val="left"/>
      <w:lvlText w:val="%1."/>
      <w:numFmt w:val="decimal"/>
      <w:start w:val="7"/>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9"/>
    </w:lvl>
  </w:abstractNum>
  <w:abstractNum w:abstractNumId="27">
    <w:nsid w:val="22221A70"/>
    <w:multiLevelType w:val="hybridMultilevel"/>
    <w:lvl w:ilvl="0">
      <w:lvlJc w:val="left"/>
      <w:lvlText w:val="%1."/>
      <w:numFmt w:val="upp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1"/>
    </w:lvl>
  </w:abstractNum>
  <w:abstractNum w:abstractNumId="30">
    <w:nsid w:val="614FD4A1"/>
    <w:multiLevelType w:val="hybridMultilevel"/>
    <w:lvl w:ilvl="0">
      <w:lvlJc w:val="left"/>
      <w:lvlText w:val="%1"/>
      <w:numFmt w:val="decimal"/>
      <w:start w:val="1"/>
    </w:lvl>
    <w:lvl w:ilvl="1">
      <w:lvlJc w:val="left"/>
      <w:lvlText w:val="(%2)"/>
      <w:numFmt w:val="lowerLetter"/>
      <w:start w:val="12"/>
    </w:lvl>
  </w:abstractNum>
  <w:abstractNum w:abstractNumId="31">
    <w:nsid w:val="419AC241"/>
    <w:multiLevelType w:val="hybridMultilevel"/>
    <w:lvl w:ilvl="0">
      <w:lvlJc w:val="left"/>
      <w:lvlText w:val="%1."/>
      <w:numFmt w:val="decimal"/>
      <w:start w:val="3"/>
    </w:lvl>
    <w:lvl w:ilvl="1">
      <w:lvlJc w:val="left"/>
      <w:lvlText w:val="%2"/>
      <w:numFmt w:val="lowerLetter"/>
      <w:start w:val="1"/>
    </w:lvl>
  </w:abstractNum>
  <w:abstractNum w:abstractNumId="32">
    <w:nsid w:val="5577F8E1"/>
    <w:multiLevelType w:val="hybridMultilevel"/>
    <w:lvl w:ilvl="0">
      <w:lvlJc w:val="left"/>
      <w:lvlText w:val="%1."/>
      <w:numFmt w:val="decimal"/>
      <w:start w:val="4"/>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59" Type="http://schemas.openxmlformats.org/officeDocument/2006/relationships/hyperlink" Target="http://www.sec.gov/Archives/edgar/data/1453687/000110465916129891/a16-14002_1ex3d1.htm" TargetMode="External"/><Relationship Id="rId60" Type="http://schemas.openxmlformats.org/officeDocument/2006/relationships/hyperlink" Target="https://www.sec.gov/Archives/edgar/data/0001453687/000145368722000127/exhibit32_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2022-11-03T07:10:51Z</dcterms:created>
  <dcterms:modified xsi:type="dcterms:W3CDTF">2022-11-03T07:10:51Z</dcterms:modified>
</cp:coreProperties>
</file>