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5"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Cartesian Therapeutics,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25"/>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2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200" w:type="dxa"/>
            <w:vAlign w:val="bottom"/>
          </w:tcPr>
          <w:p>
            <w:pPr>
              <w:spacing w:after="0"/>
              <w:rPr>
                <w:sz w:val="20"/>
                <w:szCs w:val="20"/>
                <w:color w:val="auto"/>
              </w:rPr>
            </w:pPr>
          </w:p>
        </w:tc>
      </w:tr>
      <w:tr>
        <w:trPr>
          <w:trHeight w:val="351"/>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w:t>
            </w:r>
          </w:p>
        </w:tc>
        <w:tc>
          <w:tcPr>
            <w:tcW w:w="42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21703</w:t>
            </w: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3120" w:type="dxa"/>
            <w:vAlign w:val="bottom"/>
          </w:tcPr>
          <w:p>
            <w:pPr>
              <w:spacing w:after="0"/>
              <w:rPr>
                <w:sz w:val="24"/>
                <w:szCs w:val="24"/>
                <w:color w:val="auto"/>
              </w:rPr>
            </w:pPr>
          </w:p>
        </w:tc>
        <w:tc>
          <w:tcPr>
            <w:tcW w:w="4200" w:type="dxa"/>
            <w:vAlign w:val="bottom"/>
          </w:tcPr>
          <w:p>
            <w:pPr>
              <w:jc w:val="right"/>
              <w:ind w:right="2910"/>
              <w:spacing w:after="0"/>
              <w:rPr>
                <w:sz w:val="20"/>
                <w:szCs w:val="20"/>
                <w:color w:val="auto"/>
              </w:rPr>
            </w:pPr>
            <w:r>
              <w:rPr>
                <w:rFonts w:ascii="Times New Roman" w:cs="Times New Roman" w:eastAsia="Times New Roman" w:hAnsi="Times New Roman"/>
                <w:sz w:val="18"/>
                <w:szCs w:val="18"/>
                <w:b w:val="1"/>
                <w:bCs w:val="1"/>
                <w:color w:val="auto"/>
              </w:rPr>
              <w:t>(301) 348-8698</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2343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31750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Contingent Value Rights</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3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68" w:right="359" w:bottom="1440" w:gutter="0" w:footer="0" w:header="0"/>
        </w:sectPr>
      </w:pPr>
    </w:p>
    <w:p>
      <w:pPr>
        <w:spacing w:after="0" w:line="1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1" w:lineRule="exact"/>
        <w:rPr>
          <w:sz w:val="24"/>
          <w:szCs w:val="24"/>
          <w:color w:val="auto"/>
        </w:rPr>
      </w:pPr>
    </w:p>
    <w:p>
      <w:pPr>
        <w:sectPr>
          <w:pgSz w:w="11900" w:h="16838" w:orient="portrait"/>
          <w:cols w:equalWidth="0" w:num="4">
            <w:col w:w="3280" w:space="80"/>
            <w:col w:w="2300" w:space="720"/>
            <w:col w:w="1780" w:space="80"/>
            <w:col w:w="2980"/>
          </w:cols>
          <w:pgMar w:left="320" w:top="1168" w:right="359" w:bottom="1440" w:gutter="0" w:footer="0" w:header="0"/>
          <w:type w:val="continuous"/>
        </w:sectPr>
      </w:pPr>
    </w:p>
    <w:p>
      <w:pPr>
        <w:spacing w:after="0" w:line="30"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8" w:right="359" w:bottom="1440" w:gutter="0" w:footer="0" w:header="0"/>
          <w:type w:val="continuous"/>
        </w:sectPr>
      </w:pPr>
    </w:p>
    <w:bookmarkStart w:id="1" w:name="page2"/>
    <w:bookmarkEnd w:id="1"/>
    <w:p>
      <w:pPr>
        <w:ind w:right="65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2025, the registrant had 25,954,291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64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2025 and December 31, 2024</w:t>
            </w:r>
          </w:p>
        </w:tc>
        <w:tc>
          <w:tcPr>
            <w:tcW w:w="452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8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Three Months ended March 31, 2025 and 2024</w:t>
            </w:r>
          </w:p>
        </w:tc>
        <w:tc>
          <w:tcPr>
            <w:tcW w:w="1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Changes in Convertible Preferred Stock and Stockholders’ Deficit for the Three Months ended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7</w:t>
            </w:r>
          </w:p>
        </w:tc>
      </w:tr>
      <w:tr>
        <w:trPr>
          <w:trHeight w:val="156"/>
        </w:trPr>
        <w:tc>
          <w:tcPr>
            <w:tcW w:w="98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March 31, 2025 and 2024</w:t>
            </w:r>
          </w:p>
        </w:tc>
        <w:tc>
          <w:tcPr>
            <w:tcW w:w="6980" w:type="dxa"/>
            <w:vAlign w:val="bottom"/>
            <w:tcBorders>
              <w:top w:val="single" w:sz="8" w:color="0000FF"/>
            </w:tcBorders>
            <w:gridSpan w:val="12"/>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980" w:type="dxa"/>
            <w:vAlign w:val="bottom"/>
          </w:tcPr>
          <w:p>
            <w:pPr>
              <w:spacing w:after="0"/>
              <w:rPr>
                <w:sz w:val="19"/>
                <w:szCs w:val="19"/>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2025 and 2024</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60" w:type="dxa"/>
            <w:vAlign w:val="bottom"/>
            <w:gridSpan w:val="7"/>
          </w:tcPr>
          <w:p>
            <w:pPr>
              <w:spacing w:after="0"/>
              <w:rPr>
                <w:sz w:val="18"/>
                <w:szCs w:val="18"/>
                <w:color w:val="auto"/>
              </w:rPr>
            </w:pPr>
          </w:p>
        </w:tc>
        <w:tc>
          <w:tcPr>
            <w:tcW w:w="3140" w:type="dxa"/>
            <w:vAlign w:val="bottom"/>
            <w:gridSpan w:val="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120" w:type="dxa"/>
            <w:vAlign w:val="bottom"/>
          </w:tcPr>
          <w:p>
            <w:pPr>
              <w:spacing w:after="0"/>
              <w:rPr>
                <w:sz w:val="18"/>
                <w:szCs w:val="18"/>
                <w:color w:val="auto"/>
              </w:rPr>
            </w:pPr>
          </w:p>
        </w:tc>
      </w:tr>
      <w:tr>
        <w:trPr>
          <w:trHeight w:val="479"/>
        </w:trPr>
        <w:tc>
          <w:tcPr>
            <w:tcW w:w="9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408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20" w:type="dxa"/>
            <w:vAlign w:val="bottom"/>
            <w:gridSpan w:val="15"/>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24"/>
                <w:szCs w:val="24"/>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60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gridSpan w:val="2"/>
          </w:tcPr>
          <w:p>
            <w:pPr>
              <w:spacing w:after="0"/>
              <w:rPr>
                <w:sz w:val="18"/>
                <w:szCs w:val="18"/>
                <w:color w:val="auto"/>
              </w:rPr>
            </w:pPr>
          </w:p>
        </w:tc>
        <w:tc>
          <w:tcPr>
            <w:tcW w:w="7580" w:type="dxa"/>
            <w:vAlign w:val="bottom"/>
            <w:gridSpan w:val="1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40" w:type="dxa"/>
            <w:vAlign w:val="bottom"/>
            <w:gridSpan w:val="1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8"/>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680" w:type="dxa"/>
            <w:vAlign w:val="bottom"/>
            <w:gridSpan w:val="11"/>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future pandemics or similar events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third-parties, including contract research organizations, or CROs, in the conduct of our preclinical studies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from inflation, changes in interest rates, volatile market conditions, current or potential bank failures, and tariffs;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and with China on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similar events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 policy changes.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212,610</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216,626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7,761</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387,739</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430,919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441,825</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Series A Preferred Stock, $0.0001 par value; 134,904.563 shares authorized as of March 31, 2025 and December 31, 2024; 120,790.402</w:t>
            </w:r>
          </w:p>
        </w:tc>
        <w:tc>
          <w:tcPr>
            <w:tcW w:w="2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 as of March 31, 2025 and December 31, 2024</w:t>
            </w:r>
          </w:p>
        </w:tc>
        <w:tc>
          <w:tcPr>
            <w:tcW w:w="28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Series B Preferred Stock, $0.0001 par value; 437,927 shares authorized as of March 31, 2025 and December 31, 2024; 437,927 shares</w:t>
            </w:r>
          </w:p>
        </w:tc>
        <w:tc>
          <w:tcPr>
            <w:tcW w:w="28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and outstanding as of March 31, 2025 and December 31, 2024</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 $0.0001 par value; 9,427,168.437 shares authorized as of March 31, 2025 and December 31, 2024; no shares issued and</w:t>
            </w:r>
          </w:p>
        </w:tc>
        <w:tc>
          <w:tcPr>
            <w:tcW w:w="2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March 31, 2025 and December 31, 2024</w:t>
            </w:r>
          </w:p>
        </w:tc>
        <w:tc>
          <w:tcPr>
            <w:tcW w:w="28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March 31, 2025 and December 31, 2024; 25,936,101 and</w:t>
            </w:r>
          </w:p>
        </w:tc>
        <w:tc>
          <w:tcPr>
            <w:tcW w:w="2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25,767,369 shares issued and outstanding as of March 31, 2025 and December 31, 2024, respectively</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689,887</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(21,789)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8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allocable to common stockholders: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25,902,650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5,414,020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7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Deficit</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2"/>
                <w:szCs w:val="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2"/>
                <w:szCs w:val="2"/>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7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120,790.402</w:t>
            </w: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25,767,369</w:t>
            </w: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689,887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55,690</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113,042</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120,790.402</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25,936,101</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(4,589)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right="420"/>
        <w:spacing w:after="0" w:line="263"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Deficit</w:t>
      </w:r>
    </w:p>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ectPr>
          <w:pgSz w:w="11900" w:h="16838" w:orient="portrait"/>
          <w:cols w:equalWidth="0" w:num="1">
            <w:col w:w="11160"/>
          </w:cols>
          <w:pgMar w:left="320" w:top="121" w:right="419" w:bottom="1440" w:gutter="0" w:footer="0" w:header="0"/>
        </w:sect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 Series</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020" w:type="dxa"/>
            <w:vAlign w:val="bottom"/>
            <w:gridSpan w:val="2"/>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7"/>
                <w:szCs w:val="17"/>
                <w:color w:val="auto"/>
              </w:rPr>
            </w:pPr>
          </w:p>
        </w:tc>
        <w:tc>
          <w:tcPr>
            <w:tcW w:w="56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680" w:type="dxa"/>
            <w:vAlign w:val="bottom"/>
            <w:tcBorders>
              <w:right w:val="single" w:sz="8" w:color="auto"/>
            </w:tcBorders>
            <w:gridSpan w:val="2"/>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0" w:type="dxa"/>
            <w:vAlign w:val="bottom"/>
          </w:tcPr>
          <w:p>
            <w:pPr>
              <w:spacing w:after="0"/>
              <w:rPr>
                <w:sz w:val="1"/>
                <w:szCs w:val="1"/>
                <w:color w:val="auto"/>
              </w:rPr>
            </w:pPr>
          </w:p>
        </w:tc>
      </w:tr>
      <w:tr>
        <w:trPr>
          <w:trHeight w:val="122"/>
        </w:trPr>
        <w:tc>
          <w:tcPr>
            <w:tcW w:w="1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Balance at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435,120.513</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$ 296,851</w:t>
            </w:r>
          </w:p>
        </w:tc>
        <w:tc>
          <w:tcPr>
            <w:tcW w:w="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3,703</w:t>
            </w:r>
          </w:p>
        </w:tc>
        <w:tc>
          <w:tcPr>
            <w:tcW w:w="116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8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A</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Preferred Stock in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connection with</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private placement</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and settlement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related forward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75,197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contract</w:t>
            </w: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Transfer of Series A</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Preferred Stock and</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options for Series A</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Preferred Stock to</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(372,048)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534,260.839</w:t>
            </w:r>
          </w:p>
        </w:tc>
        <w:tc>
          <w:tcPr>
            <w:tcW w:w="40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permanent equity</w:t>
            </w:r>
          </w:p>
        </w:tc>
        <w:tc>
          <w:tcPr>
            <w:tcW w:w="8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upon exercise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of options</w:t>
            </w: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Issuance of common</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upon exercise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of warrants</w:t>
            </w: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Currency translation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adjustment</w:t>
            </w: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240" w:type="dxa"/>
            <w:vAlign w:val="bottom"/>
            <w:vMerge w:val="restart"/>
          </w:tcPr>
          <w:p>
            <w:pPr>
              <w:spacing w:after="0" w:line="159" w:lineRule="exact"/>
              <w:rPr>
                <w:sz w:val="20"/>
                <w:szCs w:val="20"/>
                <w:color w:val="auto"/>
              </w:rPr>
            </w:pPr>
            <w:r>
              <w:rPr>
                <w:rFonts w:ascii="Times New Roman" w:cs="Times New Roman" w:eastAsia="Times New Roman" w:hAnsi="Times New Roman"/>
                <w:sz w:val="14"/>
                <w:szCs w:val="14"/>
                <w:color w:val="auto"/>
              </w:rPr>
              <w:t>Balance at March</w:t>
            </w: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40" w:type="dxa"/>
            <w:vAlign w:val="bottom"/>
            <w:vMerge w:val="continue"/>
          </w:tcPr>
          <w:p>
            <w:pPr>
              <w:spacing w:after="0"/>
              <w:rPr>
                <w:sz w:val="10"/>
                <w:szCs w:val="10"/>
                <w:color w:val="auto"/>
              </w:rPr>
            </w:pPr>
          </w:p>
        </w:tc>
        <w:tc>
          <w:tcPr>
            <w:tcW w:w="10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534,260.839</w:t>
            </w:r>
          </w:p>
        </w:tc>
        <w:tc>
          <w:tcPr>
            <w:tcW w:w="4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31, 2024</w:t>
            </w:r>
          </w:p>
        </w:tc>
        <w:tc>
          <w:tcPr>
            <w:tcW w:w="102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-2879725</wp:posOffset>
            </wp:positionV>
            <wp:extent cx="708088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0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08088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4889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08088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080885"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088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088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088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2"/>
                <w:szCs w:val="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2"/>
                <w:szCs w:val="2"/>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2"/>
                <w:szCs w:val="2"/>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0"/>
        </w:trPr>
        <w:tc>
          <w:tcPr>
            <w:tcW w:w="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5,397,597</w:t>
            </w:r>
          </w:p>
        </w:tc>
        <w:tc>
          <w:tcPr>
            <w:tcW w:w="2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1066"/>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70"/>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0" w:type="dxa"/>
            <w:vAlign w:val="bottom"/>
          </w:tcPr>
          <w:p>
            <w:pPr>
              <w:spacing w:after="0"/>
              <w:rPr>
                <w:sz w:val="1"/>
                <w:szCs w:val="1"/>
                <w:color w:val="auto"/>
              </w:rPr>
            </w:pPr>
          </w:p>
        </w:tc>
      </w:tr>
      <w:tr>
        <w:trPr>
          <w:trHeight w:val="486"/>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486"/>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486"/>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203"/>
        </w:trPr>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23"/>
        </w:trPr>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5,515,836</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559,275</w:t>
            </w:r>
          </w:p>
        </w:tc>
        <w:tc>
          <w:tcPr>
            <w:tcW w:w="8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(671,471)</w:t>
            </w:r>
          </w:p>
        </w:tc>
        <w:tc>
          <w:tcPr>
            <w:tcW w:w="8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(116,800)</w:t>
            </w:r>
          </w:p>
        </w:tc>
        <w:tc>
          <w:tcPr>
            <w:tcW w:w="0" w:type="dxa"/>
            <w:vAlign w:val="bottom"/>
          </w:tcPr>
          <w:p>
            <w:pPr>
              <w:spacing w:after="0"/>
              <w:rPr>
                <w:sz w:val="1"/>
                <w:szCs w:val="1"/>
                <w:color w:val="auto"/>
              </w:rPr>
            </w:pPr>
          </w:p>
        </w:tc>
      </w:tr>
      <w:tr>
        <w:trPr>
          <w:trHeight w:val="23"/>
        </w:trPr>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00" w:space="80"/>
            <w:col w:w="4980"/>
          </w:cols>
          <w:pgMar w:left="320" w:top="121" w:right="419" w:bottom="1440" w:gutter="0" w:footer="0" w:header="0"/>
          <w:type w:val="continuous"/>
        </w:sect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8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(56,824)</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value right liability revaluation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39,300</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contract liabilities revaluation</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Unbilled receivable</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r>
      <w:tr>
        <w:trPr>
          <w:trHeight w:val="189"/>
        </w:trPr>
        <w:tc>
          <w:tcPr>
            <w:tcW w:w="8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(15,917)</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203"/>
        </w:trPr>
        <w:tc>
          <w:tcPr>
            <w:tcW w:w="8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offering costs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warrants</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A Preferred Stock, gross in private placement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contingent value rights distributions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04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43,031</w:t>
            </w: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26,507</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78,288</w:t>
            </w:r>
          </w:p>
        </w:tc>
      </w:tr>
      <w:tr>
        <w:trPr>
          <w:trHeight w:val="16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182,103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104,795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Cartesian Therapeutics, Inc. </w:t>
      </w:r>
      <w:r>
        <w:rPr>
          <w:rFonts w:ascii="Times New Roman" w:cs="Times New Roman" w:eastAsia="Times New Roman" w:hAnsi="Times New Roman"/>
          <w:sz w:val="17"/>
          <w:szCs w:val="17"/>
          <w:b w:val="1"/>
          <w:bCs w:val="1"/>
          <w:color w:val="auto"/>
        </w:rPr>
        <w:t>and Subsidiaries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08"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Cartesian Therapeutics, Inc., or the Company (formerly known as Selecta Biosciences, Inc., or Selecta), was incorporated in Delaware on December 10, 2007, and is headquartered in Frederick, Maryland. The Company is a clinical-stage biotechnology company pioneering cell therapies for the treatment of autoimmune diseases leveraging its proprietary technology and manufacturing platform to enhance cell function. The Company believes its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9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4 to the consolidated financial statements included in the Company’s Annual Report on Form 10-K for the year ended December 31, 2024.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w:t>
      </w:r>
    </w:p>
    <w:p>
      <w:pPr>
        <w:spacing w:after="0" w:line="80"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In connection with the Merger, the Company entered into a definitive agreement, or the 2023 Securities Purchase Agreement, for a private investment in public equity transaction, or the 2023 Private Placement, with the Investors (as defined below). The 2023 Securities Purchase Agreement provides for the issuance to the Investors of an aggregate of 149,330.115 shares of Series A Preferred Stock for an aggregate purchase price of approximately</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$60.25 million. See Note 11 to the consolidated financial statements included in the Company’s Annual Report on Form 10-K for the year ended December 31, 2024 for further discussion of the 2023 Private Placement.</w:t>
      </w:r>
    </w:p>
    <w:p>
      <w:pPr>
        <w:spacing w:after="0" w:line="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7.</w:t>
      </w:r>
    </w:p>
    <w:p>
      <w:pPr>
        <w:spacing w:after="0" w:line="7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On March 27, 2024, the Company’s stockholders approved the conversion of shares of Series A Preferred Stock into shares of common stock. For additional information, see Note 11 to the consolidated financial statements included in the Company’s Annual Report on Form 10-K for the year ended December 31, 2024.</w:t>
      </w:r>
    </w:p>
    <w:p>
      <w:pPr>
        <w:spacing w:after="0" w:line="6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86"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On July 2, 2024, the Company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On September 20, 2024, the Company’s stockholders approved the conversion of shares of Series B Preferred Stock into shares of</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common stock. For additional information, see Note 11 to the consolidated financial statements included in the Company’s Annual Report on Form 10-K for the year ended December 31, 2024.</w:t>
      </w:r>
    </w:p>
    <w:p>
      <w:pPr>
        <w:spacing w:after="0" w:line="5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months ended March 31, 2025 and 2024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2024 included in the Company’s Annual Report on Form 10-K that was filed with the SEC on March 13, 2025.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2025, the consolidated results of operations for the three months ended March 31, 2025, and cash flows for the three months ended March 31, 2025. Such adjustments are of a normal and recurring nature. The results of operations for the three months ended March 31, 2025 are not necessarily indicative of the results of operations that may be expected for the year ending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of March 31, 2025, the Company’s cash, cash equivalents, and restricted cash were $182.1 million, of which $1.7 million was restricted cash related to lease commitments. The Company believes the cash, cash equivalents and restricted cash as of March 31, 2025 will enable it to fund its current planned operations for at least the next 12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Gross Proceeds will be distributed, net of specified deductions, to holders of the CVRs. There is no obligation to the Company to fund any amount related to the CVR liability. See Note 7.</w:t>
      </w:r>
    </w:p>
    <w:p>
      <w:pPr>
        <w:spacing w:after="0" w:line="54"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March 31, 2025, the Company had an accumulated deficit of $709.8 million. The Company anticipates operating losses to continue for the foreseeable future due to, among other things, costs related to research and development of its product candidates and its administrative organization.</w:t>
      </w:r>
    </w:p>
    <w:p>
      <w:pPr>
        <w:spacing w:after="0" w:line="200" w:lineRule="exact"/>
        <w:rPr>
          <w:sz w:val="20"/>
          <w:szCs w:val="20"/>
          <w:color w:val="auto"/>
        </w:rPr>
      </w:pPr>
    </w:p>
    <w:p>
      <w:pPr>
        <w:spacing w:after="0" w:line="219" w:lineRule="exact"/>
        <w:rPr>
          <w:sz w:val="20"/>
          <w:szCs w:val="20"/>
          <w:color w:val="auto"/>
        </w:rPr>
      </w:pPr>
    </w:p>
    <w:p>
      <w:pPr>
        <w:ind w:right="9140" w:firstLine="8"/>
        <w:spacing w:after="0" w:line="391" w:lineRule="auto"/>
        <w:tabs>
          <w:tab w:leader="none" w:pos="1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Principles of Consolidation</w:t>
      </w:r>
    </w:p>
    <w:p>
      <w:pPr>
        <w:spacing w:after="0" w:line="2"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or Selecta (RUS), a Russian limited liability corporation, Selecta Biosciences Security Corporation, a Massachusetts securities corporation which the Company dissolved in December 2024, and Cartesian Bio, LLC, a Delaware limited liability company, which is a variable interest entity for which the Company is the primary beneficiary. All significant intercompany accounts and transactions have been eliminated.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140" w:firstLine="324"/>
        <w:spacing w:after="0" w:line="237"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fair value of the intangible assets acquired in connection with the Merger, fair value of the CVRs, deferred income taxes, revenue recognition, accrued research and development expenses, stock-based compensation expense, fair value of the liability-classified warrants, and impairment of long-lived assets. The Company assesses the above estimates on an ongoing basis; however, actual results could materially differ from those estimates.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 maker, or the CODM, for the purposes of assessing performance and allocating resources. 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 The Company’s CODM function is fulfilled by its Chief Executive Officer. The CODM function assesses performance for the segment and decides how to allocate resources based on consolidated net loss that is also reported on the consolidated statements of operations and comprehensive loss. The CODM function uses net loss to monitor budget versus actual results to assess performance of the segment. Segment assets are the same as total assets on the Company’s consolidated balance sheets. All long-lived assets are located in the United States. Long-lived assets consist of property and equipment, net, and operating lease right-of-use assets.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3 – Summary of Significant Accounting Policies included in the Company’s Annual Report on Form 10-K for the year ended December 31, 2024. There have been no material changes to the Company’s significant accounting policies during the three months ended March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with the year ended December 31, 2025. Early adoption is permitted. Upon adoption, the guidance can be applied prospectively or retrospectively. The Company does not expect the adoption of this guidance to have a material impact on its consolidated financial statements or disclosures.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which requires public companies to disclose, in interim and annual reporting periods, additional information about certain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including purchases of inventory, employee compensation, depreciation, amortization of intangible assets, and selling expenses. This guidance will be effective for the annual period beginning the year ended December 31, 2027 and for interim periods beginning January 1, 2028, with early adoption permitted. The Company is currently in the process of evaluating the impact of the standard’s adoption on its consolidated financial statements and related disclosures.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 As a result of the Merger, Selecta changed its corporate name to Cartesian Therapeutics, Inc. See Note 4 to the consolidated financial statements included in the Company’s Annual Report on Form 10-K for the year ended December 31, 2024 for further discussion of the Merger.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Merger resulted in goodwill of approximately $48.2 million. There were no changes to the carrying value of the Company’s goodwill during the three months ended March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indefinite-lived intangible assets, all of which were acquired in the Merger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93,900</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Descartes-08 for SLE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56,700</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in-process research and development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2021, the Company and Cyrus Biotechnology, Inc., or Cyrus, entered into a stock purchase agreement, or the Series B Preferred Stock Purchase Agreement. Pursuant to the Series B Preferred Stock Purchase Agreement, the Company purchased 2,326,934 shares of Cyrus’ Series B Preferred Stock, par value $0.0001 per share, at a purchase price of $0.8595 per share, for $2.0 million.</w:t>
      </w:r>
    </w:p>
    <w:p>
      <w:pPr>
        <w:spacing w:after="0" w:line="6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2"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Share Allocable to Common Stockholders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reported a net loss for the three months ended March 31, 2025 and 2024. The following table sets forth the computation of basic and diluted net loss per share allocable to common stockholders for the three months ended March 31, 2025 and 2024 (in thousands, except share and per-share data):</w:t>
      </w:r>
    </w:p>
    <w:p>
      <w:pPr>
        <w:spacing w:after="0" w:line="10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r>
      <w:tr>
        <w:trPr>
          <w:trHeight w:val="169"/>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5"/>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 and diluted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25,902,650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5,414,020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190"/>
        </w:trPr>
        <w:tc>
          <w:tcPr>
            <w:tcW w:w="8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loss per share allocable to common stockholders for all periods presented, as the effect would have been anti-dilutive:</w:t>
      </w:r>
    </w:p>
    <w:p>
      <w:pPr>
        <w:spacing w:after="0" w:line="8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and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3,047,628</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1,811,636</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975,132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17,808,670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Stock options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470,403</w:t>
            </w:r>
          </w:p>
        </w:tc>
      </w:tr>
      <w:tr>
        <w:trPr>
          <w:trHeight w:val="20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12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8,204,424</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21,065,841</w:t>
            </w: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39,509</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389,418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389,418</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399,336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399,336</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within the fair value hierarchy during the three months ended March 31, 2025 or the year ended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money market funds were classified as cash and cash equivalents on the accompanying consolidated balance sheets as they mature within 90 days from the date of purchase.</w:t>
      </w:r>
    </w:p>
    <w:p>
      <w:pPr>
        <w:spacing w:after="0" w:line="40"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restricted cash balances relating to secured letters of credit in connection with its real estate leases. The Company’s consolidated statements of cash flows include the following as of March 31, 2025 and 2024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103,418</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182,103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0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7"/>
          <w:szCs w:val="17"/>
          <w:color w:val="auto"/>
        </w:rPr>
        <w:t>In December 2019, the Company issued warrants to purchase common stock in connection with a private placement, or the 2019 Warrants. The outstanding 2019 Warrants expired on December 23, 2024 in accordance with their terms. Pursuant to the terms of the 2019 Warrants, the Company could have been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w:t>
      </w:r>
    </w:p>
    <w:p>
      <w:pPr>
        <w:spacing w:after="0" w:line="8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statements of operations and comprehensive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2019 Warrants and the 2022 Warrants were determined using the following inputs to the Black-Scholes simulation valuation:</w:t>
      </w:r>
    </w:p>
    <w:p>
      <w:pPr>
        <w:spacing w:after="0" w:line="52"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04"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was assumed to be equivalent to their remaining contractual term which expired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23, 2024. The expected life of the 2022 Warrants is assumed to be equivalent to their remaining contractual term which expires on April 11, 2027.</w:t>
      </w:r>
    </w:p>
    <w:p>
      <w:pPr>
        <w:spacing w:after="0" w:line="80"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for a period of time commensurate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remaining life of the warrants.</w:t>
      </w:r>
    </w:p>
    <w:p>
      <w:pPr>
        <w:spacing w:after="0" w:line="5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2019 Warrants expired on December 23, 2024 and therefore, there were no 2019 Warrants outstanding as of December 31, 2024 or March 31,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2022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300" w:type="dxa"/>
            <w:vAlign w:val="bottom"/>
          </w:tcPr>
          <w:p>
            <w:pPr>
              <w:spacing w:after="0"/>
              <w:rPr>
                <w:sz w:val="17"/>
                <w:szCs w:val="17"/>
                <w:color w:val="auto"/>
              </w:rPr>
            </w:pP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4.25 %</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r>
      <w:tr>
        <w:trPr>
          <w:trHeight w:val="188"/>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94.79 %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92.92 %</w:t>
            </w:r>
          </w:p>
        </w:tc>
      </w:tr>
    </w:tbl>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11 to these unaudited consolidated financial statements) for the three months ended March 31,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3,836</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rPr>
              <w:t>(1,818)</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2,018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Value Right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30 CVRs per each share of common stock underlying such warrants.</w:t>
      </w:r>
    </w:p>
    <w:p>
      <w:pPr>
        <w:spacing w:after="0" w:line="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CVR entitles its holder to distributions of the following, pro-rated on a per-CVR basis, during the period ending on the date on which the Royalty Term (as defined in the Sobi License) ends, or the Termination Date:</w:t>
      </w:r>
    </w:p>
    <w:p>
      <w:pPr>
        <w:spacing w:after="0" w:line="94" w:lineRule="exact"/>
        <w:rPr>
          <w:sz w:val="20"/>
          <w:szCs w:val="20"/>
          <w:color w:val="auto"/>
        </w:rPr>
      </w:pPr>
    </w:p>
    <w:p>
      <w:pPr>
        <w:ind w:left="660" w:right="180" w:hanging="328"/>
        <w:spacing w:after="0" w:line="239"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132" w:lineRule="exact"/>
        <w:rPr>
          <w:rFonts w:ascii="Arial" w:cs="Arial" w:eastAsia="Arial" w:hAnsi="Arial"/>
          <w:sz w:val="22"/>
          <w:szCs w:val="22"/>
          <w:color w:val="auto"/>
        </w:rPr>
      </w:pPr>
    </w:p>
    <w:p>
      <w:pPr>
        <w:ind w:left="660" w:right="40" w:hanging="328"/>
        <w:spacing w:after="0" w:line="243"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4"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were included in the scheduled distribution to the holders of the CVR in March 2025.</w:t>
      </w:r>
    </w:p>
    <w:p>
      <w:pPr>
        <w:spacing w:after="0" w:line="9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CVRs represent financial instruments that are accounted for under the fair value option election in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or ASC 825.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Monte Carlo simulation model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liability value is based on significant inputs not observable in the market such as estimated cash flows, estimated probabilities of success, and expected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volatility of future revenues,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2025 - 2038</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2025-2038</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future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r>
    </w:tbl>
    <w:p>
      <w:pPr>
        <w:spacing w:after="0" w:line="200" w:lineRule="exact"/>
        <w:rPr>
          <w:sz w:val="20"/>
          <w:szCs w:val="20"/>
          <w:color w:val="auto"/>
        </w:rPr>
      </w:pPr>
    </w:p>
    <w:p>
      <w:pPr>
        <w:spacing w:after="0" w:line="22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CVR liability for the three months ended March 31,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CVR liability</w:t>
            </w:r>
          </w:p>
        </w:tc>
      </w:tr>
      <w:tr>
        <w:trPr>
          <w:trHeight w:val="23"/>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(7,754)</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2025</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387,400</w:t>
            </w:r>
          </w:p>
        </w:tc>
      </w:tr>
      <w:tr>
        <w:trPr>
          <w:trHeight w:val="21"/>
        </w:trPr>
        <w:tc>
          <w:tcPr>
            <w:tcW w:w="9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Forward Contract Liabilities</w:t>
      </w:r>
    </w:p>
    <w:p>
      <w:pPr>
        <w:spacing w:after="0" w:line="106"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The Company entered into a contract for the issuance of 149,330.115 shares of Series A Preferred Stock as part of the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11 to the consolidated financial statements included in the Company’s Annual Report on Form 10-K for the year ended December 31, 2024. The initial fair value of the forward contract liability on November 13, 2023 was insignificant as the fair value of the underlying Series A Preferred Stock was equal to the purchase price of the Series A Preferred Stock as agreed upon in the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12,269</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$0.6 million and $0.2 million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7495 New Horizon Way Leases</w:t>
      </w:r>
    </w:p>
    <w:p>
      <w:pPr>
        <w:spacing w:after="0" w:line="11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w:t>
      </w:r>
    </w:p>
    <w:p>
      <w:pPr>
        <w:spacing w:after="0" w:line="7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68"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of $3.6 million 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Effective May 7, 2024, the Company and the Landlord entered into the first amendment to the Frederick Lease Agreement, or the First Frederick Lease Agreement Amendment,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was September 1, 2024.</w:t>
      </w:r>
    </w:p>
    <w:p>
      <w:pPr>
        <w:spacing w:after="0" w:line="7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each of $1.2 million on the commencement date. The First Frederick Lease Agreement Amendment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Effective August 30, 2024, the Company and the Landlord entered into the second amendment to the Frederick Lease Agreement, or the Second Frederick Lease Agreement Amendment, providing for the expansion of the premises leased pursuant to the Frederick Lease Agreement and First Frederick Lease Agreement Amendment by approximately 2,009 square feet. In connection with the expansion of the leased premises, the Company is obligated to pay $0.1 million in additional annual base rent for the first year of the term, which is subject to an annual upward adjustment of 3% of the then-current rental rate, as well as its share of operating costs and taxes. The lease commenced on September 1, 2024, which was the date the Landlord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delivered full possession of the premises to the Company and will be coterminous with the Frederick Lease Agreement and the First Frederick Lease Agreement Amendment. The rent commencement date was September 1, 2024.</w:t>
      </w:r>
    </w:p>
    <w:p>
      <w:pPr>
        <w:spacing w:after="0" w:line="5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each of $0.3 million on the commencement date. The discount rate of 14% was determined based on the Company’s incremental borrowing rate adjusted for the lease term.</w:t>
      </w:r>
    </w:p>
    <w:p>
      <w:pPr>
        <w:spacing w:after="0" w:line="54" w:lineRule="exact"/>
        <w:rPr>
          <w:sz w:val="20"/>
          <w:szCs w:val="20"/>
          <w:color w:val="auto"/>
        </w:rPr>
      </w:pPr>
    </w:p>
    <w:p>
      <w:pPr>
        <w:ind w:right="100" w:firstLine="324"/>
        <w:spacing w:after="0" w:line="237" w:lineRule="auto"/>
        <w:rPr>
          <w:sz w:val="20"/>
          <w:szCs w:val="20"/>
          <w:color w:val="auto"/>
        </w:rPr>
      </w:pPr>
      <w:r>
        <w:rPr>
          <w:rFonts w:ascii="Times New Roman" w:cs="Times New Roman" w:eastAsia="Times New Roman" w:hAnsi="Times New Roman"/>
          <w:sz w:val="18"/>
          <w:szCs w:val="18"/>
          <w:color w:val="auto"/>
        </w:rPr>
        <w:t>On March 13, 2025, the Company and the Landlord entered into the third amendment to the Frederick Lease Agreement, or the Third Frederick Lease Agreement Amendment, providing for the expansion of the premises leased pursuant to the Frederick Lease Agreement by approximately 6,439 square feet. The Third Frederick Lease Agreement Amendment is expected to become effective on May 12, 2025. In connection with the expansion of the leased premises, the Company is obligated to pay $0.2 million in additional annual base rent for the first year of the term, which is subject to an annual upward adjustment of 3% of the then-current rental rate, as well as its share of operating costs and taxes. The initial term of the Third Frederick Lease Agreement Amendment is expected to commence on September 1, 2025 once the Landlord delivers full possession of the premises to the Company and will be coterminous with the Frederick Lease Agreement, the First Frederick Lease Agreement Amendment and the Second Frederick Lease Agreement Amendment.</w:t>
      </w:r>
    </w:p>
    <w:p>
      <w:pPr>
        <w:spacing w:after="0" w:line="79" w:lineRule="exact"/>
        <w:rPr>
          <w:sz w:val="20"/>
          <w:szCs w:val="20"/>
          <w:color w:val="auto"/>
        </w:rPr>
      </w:pPr>
    </w:p>
    <w:p>
      <w:pPr>
        <w:jc w:val="both"/>
        <w:ind w:right="200" w:firstLine="324"/>
        <w:spacing w:after="0" w:line="245" w:lineRule="auto"/>
        <w:rPr>
          <w:sz w:val="20"/>
          <w:szCs w:val="20"/>
          <w:color w:val="auto"/>
        </w:rPr>
      </w:pPr>
      <w:r>
        <w:rPr>
          <w:rFonts w:ascii="Times New Roman" w:cs="Times New Roman" w:eastAsia="Times New Roman" w:hAnsi="Times New Roman"/>
          <w:sz w:val="18"/>
          <w:szCs w:val="18"/>
          <w:color w:val="auto"/>
        </w:rPr>
        <w:t>The Company secured a letter of credit from Silicon Valley Bank, a division of First-Citizens Bank &amp; Trust Company (successor by purchase to the Federal Deposit Insurance Corporation as Receiver for Silicon Valley Bridge Bank, N.A. (as successor to Silicon Valley Bank)), or SVB, for $0.3 million for the Frederick Lease Agreement, the First Frederick Lease Agreement Amendment and the Second Frederick Lease Agreement Amendment, which is recognized as long-term restricted cash as of March 31, 2025 and December 31, 2024 and renews automatically each year.</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65 Grove Street Lease</w:t>
      </w:r>
    </w:p>
    <w:p>
      <w:pPr>
        <w:spacing w:after="0" w:line="106" w:lineRule="exact"/>
        <w:rPr>
          <w:sz w:val="20"/>
          <w:szCs w:val="20"/>
          <w:color w:val="auto"/>
        </w:rPr>
      </w:pPr>
    </w:p>
    <w:p>
      <w:pPr>
        <w:jc w:val="both"/>
        <w:ind w:right="140" w:firstLine="324"/>
        <w:spacing w:after="0" w:line="256" w:lineRule="auto"/>
        <w:rPr>
          <w:sz w:val="20"/>
          <w:szCs w:val="20"/>
          <w:color w:val="auto"/>
        </w:rPr>
      </w:pPr>
      <w:r>
        <w:rPr>
          <w:rFonts w:ascii="Times New Roman" w:cs="Times New Roman" w:eastAsia="Times New Roman" w:hAnsi="Times New Roman"/>
          <w:sz w:val="17"/>
          <w:szCs w:val="17"/>
          <w:color w:val="auto"/>
        </w:rPr>
        <w:t>In July 2019, the Company entered into a lease with BRE-BMR Grove LLC for 25,078 square feet of laboratory and office space located at 65 Grove Street, Watertown, Massachusetts, or the Watertown Lease Agreement. As part of the Watertown Lease Agreement, the Company incurred $0.8 million in on-reimbursable construction costs. The lease began in March 2020, when the Company took control of the office space, and the lease term is eight years.</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discount rate of 8.9% was determined based on the Company’s incremental borrowing rate adjusted for the lease term, including any reasonably certain renewal periods. In connection with the Watertown Lease Agreement, the Company secured a letter of credit from SVB for $1.6 million.</w:t>
      </w:r>
    </w:p>
    <w:p>
      <w:pPr>
        <w:spacing w:after="0" w:line="209"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On September 1, 2022, the Company entered into an amendment to the Watertown Lease, or the Watertown Lease Agreement Amendment, to expand the Company’s laboratory and office space located at 65 Grove Street, Watertown, Massachusetts by approximately 7,216 square feet. The lease term began on September 1, 2022, consistent with when the Company took control of the office space and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 during such year.</w:t>
      </w:r>
    </w:p>
    <w:p>
      <w:pPr>
        <w:spacing w:after="0" w:line="216" w:lineRule="exact"/>
        <w:rPr>
          <w:sz w:val="20"/>
          <w:szCs w:val="20"/>
          <w:color w:val="auto"/>
        </w:rPr>
      </w:pPr>
    </w:p>
    <w:p>
      <w:pPr>
        <w:ind w:right="200" w:firstLine="324"/>
        <w:spacing w:after="0" w:line="245" w:lineRule="auto"/>
        <w:rPr>
          <w:sz w:val="20"/>
          <w:szCs w:val="20"/>
          <w:color w:val="auto"/>
        </w:rPr>
      </w:pPr>
      <w:r>
        <w:rPr>
          <w:rFonts w:ascii="Times New Roman" w:cs="Times New Roman" w:eastAsia="Times New Roman" w:hAnsi="Times New Roman"/>
          <w:sz w:val="18"/>
          <w:szCs w:val="18"/>
          <w:color w:val="auto"/>
        </w:rPr>
        <w:t>On October 6, 2022, the Company entered into a sublease agreement to sublease 7,216 square feet of space currently rented by the Company at 65 Grove Street, Watertown, Massachusetts. The sublease commenced on October 24, 2022. The term of the sublease expired on March 31, 2024 with no option to extend the sublease term. Sublease income is included within other income, net in the consolidated statements of operations and comprehensive loss.</w:t>
      </w:r>
    </w:p>
    <w:p>
      <w:pPr>
        <w:spacing w:after="0" w:line="208"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As a result of the sublease agreement,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2023, the Company received notice from BRE-BMR Grove LLC that the requirements to reduce the amount of the letter of credit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Lease had been met. In connection therewith, in June 2023, the Company secured a letter of credit from JPMorgan Chase Bank, N.A.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which is recognized as long-term restricted cash as of March 31, 2025 and December 31, 2024, and renews automatically each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letter of credit with SVB was released from restriction and returned to the Company on July 17, 2023, and therefore was reclassified into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cash equivalents in the consolidated balance sheets.</w:t>
      </w:r>
    </w:p>
    <w:p>
      <w:pPr>
        <w:spacing w:after="0" w:line="85"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The term of this sublease expired on November 5, 2024. Sublease income is included within other income, net in the consolidated statements of operations and comprehensive loss.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year ended December 31, 2023.</w:t>
      </w:r>
    </w:p>
    <w:p>
      <w:pPr>
        <w:spacing w:after="0" w:line="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expiration of the sublease to Sobi in November 2024 and the Company’s decision to cease use of its office and laboratory space at 65 Grove Street, Watertown, Massachusetts, the Company assessed the right-of-use assets and related furniture and fixtures associated with the Watertown Lease Agreement and Watertown Lease Agreement Amendment for impairment. The carrying value of each asset group was compared against the future net undiscounted cash flows projected to be generate over the remaining lease terms. These projections included management’s estimates off cash inflows from potential sublease income. The carrying amount of the asset groups was found to be unrecoverable, thus the Company assessed the fair value of each asset group. The fair value was determined using the income approach, whereby the Company discounted the estimated net cash flows using a rate commensurate with the Company’s estimated incremental borrowing rate. As a result of this assessment, which included unrecoverable operating and maintenance costs, the Company determined that each asset group was fully impaired. As such, an impairment charge of $7.6 million was recognized during the year ended December 31, 2024, $7.4 million of which related to the right-of-use assets and $0.2 million related to property and equipment.</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704 Quince Orchard Road Leases</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acquired two operating leases for office and laboratory space in Gaithersburg, Maryland. These leases expire in January 2027 and do not contain any renewal rights. The discount rate of 11.5% was determined based on the Company’s incremental borrowing rate adjusted for the lease term.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2025 and 2024, the components of lease costs were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88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227"/>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8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March 31, 2025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03"/>
        </w:trPr>
        <w:tc>
          <w:tcPr>
            <w:tcW w:w="9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(remainder)</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18,122</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w:t>
            </w:r>
          </w:p>
        </w:tc>
      </w:tr>
      <w:tr>
        <w:trPr>
          <w:trHeight w:val="228"/>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statements of cash flows related to operating leases was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r>
    </w:tbl>
    <w:p>
      <w:pPr>
        <w:spacing w:after="0" w:line="18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right-of-use assets and lease liabilities for the three months ended March 31, 2025 and 2024 are reflected in the non-cash lease expense and accrued expenses and other liabilities, respectively, in the consolidated statements of cash flows.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Private Placement</w:t>
      </w:r>
    </w:p>
    <w:p>
      <w:pPr>
        <w:spacing w:after="0" w:line="106" w:lineRule="exact"/>
        <w:rPr>
          <w:sz w:val="20"/>
          <w:szCs w:val="20"/>
          <w:color w:val="auto"/>
        </w:rPr>
      </w:pPr>
    </w:p>
    <w:p>
      <w:pPr>
        <w:ind w:right="780" w:firstLine="324"/>
        <w:spacing w:after="0" w:line="266" w:lineRule="auto"/>
        <w:rPr>
          <w:sz w:val="20"/>
          <w:szCs w:val="20"/>
          <w:color w:val="auto"/>
        </w:rPr>
      </w:pPr>
      <w:r>
        <w:rPr>
          <w:rFonts w:ascii="Times New Roman" w:cs="Times New Roman" w:eastAsia="Times New Roman" w:hAnsi="Times New Roman"/>
          <w:sz w:val="18"/>
          <w:szCs w:val="18"/>
          <w:color w:val="auto"/>
        </w:rPr>
        <w:t>On July 2, 2024, the Company and certain institutional and accredited investors, or the Purchasers, entered into the 2024 Securities Purchase Agreement for the 2024 Private Placement.</w:t>
      </w:r>
    </w:p>
    <w:p>
      <w:pPr>
        <w:spacing w:after="0" w:line="54"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Pursuant to the 2024 Securities Purchase Agreement, the Purchasers agreed to purchase an aggregate of 3,563,247 shares of common stock and 2,937,903 shares of Series B Preferred Stock, inclusive of 2,359,500 shares of Series B Preferred Stock purchased by directors and executive officers of the Company, and related parties thereto, each at a price per share of $20.00. The 2024 Private Placement resulted in gross proceeds of approximately $130.0 million before deducting placement agent fees and other offering expenses.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December 13, 2024, the Company entered into a Sales Agreement, or the Sales Agreement, with Leerink Partners LLC to sell shares of the Company’s common stock, from time to time, through an “at the market” equity offering program under which Leerink Partners LLC will act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w:t>
      </w:r>
    </w:p>
    <w:p>
      <w:pPr>
        <w:spacing w:after="0" w:line="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the year ended December 31, 2024, the Company sold no shares of its common stock pursuant to the Sales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warrant activity for the three months ended March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2"/>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685,712</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685,712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included in the Company’s Annual Report on Form 10-K for the year ended December 31, 2024 for further discussion of the terms related to the Company’s warrants.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120,790.402 shares of Series A Preferred Stock and 437,927 shares of Series B Preferred Stock issued and outstanding, respectively, which are convertible into 4,464,273 shares of common stock.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of March 31, 2025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03"/>
        </w:trPr>
        <w:tc>
          <w:tcPr>
            <w:tcW w:w="9920" w:type="dxa"/>
            <w:vAlign w:val="bottom"/>
          </w:tcPr>
          <w:p>
            <w:pPr>
              <w:spacing w:after="0"/>
              <w:rPr>
                <w:sz w:val="17"/>
                <w:szCs w:val="17"/>
                <w:color w:val="auto"/>
              </w:rPr>
            </w:pP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692,523</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4,169,806</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572,605</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2,475,023</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437,927</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12,374,230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Incentive Plans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June 2024, the Company’s stockholders approved an amendment and restatement of the 2016 Plan to reserve an additional 3,466,544 shares of the Company’s common stock for issuance. In January 2025, the number of shares of common stock that may be issued under the 2016 Plan was increased by 1,030,694. As of March 31, 2025, 3,598,149 shares remain available for future issuance under the 2016 Plan.</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and December 2024, the Board of Directors approved amendments and restatements of the 2018 Inducement Incentive Award Plan to reserve an additional 360,000 and 450,000 shares, respectively, of the Company’s common stock for issuance thereunder. As of March 31, 2025, there are 489,683 shares available for future grant under the 2018 Inducement Incentive Award Plan.</w:t>
      </w:r>
    </w:p>
    <w:p>
      <w:pPr>
        <w:spacing w:after="0" w:line="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March 31, 2025, there are 36,179 shares available for future grant under the Old Cartesian Plan.</w:t>
      </w:r>
    </w:p>
    <w:p>
      <w:pPr>
        <w:spacing w:after="0" w:line="62"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$0.2 million and $0.4 million was recognized as research and development expense in the consolidated statements of operations and comprehensive loss during the three months ended March 31, 2025 and 2024, respectively. Following the stockholder approval of the conversion of the Series A Preferred Stock into shares of common stock, the options exercisable for shares of Series A Preferred Stock became exercisable for shares of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loss, was as follows (in thousands):</w:t>
      </w:r>
    </w:p>
    <w:p>
      <w:pPr>
        <w:spacing w:after="0" w:line="8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8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8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0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95.37 %</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19.78</w:t>
            </w:r>
          </w:p>
        </w:tc>
      </w:tr>
    </w:tbl>
    <w:p>
      <w:pPr>
        <w:spacing w:after="0" w:line="1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7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March 31, 2025 and 2024 was $14.03 and $15.79, respectively.</w:t>
      </w:r>
    </w:p>
    <w:p>
      <w:pPr>
        <w:spacing w:after="0" w:line="5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related to unvested common stock options was $17.9 million, which is expected to be recognized over a weighted average period of 3.2 years.</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 the 2018 Inducement Incentive Award Plan, and the Old Cartesian Plan for options for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1,706,035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(120,231)</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2,475,023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55"/>
        </w:trPr>
        <w:tc>
          <w:tcPr>
            <w:tcW w:w="48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at March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781,188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w:t>
            </w:r>
          </w:p>
        </w:tc>
      </w:tr>
      <w:tr>
        <w:trPr>
          <w:trHeight w:val="188"/>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March 31,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2,181,547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256,790 restricted stock unit awards with a weighted-average fair value of $16.93 per share based on the closing price of the Company’s common stock on the date of grant under the 2016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the restricted stock units was $8.0 million as of March 31, 2025, which is expected to be recognized over a weighted-average period of 3.0 years.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and the Old Cartesian Plan: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08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02"/>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444,238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(15,381)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March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8740" w:firstLine="8"/>
        <w:spacing w:after="0" w:line="360"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Arrangements </w:t>
      </w:r>
      <w:r>
        <w:rPr>
          <w:rFonts w:ascii="Times New Roman" w:cs="Times New Roman" w:eastAsia="Times New Roman" w:hAnsi="Times New Roman"/>
          <w:sz w:val="18"/>
          <w:szCs w:val="18"/>
          <w:i w:val="1"/>
          <w:iCs w:val="1"/>
          <w:color w:val="auto"/>
        </w:rPr>
        <w:t>Collaboration and license revenue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Astellas Gene Therapies</w:t>
      </w:r>
    </w:p>
    <w:p>
      <w:pPr>
        <w:spacing w:after="0" w:line="11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January 2023, the Company entered into the License and Development Agreement, or the Astellas Agreement, with Audentes Therapeutics, Inc., or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was licensed pursuant to an Exclusive License Agreement, or the Genovis Agreement, with Genovis AB (publ.), or Genovis, as described in Note 15 to these unaudited consolidated financial statements. Astellas paid a $10.0 million upfront payment to the Company upon signing of the Astellas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2024.</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was notified by Astellas of its intention to terminate the Astellas Agreement, which occurred effective June 6, 2024.</w:t>
      </w:r>
    </w:p>
    <w:p>
      <w:pPr>
        <w:spacing w:after="0" w:line="11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of March 31, 2025, there were no unsatisfied performance obligations related to the Astellas Agreement. As of each of March 31, 2025 and December 31, 2024, the Company recorded a receivable of $0.1 million, representing billings for the Xork Development Services (as defined in the Astellas Agreement) that are subject to reimbursement by Astellas. No revenue related to the Astellas Agreement was recognized during the three months ended March 31, 2025. During the three months ended March 31, 2024, revenue of $5.8 million related to the Astellas Agreement was recognized, inclusive of $3.2 million of revenue recognized from performance obligations related to prior periods as a result of the change in transaction price during the three months ended March 31, 2024.</w:t>
      </w:r>
    </w:p>
    <w:p>
      <w:pPr>
        <w:spacing w:after="0" w:line="75" w:lineRule="exact"/>
        <w:rPr>
          <w:sz w:val="20"/>
          <w:szCs w:val="20"/>
          <w:color w:val="auto"/>
        </w:rPr>
      </w:pPr>
    </w:p>
    <w:p>
      <w:pPr>
        <w:jc w:val="right"/>
        <w:ind w:right="8260"/>
        <w:spacing w:after="0"/>
        <w:rPr>
          <w:sz w:val="20"/>
          <w:szCs w:val="20"/>
          <w:color w:val="auto"/>
        </w:rPr>
      </w:pPr>
      <w:r>
        <w:rPr>
          <w:rFonts w:ascii="Times New Roman" w:cs="Times New Roman" w:eastAsia="Times New Roman" w:hAnsi="Times New Roman"/>
          <w:sz w:val="18"/>
          <w:szCs w:val="18"/>
          <w:b w:val="1"/>
          <w:bCs w:val="1"/>
          <w:color w:val="auto"/>
        </w:rPr>
        <w:t>Swedish Orphan Biovitrum AB (publ.)</w:t>
      </w:r>
    </w:p>
    <w:p>
      <w:pPr>
        <w:spacing w:after="0" w:line="119" w:lineRule="exact"/>
        <w:rPr>
          <w:sz w:val="20"/>
          <w:szCs w:val="20"/>
          <w:color w:val="auto"/>
        </w:rPr>
      </w:pPr>
    </w:p>
    <w:p>
      <w:pPr>
        <w:jc w:val="right"/>
        <w:ind w:right="82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06" w:lineRule="exact"/>
        <w:rPr>
          <w:sz w:val="20"/>
          <w:szCs w:val="20"/>
          <w:color w:val="auto"/>
        </w:rPr>
      </w:pPr>
    </w:p>
    <w:p>
      <w:pPr>
        <w:ind w:right="60" w:firstLine="324"/>
        <w:spacing w:after="0" w:line="236"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which was subsequently amended in October 2023.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2024. Any proceeds received from milestone payments or royalties relating to the Sobi License would be required to be distributed to holders of CVRs, net of certain deductions.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June 28, 2024, Sobi initiated a rolling biologics license application to the FDA for SEL-212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the year ended December 31, 2024 as there were no remaining performance obligations under the Sobi License. The proceeds from the achievement of the development milestone were received from Sobi in July 2024 and were included, net of deductions as specified in the CVR Agreement, in the distribution to holders of the CVRs in March 2025.</w:t>
      </w:r>
    </w:p>
    <w:p>
      <w:pPr>
        <w:spacing w:after="0" w:line="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each of March 31, 2025 and December 31, 2024, the Company recorded total outstanding receivables of $0.1 million, representing billings for the Phase 3 DISSOLVE program that are subject to reimbursement by Sobi. Additionally, as of March 31, 2025 and December 31, 2024, there was no unbilled receivable outstanding. No revenue was recognized during either of the three months ended March 31, 2025 and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780" w:firstLine="324"/>
        <w:spacing w:after="0" w:line="312"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contracts for which work has not been performed, or has been partially performed. As of March 31, 2025 and December 31, 2024, there were no unsatisfied performance obligations from contracts with customers.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 of Neurological Disorders and Stroke of the National Institutes of Health</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Subject to the availability of funds and satisfactory progress of the project, an additional $1.5 million has been recommended by NINDS to be awarded for the budget period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w:t>
      </w:r>
    </w:p>
    <w:p>
      <w:pPr>
        <w:spacing w:after="0" w:line="8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recorded a receivable of $1.3 million and $0.6 million, respectively, that is subject to reimbursement by NINDS. The Company recognized grant revenue of $0.7 million during the three months ended March 31,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Securities Purchase Agreement</w:t>
      </w:r>
    </w:p>
    <w:p>
      <w:pPr>
        <w:spacing w:after="0" w:line="106" w:lineRule="exact"/>
        <w:rPr>
          <w:sz w:val="20"/>
          <w:szCs w:val="20"/>
          <w:color w:val="auto"/>
        </w:rPr>
      </w:pPr>
    </w:p>
    <w:p>
      <w:pPr>
        <w:ind w:right="180" w:firstLine="324"/>
        <w:spacing w:after="0" w:line="241" w:lineRule="auto"/>
        <w:rPr>
          <w:sz w:val="20"/>
          <w:szCs w:val="20"/>
          <w:color w:val="auto"/>
        </w:rPr>
      </w:pPr>
      <w:r>
        <w:rPr>
          <w:rFonts w:ascii="Times New Roman" w:cs="Times New Roman" w:eastAsia="Times New Roman" w:hAnsi="Times New Roman"/>
          <w:sz w:val="18"/>
          <w:szCs w:val="18"/>
          <w:color w:val="auto"/>
        </w:rPr>
        <w:t>On November 13, 2023, the Company entered into the 2023 Securities Purchase Agreement with (i) Dr. Timothy A. Springer, a member of the Company’s Board of Directors, (ii) TAS Partners LLC, an affiliate of Dr. Springer, and (iii) Seven One Eight Three Four Irrevocable Trust, a trust associated with Dr. Murat Kalayoglu, a member of the Company’s Board of Directors, in which the Company agreed to issue and sell an aggregate of 149,330.115 shares of Series A Preferred Stock for an aggregate purchase price of $60.25 million (see Note 10). The 2023 Private Placement included a delayed settlement mechanism, and as a result, the below issuances and sales to related parties of the Company were made during the three months ended March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80" w:type="dxa"/>
            <w:vAlign w:val="bottom"/>
          </w:tcPr>
          <w:p>
            <w:pPr>
              <w:spacing w:after="0"/>
              <w:rPr>
                <w:sz w:val="13"/>
                <w:szCs w:val="13"/>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9"/>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3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95"/>
        </w:trPr>
        <w:tc>
          <w:tcPr>
            <w:tcW w:w="808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Amended 2019 Warrants</w:t>
      </w:r>
    </w:p>
    <w:p>
      <w:pPr>
        <w:spacing w:after="0" w:line="10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26, 2024, TAS Partners LLC exercised 65,681 Amended 2019 Warrants, paid the per-share exercise price of $43.80 in cash for an aggregate exercise price of $2.9 million, and received 65,681 shares of common stock and 1,970,443 CVRs.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there were no related party transactions.</w:t>
      </w:r>
    </w:p>
    <w:p>
      <w:pPr>
        <w:spacing w:after="0" w:line="113" w:lineRule="exact"/>
        <w:rPr>
          <w:sz w:val="20"/>
          <w:szCs w:val="20"/>
          <w:color w:val="auto"/>
        </w:rPr>
      </w:pPr>
    </w:p>
    <w:p>
      <w:pPr>
        <w:ind w:right="7980" w:firstLine="8"/>
        <w:spacing w:after="0" w:line="378"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 Biogen MA, Inc.</w:t>
      </w: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autoimmune diseases and disorders, excluding cancers, neoplastic disorders, and paraneoplastic disorders. The Company is not obligated to pay Biogen any expenses, fees, or royalties.</w:t>
      </w:r>
    </w:p>
    <w:p>
      <w:pPr>
        <w:spacing w:after="0" w:line="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7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Cancer Institute of the National Institutes of Health</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September 16, 2019, the Company entered into a nonexclusive, worldwide license agreement, or the NCI Agreement,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Health and Human Services, represented by the National Cancer Institute of the National Institutes of Health, or NCI.</w:t>
      </w:r>
    </w:p>
    <w:p>
      <w:pPr>
        <w:spacing w:after="0" w:line="9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8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54"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w:t>
      </w:r>
    </w:p>
    <w:p>
      <w:pPr>
        <w:spacing w:after="0" w:line="9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2021, the Company entered into the Genovis Agreement with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was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was to expense costs related to the Genovis Agreement as incurred until regulatory approval was received in accordance with ASC 730. The Company would have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Genovis tiered royalties of low double digit percentages of worldwide annual net sales of collaboration products which would have been expensed as the commercial sales occurred.</w:t>
      </w:r>
    </w:p>
    <w:p>
      <w:pPr>
        <w:spacing w:after="0" w:line="8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54" w:lineRule="exact"/>
        <w:rPr>
          <w:sz w:val="20"/>
          <w:szCs w:val="20"/>
          <w:color w:val="auto"/>
        </w:rPr>
      </w:pPr>
    </w:p>
    <w:p>
      <w:pPr>
        <w:ind w:right="3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In March 2024, the Company notified Genovis of its intention to terminate the Genovis Agreement, which occurred effective September 13, 2024. </w:t>
      </w:r>
      <w:r>
        <w:rPr>
          <w:rFonts w:ascii="Times New Roman" w:cs="Times New Roman" w:eastAsia="Times New Roman" w:hAnsi="Times New Roman"/>
          <w:sz w:val="18"/>
          <w:szCs w:val="18"/>
          <w:b w:val="1"/>
          <w:bCs w:val="1"/>
          <w:color w:val="auto"/>
        </w:rPr>
        <w:t>Shenyang Sunshine Pharmaceutical Co., Ltd</w:t>
      </w:r>
    </w:p>
    <w:p>
      <w:pPr>
        <w:spacing w:after="0" w:line="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March 31, 2025.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 Company was not a party to any litigation that could have a material adverse effect on the Company’s business,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March 31, 2025,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7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April 2023, in light of then-current market conditions, the Board of Directors took steps to extend the Company’s cash runway by pausing further development of the Company’s product candidate, SEL-302, for the treatment of methylmalonic acidemia, and conducting a targeted headcount reduction. On August 17, 2023, the Company announced additional steps to extend cash runway and maximize value for stockholders by continuing to prioritize development of the Company’s product candidate, SEL-212, and support of its collaboration with Astellas for Xork, and pausing further development of all of the Company’s other clinical and preclinical product candidates that it was no longer actively advancing. As a result of these measures, the Company implemented a restructuring plan that resulted in an approximate 90% reduction of the Company’s headcount as of April 2023.</w:t>
      </w:r>
    </w:p>
    <w:p>
      <w:pPr>
        <w:spacing w:after="0" w:line="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accrued restructuring balance included in accrued expenses and other current liabilities on its consolidated balance sheets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260" w:type="dxa"/>
            <w:vAlign w:val="bottom"/>
          </w:tcPr>
          <w:p>
            <w:pPr>
              <w:spacing w:after="0"/>
              <w:rPr>
                <w:sz w:val="17"/>
                <w:szCs w:val="17"/>
                <w:color w:val="auto"/>
              </w:rPr>
            </w:pPr>
          </w:p>
        </w:tc>
        <w:tc>
          <w:tcPr>
            <w:tcW w:w="14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3,896</w:t>
            </w:r>
          </w:p>
        </w:tc>
        <w:tc>
          <w:tcPr>
            <w:tcW w:w="128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(3,320)</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216"/>
        </w:trPr>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3"/>
        </w:trPr>
        <w:tc>
          <w:tcPr>
            <w:tcW w:w="28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6"/>
        </w:trPr>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260" w:type="dxa"/>
            <w:vAlign w:val="bottom"/>
          </w:tcPr>
          <w:p>
            <w:pPr>
              <w:spacing w:after="0"/>
              <w:rPr>
                <w:sz w:val="17"/>
                <w:szCs w:val="17"/>
                <w:color w:val="auto"/>
              </w:rPr>
            </w:pPr>
          </w:p>
        </w:tc>
        <w:tc>
          <w:tcPr>
            <w:tcW w:w="14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28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4"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restructuring expenses consisting of one-time cash severance payments and other employee-related costs. The Company recorded these restructuring charges based on each employee’s role to the respective research and development and general and administrative operating expense categories on its consolidated statements of operations and comprehensive loss. For the three months ended March 31, 2025, the Company recognized no restructuring charges. For the three months ended March 31, 2024, the Company recognized $0.2 million in research and development expenses and $0.1 million in general and administrative expenses. Payments for the restructuring plan were completed by March 31,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126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6"/>
                <w:szCs w:val="16"/>
                <w:color w:val="auto"/>
              </w:rPr>
            </w:pP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1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Legacy Selecta programs</w:t>
            </w:r>
          </w:p>
        </w:tc>
        <w:tc>
          <w:tcPr>
            <w:tcW w:w="1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r>
      <w:tr>
        <w:trPr>
          <w:trHeight w:val="195"/>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Descartes-08 for MG</w:t>
            </w:r>
          </w:p>
        </w:tc>
        <w:tc>
          <w:tcPr>
            <w:tcW w:w="1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Early stage programs</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5"/>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1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r>
      <w:tr>
        <w:trPr>
          <w:trHeight w:val="195"/>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1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net (1)</w:t>
            </w:r>
          </w:p>
        </w:tc>
        <w:tc>
          <w:tcPr>
            <w:tcW w:w="1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43,476</w:t>
            </w: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firstLine="332"/>
        <w:spacing w:after="0" w:line="282"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foreign currency transaction, net; change in fair value of warrant liabilities; change in fair value of contingent value right liability; change in fair value of forward contract liabilities; and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08"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The Company has concluded that no subsequent events have occurred that require disclosure.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2024, which we filed with the SEC on March 13, 2025. In addition, you should read the “Risk Factors” and “Information Regarding Forward-Looking Statements” sections of this Quarterly Report and our Annual Report on Form 10-K for the year ended December 31, 2024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firstLine="324"/>
        <w:spacing w:after="0" w:line="229"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w:t>
      </w:r>
      <w:r>
        <w:rPr>
          <w:rFonts w:ascii="Times New Roman" w:cs="Times New Roman" w:eastAsia="Times New Roman" w:hAnsi="Times New Roman"/>
          <w:sz w:val="18"/>
          <w:szCs w:val="18"/>
          <w:color w:val="231F20"/>
        </w:rPr>
        <w:t>pioneering cell therapies for the treatment of autoimmune diseases. Unlike DNA cell therapies, our cell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therapy method degrades naturally over time without integrating into the cell’s genetic material. Therefore, our cell therapies are distinguished by their capacity to be dosed repeatedly like conventional drugs, administered in an outpatient setting, and given without pre-treatment chemotherapy required with many conventional cell therapies. In our Phase 2b clinical trial in patients with myasthenia gravis, or MG, a chronic autoimmune disease that causes disabling muscle weakness and fatigue, we observed that our lead product candidate, Descartes-08, generated a deep and durable clinical benefit, with 83% of participants maintaining improvements in MG severity scales considered clinically meaningful by expert consensus at six months and sustained improvements in MG severity scales considered clinically meaningful by expert consensus at 12 months. Durability of response in MG is commonly measured over a period of 26 to 52 weeks, and maintenance of response over that period is considered durable</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08"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231F20"/>
        </w:rPr>
        <w:t xml:space="preserve">On November 13, 2023, the Company </w:t>
      </w:r>
      <w:r>
        <w:rPr>
          <w:rFonts w:ascii="Times New Roman" w:cs="Times New Roman" w:eastAsia="Times New Roman" w:hAnsi="Times New Roman"/>
          <w:sz w:val="18"/>
          <w:szCs w:val="18"/>
          <w:color w:val="000000"/>
        </w:rPr>
        <w:t>(formerly known as Selecta Biosciences, Inc., or Selecta)</w:t>
      </w:r>
      <w:r>
        <w:rPr>
          <w:rFonts w:ascii="Times New Roman" w:cs="Times New Roman" w:eastAsia="Times New Roman" w:hAnsi="Times New Roman"/>
          <w:sz w:val="18"/>
          <w:szCs w:val="18"/>
          <w:color w:val="231F20"/>
        </w:rPr>
        <w:t xml:space="preserve"> merged with the private Delaware corporation which, immediately prior to the Merger (as defined below), was known as Cartesian Therapeutics, Inc., or Old Cartesian, in accordance with the terms of an Agreement and Plan of Merger, or the Merger Agreement, by and among</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r>
        <w:rPr>
          <w:rFonts w:ascii="Times New Roman" w:cs="Times New Roman" w:eastAsia="Times New Roman" w:hAnsi="Times New Roman"/>
          <w:sz w:val="18"/>
          <w:szCs w:val="18"/>
          <w:color w:val="231F20"/>
        </w:rPr>
        <w: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connection with the Merger and pursuant to the Merger Agreement, the Company changed its corporate name to Cartesian Therapeutics, Inc. See Note 4 of the notes to the consolidated financial statements in </w:t>
      </w:r>
      <w:r>
        <w:rPr>
          <w:rFonts w:ascii="Times New Roman" w:cs="Times New Roman" w:eastAsia="Times New Roman" w:hAnsi="Times New Roman"/>
          <w:sz w:val="18"/>
          <w:szCs w:val="18"/>
          <w:color w:val="000000"/>
        </w:rPr>
        <w:t>our Annual Report on Form 10-K for the year ended December 31, 2024 for</w:t>
      </w:r>
      <w:r>
        <w:rPr>
          <w:rFonts w:ascii="Times New Roman" w:cs="Times New Roman" w:eastAsia="Times New Roman" w:hAnsi="Times New Roman"/>
          <w:sz w:val="18"/>
          <w:szCs w:val="18"/>
          <w:color w:val="231F20"/>
        </w:rPr>
        <w:t xml:space="preserve"> additional information regarding the Merger.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6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Except for the year ended December 31, 2022, we have incurred significant operating losses since our inception. We incurred a net loss of $17.7 million and $56.8 million for the three months ended March 31, 2025 and 2024, respectively. As of March 31, 2025, we had an accumulated deficit of $709.8 million. We expect to continue to incur significant expenses and operating losses for the foreseeable future as we:</w:t>
      </w:r>
    </w:p>
    <w:p>
      <w:pPr>
        <w:spacing w:after="0" w:line="6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Descartes-08 for MG into Phase 3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preclinical and clinical-stage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research and development expenses for the three months ended March 31, 2025 and 2024 (in thousands):</w:t>
      </w:r>
    </w:p>
    <w:p>
      <w:pPr>
        <w:spacing w:after="0" w:line="219"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740" w:type="dxa"/>
            <w:vAlign w:val="bottom"/>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70"/>
        </w:trPr>
        <w:tc>
          <w:tcPr>
            <w:tcW w:w="67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Selecta programs</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stage programs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r>
      <w:tr>
        <w:trPr>
          <w:trHeight w:val="19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we entered into a securities purchase agreement, or the 2023 Securities Purchase Agreement, pursuant to which we agreed to issue 149,330.115 shares of Series A Non-Voting Convertible Preferred Stock, par value $0.0001 per share, or the Series A Preferred Stock, in exchange for aggregate gross proceeds of $60.25 million, or the 2023 Private Placement. We granted customary registration rights to investors in connection with the 2023 Private Placement.</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July 2, 2024, we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We granted customary registration rights to investors in connection with the 2024 Private Placement.</w:t>
      </w:r>
    </w:p>
    <w:p>
      <w:pPr>
        <w:spacing w:after="0" w:line="7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March 31, 2025 will enable us to fund our operating expenses and capital expenditure requirements into mid-2027. We have based this estimate on assumptions that may prove to be wrong, and we could use our capital resources sooner than we currently expect.</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Cartesian Therapeutics, Inc. and our wholly owned subsidiaries, Selecta (RUS) LLC, a Russian limited liability company, or Selecta (RUS), Selecta Biosciences Security Corporation, a Massachusetts securities corporation which was dissolved in December 2024, and Cartesian Bio, LLC, a Delaware limited liability company, which is a variable interest entity for which we are the primary beneficiary. All intercompany accounts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revenue</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descriptions of the agreements underlying our collaboration and license revenue, see Note 13 to our unaudited consolidated financial statements included elsewhere in this Quarterly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108"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Additionally, we generate grant revenue which consists of funding received to perform specific research and development services under grant arrangements.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of long-lived assets consists of impairment charges on our long-lived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income earned on our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consists of non-operating income and non-operating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warrants classified as liabilities are remeasured quarterly at fair value with the change in fair value recognized as a component of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value right liability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contingent value right liability is remeasured quarterly at fair value with the change in fair value recognized as a component of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forward contract liabilities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forward contract liabilities associated with the delayed issuance of the Series A Preferred Stock related to the Merger and 2023 Private Placement are remeasured quarterly and upon settlement at fair value with the change in fair value recognized as a component of earnings.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3"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70"/>
        </w:trPr>
        <w:tc>
          <w:tcPr>
            <w:tcW w:w="3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3"/>
                <w:szCs w:val="23"/>
                <w:color w:val="auto"/>
              </w:rPr>
            </w:pPr>
          </w:p>
        </w:tc>
        <w:tc>
          <w:tcPr>
            <w:tcW w:w="17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40" w:type="dxa"/>
            <w:vAlign w:val="bottom"/>
          </w:tcPr>
          <w:p>
            <w:pPr>
              <w:spacing w:after="0"/>
              <w:rPr>
                <w:sz w:val="23"/>
                <w:szCs w:val="23"/>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gridSpan w:val="3"/>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40" w:type="dxa"/>
            <w:vAlign w:val="bottom"/>
          </w:tcPr>
          <w:p>
            <w:pPr>
              <w:spacing w:after="0"/>
              <w:rPr>
                <w:sz w:val="16"/>
                <w:szCs w:val="16"/>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5"/>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(5,440)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700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540" w:type="dxa"/>
            <w:vAlign w:val="bottom"/>
          </w:tcPr>
          <w:p>
            <w:pPr>
              <w:spacing w:after="0"/>
              <w:rPr>
                <w:sz w:val="16"/>
                <w:szCs w:val="16"/>
                <w:color w:val="auto"/>
              </w:rPr>
            </w:pPr>
          </w:p>
        </w:tc>
        <w:tc>
          <w:tcPr>
            <w:tcW w:w="172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(4,740)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5"/>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540" w:type="dxa"/>
            <w:vAlign w:val="bottom"/>
          </w:tcPr>
          <w:p>
            <w:pPr>
              <w:spacing w:after="0"/>
              <w:rPr>
                <w:sz w:val="16"/>
                <w:szCs w:val="16"/>
                <w:color w:val="auto"/>
              </w:rPr>
            </w:pPr>
          </w:p>
        </w:tc>
        <w:tc>
          <w:tcPr>
            <w:tcW w:w="17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4,936</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(1,135)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54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jc w:val="right"/>
              <w:ind w:right="868"/>
              <w:spacing w:after="0"/>
              <w:rPr>
                <w:sz w:val="20"/>
                <w:szCs w:val="20"/>
                <w:color w:val="auto"/>
              </w:rPr>
            </w:pPr>
            <w:r>
              <w:rPr>
                <w:rFonts w:ascii="Times New Roman" w:cs="Times New Roman" w:eastAsia="Times New Roman" w:hAnsi="Times New Roman"/>
                <w:sz w:val="14"/>
                <w:szCs w:val="14"/>
                <w:color w:val="auto"/>
              </w:rPr>
              <w:t>3,801</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(13,348)</w:t>
            </w: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(8,541)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540" w:type="dxa"/>
            <w:vAlign w:val="bottom"/>
          </w:tcPr>
          <w:p>
            <w:pPr>
              <w:spacing w:after="0"/>
              <w:rPr>
                <w:sz w:val="16"/>
                <w:szCs w:val="16"/>
                <w:color w:val="auto"/>
              </w:rPr>
            </w:pPr>
          </w:p>
        </w:tc>
        <w:tc>
          <w:tcPr>
            <w:tcW w:w="17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851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776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(39,300)</w:t>
            </w:r>
          </w:p>
        </w:tc>
        <w:tc>
          <w:tcPr>
            <w:tcW w:w="540" w:type="dxa"/>
            <w:vAlign w:val="bottom"/>
          </w:tcPr>
          <w:p>
            <w:pPr>
              <w:spacing w:after="0"/>
              <w:rPr>
                <w:sz w:val="16"/>
                <w:szCs w:val="16"/>
                <w:color w:val="auto"/>
              </w:rPr>
            </w:pPr>
          </w:p>
        </w:tc>
        <w:tc>
          <w:tcPr>
            <w:tcW w:w="17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39,646</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6,890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540" w:type="dxa"/>
            <w:vAlign w:val="bottom"/>
          </w:tcPr>
          <w:p>
            <w:pPr>
              <w:spacing w:after="0"/>
              <w:rPr>
                <w:sz w:val="17"/>
                <w:szCs w:val="17"/>
                <w:color w:val="auto"/>
              </w:rPr>
            </w:pPr>
          </w:p>
        </w:tc>
        <w:tc>
          <w:tcPr>
            <w:tcW w:w="172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(508)</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540" w:type="dxa"/>
            <w:vAlign w:val="bottom"/>
            <w:tcBorders>
              <w:top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39,114</w:t>
            </w: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Collaboration and license revenue</w:t>
      </w:r>
    </w:p>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recognized $0.4 million of collaboration and license revenue, compared to $5.8 million for the three months ended March 31, 2024, a decrease of $5.4 million. The decrease was primarily due to a recognition of the remaining deferred revenue under the License and Development Agreement, or the Astellas Agreement, with Audentes Therapeutics, Inc., or Astellas, upon notice of termination during the three months ended March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revenue</w:t>
      </w:r>
    </w:p>
    <w:p>
      <w:pPr>
        <w:spacing w:after="0" w:line="11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recognized $0.7 million of grant revenue. We received funding approval from NINDS during the three months ended June 30, 2024, and as such there was no grant revenue during the three months ended March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1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March 31, 2025 and 2024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70"/>
        </w:trPr>
        <w:tc>
          <w:tcPr>
            <w:tcW w:w="5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40" w:type="dxa"/>
            <w:vAlign w:val="bottom"/>
          </w:tcPr>
          <w:p>
            <w:pPr>
              <w:spacing w:after="0"/>
              <w:rPr>
                <w:sz w:val="23"/>
                <w:szCs w:val="23"/>
                <w:color w:val="auto"/>
              </w:rPr>
            </w:pPr>
          </w:p>
        </w:tc>
      </w:tr>
      <w:tr>
        <w:trPr>
          <w:trHeight w:val="23"/>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Selecta programs</w:t>
            </w: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456 %</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stage programs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2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w:t>
      </w:r>
      <w:r>
        <w:rPr>
          <w:rFonts w:ascii="Times New Roman" w:cs="Times New Roman" w:eastAsia="Times New Roman" w:hAnsi="Times New Roman"/>
          <w:sz w:val="18"/>
          <w:szCs w:val="18"/>
          <w:color w:val="2C2C2C"/>
        </w:rPr>
        <w:t>, our research and development expenses were</w:t>
      </w:r>
      <w:r>
        <w:rPr>
          <w:rFonts w:ascii="Times New Roman" w:cs="Times New Roman" w:eastAsia="Times New Roman" w:hAnsi="Times New Roman"/>
          <w:sz w:val="18"/>
          <w:szCs w:val="18"/>
          <w:color w:val="auto"/>
        </w:rPr>
        <w:t xml:space="preserve"> $14.7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$9.7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three months ended March 31, 2024, an increase of $5.0 million. The decrease in expenses for legacy Selecta programs was primarily related to decreased expenses for Xork as a result of the termination of the Astellas Agreement in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expenses for Descartes-08 for MG was primarily related to the expenses for the Phase 2b trial and the activities associated with the Phase 3 AURORA trial. The increase in our expenses for early stage programs was primarily related to increased manufacturing operations expenses. The increases in our research and development employee expenses and stock-based compensation expense were primarily a result of headcount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w:t>
      </w:r>
      <w:r>
        <w:rPr>
          <w:rFonts w:ascii="Times New Roman" w:cs="Times New Roman" w:eastAsia="Times New Roman" w:hAnsi="Times New Roman"/>
          <w:sz w:val="18"/>
          <w:szCs w:val="18"/>
          <w:color w:val="2C2C2C"/>
        </w:rPr>
        <w:t>, our</w:t>
      </w:r>
      <w:r>
        <w:rPr>
          <w:rFonts w:ascii="Times New Roman" w:cs="Times New Roman" w:eastAsia="Times New Roman" w:hAnsi="Times New Roman"/>
          <w:sz w:val="18"/>
          <w:szCs w:val="18"/>
          <w:color w:val="auto"/>
        </w:rPr>
        <w:t xml:space="preserve"> general and administrative </w:t>
      </w:r>
      <w:r>
        <w:rPr>
          <w:rFonts w:ascii="Times New Roman" w:cs="Times New Roman" w:eastAsia="Times New Roman" w:hAnsi="Times New Roman"/>
          <w:sz w:val="18"/>
          <w:szCs w:val="18"/>
          <w:color w:val="2C2C2C"/>
        </w:rPr>
        <w:t>expenses were</w:t>
      </w:r>
      <w:r>
        <w:rPr>
          <w:rFonts w:ascii="Times New Roman" w:cs="Times New Roman" w:eastAsia="Times New Roman" w:hAnsi="Times New Roman"/>
          <w:sz w:val="18"/>
          <w:szCs w:val="18"/>
          <w:color w:val="auto"/>
        </w:rPr>
        <w:t xml:space="preserve"> $8.3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$9.5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three months ended March 31, 2024, a decrease of $1.2 million. The decrease in cost was primarily the result of reductions in expenses in professional fees incurred in connection with the Merger.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31, 2025 was $2.0 million, compared to $1.2 million for the three months ended March 31, 2024, an increase of $0.8 million. The increase in interest income was due to increased investment balance.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warrant liabilities</w:t>
      </w:r>
    </w:p>
    <w:p>
      <w:pPr>
        <w:spacing w:after="0" w:line="117" w:lineRule="exact"/>
        <w:rPr>
          <w:sz w:val="20"/>
          <w:szCs w:val="20"/>
          <w:color w:val="auto"/>
        </w:rPr>
      </w:pPr>
    </w:p>
    <w:p>
      <w:pPr>
        <w:jc w:val="both"/>
        <w:ind w:right="80" w:firstLine="324"/>
        <w:spacing w:after="0" w:line="281" w:lineRule="auto"/>
        <w:rPr>
          <w:sz w:val="20"/>
          <w:szCs w:val="20"/>
          <w:color w:val="auto"/>
        </w:rPr>
      </w:pPr>
      <w:r>
        <w:rPr>
          <w:rFonts w:ascii="Times New Roman" w:cs="Times New Roman" w:eastAsia="Times New Roman" w:hAnsi="Times New Roman"/>
          <w:sz w:val="17"/>
          <w:szCs w:val="17"/>
          <w:color w:val="auto"/>
        </w:rPr>
        <w:t>For the three months ended March 31, 2025, we recognized $1.8 million of income from the decrease in the fair value of warrant liabilities, compared to $1.0 million of income from the decrease in the fair value of warrant liabilities for the three months ended March 31, 2024, an increase of $0.8 million. Fair value of warrant liabilities was determined utilizing the Black-Scholes valuation methodology. The decrease in warrant value was primarily driven by a decrease in the per-share price of our common stock and the expiration of the warrants we issued in 2019 during the year ended December 31,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contingent value right liability</w:t>
      </w:r>
    </w:p>
    <w:p>
      <w:pPr>
        <w:spacing w:after="0" w:line="11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recognized $0.3 million of income from the decrease in the fair value of the CVR liability, compared to $39.3 million of expense associated with the increase in the fair value of the CVR liability for the three months ended March 31, 2024, an increase of $39.6 million. The fair value of the CVR liability was determined utilizing a Monte Carlo simulation model. The decrease in the fair value of the CVR liability was primarily due to changes in interest rates.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forward contract liabilities</w:t>
      </w:r>
    </w:p>
    <w:p>
      <w:pPr>
        <w:spacing w:after="0" w:line="104" w:lineRule="exact"/>
        <w:rPr>
          <w:sz w:val="20"/>
          <w:szCs w:val="20"/>
          <w:color w:val="auto"/>
        </w:rPr>
      </w:pPr>
    </w:p>
    <w:p>
      <w:pPr>
        <w:jc w:val="both"/>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remaining Series A Preferred Stock forward contract liability was settled during the three months ended March 31, 2024. As such, no change in the fair value of the Series A Preferred Stock forward contract liability is reflected in our unaudited consolidated financial statements for the three months ended March 31,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p>
    <w:p>
      <w:pPr>
        <w:spacing w:after="0" w:line="117" w:lineRule="exact"/>
        <w:rPr>
          <w:sz w:val="20"/>
          <w:szCs w:val="20"/>
          <w:color w:val="auto"/>
        </w:rPr>
      </w:pPr>
    </w:p>
    <w:p>
      <w:pPr>
        <w:jc w:val="both"/>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recognized no other income, net, compared to $0.5 million for the three months ended March 31, 2024. The decrease was primarily due to a decrease in sublease income. The terms of our subleases expired during the year ended December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11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Net loss for three months ended March 31, 2025 was $17.7 million as compared to net loss of $56.8 million for the three months ended March 31, 2024, a decrease of $39.1 million The change was primarily due to expenses associated with the change in the fair value of the CVR liability and the change in the fair value of the Series A Preferred Stock forward contract liability during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Except for net income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62" w:lineRule="exact"/>
        <w:rPr>
          <w:sz w:val="20"/>
          <w:szCs w:val="20"/>
          <w:color w:val="auto"/>
        </w:rPr>
      </w:pPr>
    </w:p>
    <w:p>
      <w:pPr>
        <w:ind w:right="260" w:firstLine="324"/>
        <w:spacing w:after="0" w:line="280" w:lineRule="auto"/>
        <w:rPr>
          <w:sz w:val="20"/>
          <w:szCs w:val="20"/>
          <w:color w:val="auto"/>
        </w:rPr>
      </w:pPr>
      <w:r>
        <w:rPr>
          <w:rFonts w:ascii="Times New Roman" w:cs="Times New Roman" w:eastAsia="Times New Roman" w:hAnsi="Times New Roman"/>
          <w:sz w:val="18"/>
          <w:szCs w:val="18"/>
          <w:color w:val="auto"/>
        </w:rPr>
        <w:t>Our cash, cash equivalents, and restricted cash were $182.1 million as of March 31, 2025, of which $1.7 million was restricted cash related to lease commitments</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liability associated with the contingent value rights agreement, or CVR Agreement, entered into on December 6, 2023, will be settled solely through cash flow received under the Sobi License and any other Gross Proceeds (as such term is defined</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this Quarterly Report.</w:t>
      </w:r>
    </w:p>
    <w:p>
      <w:pPr>
        <w:spacing w:after="0" w:line="7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this Quarterly Report.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$10.0 million upfront payment and were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to our unaudited consolidated financial statements included elsewhere in this Quarterly Report. Amounts paid and remaining obligations with regard to the Xork product candidate not reimbursed by Astellas through the Astellas Agreement were subject to potential reimbursement through deductions to CVR distributions as described in Note 7 to our unaudited consolidated financial statements included elsewhere in this Quarterly Report and were reimbursed in the March 2025 CVR distribution.</w:t>
      </w:r>
    </w:p>
    <w:p>
      <w:pPr>
        <w:spacing w:after="0" w:line="67"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July 2024, we received $30.0 million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this Quarterly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December 13, 2024, we and Leerink Partners LLC entered into a Sales Agreement, or the Sales Agreement. Under the Sales Agreement, we may issue and sell shares of our common stock, from time to time, through Leerink Partners LLC or aggregate gross sales proceeds of up to $100.0 million. During the three months ended March 31, 2025, we sold no shares of our common stock pursuant to the Sales Agreement.</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On November 13, 2023, we entered into the 2023 Securities Purchase Agreement with (i) Dr. Timothy A. Springer, a member of our Board of</w:t>
      </w:r>
    </w:p>
    <w:p>
      <w:pPr>
        <w:spacing w:after="0" w:line="1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2023 Private Placement. In the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three months ended March 31, 2024 for gross proceeds of $40.0 million.</w:t>
      </w:r>
    </w:p>
    <w:p>
      <w:pPr>
        <w:spacing w:after="0" w:line="7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July 2, 2024, we entered into the 2024 Securities Purchase Agreement for the 2024 Private Placement with certain institutional and accredited investors, or the Purchasers. In the 2024 Private Placement, we issued and sold an aggregate of 3,563,247 shares of common stock and 2,937,903 shares of Series B Preferred Stock for which we generated gross proceeds of approximately $130.0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had an accumulated deficit of $709.8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March 31, 2025 will enable us to fund our operating expenses and capital expenditure requirements into mid-2027.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our clinical trials, preclinical development, manufacturing, laboratory testing and logistics;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headcount growth and associated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timing and outcome of regulatory review of our product candidates;</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manufacturing, marketing, sales and distribution, for any of our product candidates for which we receive marketing approval;</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if any,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 and</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invest in businesses, products and technologies, including entering into licensing or collaboration arrangements for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 due to Contractual Obligations and Other Commitments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under agreement to lease approximately 32,294 square feet of laboratory and office space in Watertown, Massachusetts through May 2028. Remaining lease payments from March 31, 2025 through the end of the lease term total approximately $9.0 million. Payments made and remaining obligations on this lease liability were subject to potential reimbursement through deductions to CVR distributions as described in Note 7 to our unaudited consolidated financial statements included elsewhere in this Quarterly Report and were reimbursed in the March 2025 CVR distribution.</w:t>
      </w:r>
    </w:p>
    <w:p>
      <w:pPr>
        <w:spacing w:after="0" w:line="7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November 2023, in connection with the Merger, we acquired two leases for office and laboratory space in Gaithersburg, Maryland, which expire in January 2027. Annualized rent is approximately $0.3 million and remaining lease payments from March 31, 2025 through the end of the lease term total approximately $0.6 million.</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2024, we entered into an agreement to lease approximately 19,199 square feet of integrated manufacturing and office space in Fredericksburg, Maryland. In May 2024, we entered into an amendment to lease an additional approximately 7,842 square feet at the same site. In August 2024, we entered into a second amendment to lease an additional approximately 2,009 square feet at the same site. In March 2025, we entered into a third amendment to lease an additional approximately 6,439 square feet at the same site. The leases expire coterminously in June 2031. Annualized base rent under the leases is approximately $1.2 million and is subject to annual increases in accordance with the terms of the lease agreement. The leases provide for a tenant improvement allowance of $0.8 million. Remaining lease payments total $9.7 million through the end of the lease term.</w:t>
      </w:r>
    </w:p>
    <w:p>
      <w:pPr>
        <w:spacing w:after="0" w:line="66"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March 31, 2025,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7 to our unaudited consolidated financial statements included elsewhere in this Quarterly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(15,917)</w:t>
            </w:r>
          </w:p>
        </w:tc>
        <w:tc>
          <w:tcPr>
            <w:tcW w:w="0" w:type="dxa"/>
            <w:vAlign w:val="bottom"/>
          </w:tcPr>
          <w:p>
            <w:pPr>
              <w:spacing w:after="0"/>
              <w:rPr>
                <w:sz w:val="1"/>
                <w:szCs w:val="1"/>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26,507</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$23.1 million compared to $15.9 million for the three months ended March 31, 2024. The increase in cash used in operating activities of $7.2 million was primarily due to $16.0 million of net loss, adjusted for non-cash items, and $7.1 million of cash used in changes in operating assets and liabilities, in each case during the three months ended March 31, 2025 compared to $9.5 million of net loss, adjusted for non-cash items, and $6.4 million of cash used in changes in operating assets and liabilities during the three months ended March 31, 2024.</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$1.1 million compared to $0.6 million in the same period in 2023, a decrease of $0.5 million. The net cash used in investing activities for the three months ended March 31, 2025 and 2024 consisted primarily of purchases of property and equipment.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was $8.0 million compared to net cash provided by financing activities of $43.0 million for the three months ended March 31, 2024, a decrease of $51.0 million. The net cash used in financing activities in the three months ended March 31, 2025 was primarily the result of payments for the CVR distribution. The net cash provided by financing activities in the three months ended March 31, 2024 was primarily the result of proceeds of the 2023 Private Placement.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refer to Note 3 to our unaudited consolidated financial statements included elsewhere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we did not have any off-balance sheet arrangements as defined in the rules and regulations of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months ended March 31, 2025, there were no material changes to our critical accounting policies from those described in our Annual Report on Form 10-K for the year ended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March 31, 2025 and December 31, 2024, we had cash, cash equivalents, and restricted cash of $182.1 million and $214.3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See the risk factors previously disclosed in Item 1A of our Annual Report on Form 10-K for the year ended December 31, 2024. There have been no material changes from the risk factors previously disclosed in such filings.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During the quarter ended March 31, 2025, no director or officer adopted or terminated any contract, instrument or written plan for the purchase or sale of Cartesian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12"/>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20" w:type="dxa"/>
            <w:vAlign w:val="bottom"/>
            <w:gridSpan w:val="9"/>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560" w:type="dxa"/>
            <w:vAlign w:val="bottom"/>
            <w:gridSpan w:val="16"/>
            <w:vMerge w:val="restart"/>
          </w:tcPr>
          <w:p>
            <w:pPr>
              <w:ind w:left="2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14"/>
                <w:szCs w:val="14"/>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122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560" w:type="dxa"/>
            <w:vAlign w:val="bottom"/>
            <w:gridSpan w:val="16"/>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3"/>
        </w:trPr>
        <w:tc>
          <w:tcPr>
            <w:tcW w:w="760" w:type="dxa"/>
            <w:vAlign w:val="bottom"/>
            <w:tcBorders>
              <w:top w:val="single" w:sz="8" w:color="auto"/>
            </w:tcBorders>
            <w:gridSpan w:val="6"/>
          </w:tcPr>
          <w:p>
            <w:pPr>
              <w:jc w:val="center"/>
              <w:ind w:left="270"/>
              <w:spacing w:after="0" w:line="18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tcBorders>
              <w:top w:val="single" w:sz="8" w:color="auto"/>
            </w:tcBorders>
            <w:gridSpan w:val="16"/>
          </w:tcPr>
          <w:p>
            <w:pPr>
              <w:spacing w:after="0" w:line="18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Agreement and Plan of Merger, dated November 13, 2023, by and among</w:t>
              </w:r>
            </w:hyperlink>
          </w:p>
        </w:tc>
        <w:tc>
          <w:tcPr>
            <w:tcW w:w="120" w:type="dxa"/>
            <w:vAlign w:val="bottom"/>
          </w:tcPr>
          <w:p>
            <w:pPr>
              <w:spacing w:after="0"/>
              <w:rPr>
                <w:sz w:val="15"/>
                <w:szCs w:val="15"/>
                <w:color w:val="auto"/>
              </w:rPr>
            </w:pPr>
          </w:p>
        </w:tc>
        <w:tc>
          <w:tcPr>
            <w:tcW w:w="78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Selecta Biosciences, Inc., Sakura Merger Sub I, Inc., Sakura Merger Sub</w:t>
              </w:r>
            </w:hyperlink>
          </w:p>
        </w:tc>
        <w:tc>
          <w:tcPr>
            <w:tcW w:w="260" w:type="dxa"/>
            <w:vAlign w:val="bottom"/>
            <w:gridSpan w:val="5"/>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II,</w:t>
              </w:r>
            </w:hyperlink>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LLC, and Cartesian Therapeutics, Inc.</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60">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1(a)</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6/29/2016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1(b)</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Selecta Biosciences, Inc., dated June 21, 2022</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FF"/>
            </w:tcBorders>
            <w:gridSpan w:val="3"/>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1(c)</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Selecta Biosciences, Inc., dated November 13, 2023</w:t>
              </w:r>
            </w:hyperlink>
          </w:p>
        </w:tc>
        <w:tc>
          <w:tcPr>
            <w:tcW w:w="146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1(d)</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to the Restated Certificate of Incorporation, as</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amended, of Cartesian Therapeutics, Inc., dated March 28, 2024.</w:t>
              </w:r>
            </w:hyperlink>
          </w:p>
        </w:tc>
        <w:tc>
          <w:tcPr>
            <w:tcW w:w="58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 w:type="dxa"/>
            <w:vAlign w:val="bottom"/>
            <w:gridSpan w:val="5"/>
          </w:tcPr>
          <w:p>
            <w:pPr>
              <w:jc w:val="center"/>
              <w:ind w:left="350"/>
              <w:spacing w:after="0"/>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Amended and Restated By-laws of Cartesian Therapeutics, Inc.</w:t>
              </w:r>
            </w:hyperlink>
          </w:p>
        </w:tc>
        <w:tc>
          <w:tcPr>
            <w:tcW w:w="980" w:type="dxa"/>
            <w:vAlign w:val="bottom"/>
            <w:gridSpan w:val="9"/>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1(a)</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Designation of Preferences, Rights and Limitations of Series</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A Non-Voting Convertible Preferred Stock</w:t>
              </w:r>
            </w:hyperlink>
          </w:p>
        </w:tc>
        <w:tc>
          <w:tcPr>
            <w:tcW w:w="2280" w:type="dxa"/>
            <w:vAlign w:val="bottom"/>
            <w:tcBorders>
              <w:top w:val="single" w:sz="8" w:color="0000FF"/>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1(b)</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Certificate of Amendment to the Certificate of Designation of Series A Non-</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Voting Convertible Preferred Stock, dated March 26,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5"/>
          </w:tcPr>
          <w:p>
            <w:pPr>
              <w:jc w:val="center"/>
              <w:ind w:left="35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6"/>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Certificate of Designation of Preferences, Rights and Limitations of Series B</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Non-Voting Convertible Preferred Stock</w:t>
              </w:r>
            </w:hyperlink>
          </w:p>
        </w:tc>
        <w:tc>
          <w:tcPr>
            <w:tcW w:w="26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300" w:type="dxa"/>
        <w:tblCellMar>
          <w:top w:w="0" w:type="dxa"/>
          <w:left w:w="0" w:type="dxa"/>
          <w:bottom w:w="0" w:type="dxa"/>
          <w:right w:w="0" w:type="dxa"/>
        </w:tblCellMar>
      </w:tblPr>
      <w:tr>
        <w:trPr>
          <w:trHeight w:val="207"/>
        </w:trPr>
        <w:tc>
          <w:tcPr>
            <w:tcW w:w="9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5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Third Amendment to Lease Agreement by and between 7495 RP, LLC and</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Cartesian Therapeutics, Inc. dated March 12, 2025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5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Separation Agreement and Release by and between Metin Kurtoglu and</w:t>
            </w:r>
          </w:p>
        </w:tc>
        <w:tc>
          <w:tcPr>
            <w:tcW w:w="0" w:type="dxa"/>
            <w:vAlign w:val="bottom"/>
          </w:tcPr>
          <w:p>
            <w:pPr>
              <w:spacing w:after="0"/>
              <w:rPr>
                <w:sz w:val="1"/>
                <w:szCs w:val="1"/>
                <w:color w:val="auto"/>
              </w:rPr>
            </w:pPr>
          </w:p>
        </w:tc>
      </w:tr>
      <w:tr>
        <w:trPr>
          <w:trHeight w:val="155"/>
        </w:trPr>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5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Cartesian Therapeutics, Inc. dated April 29, 2025</w:t>
            </w:r>
          </w:p>
        </w:tc>
        <w:tc>
          <w:tcPr>
            <w:tcW w:w="162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5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15d-14(a) of the Securities Exchange Act of 1934, as adopted pursuant</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50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Rule 15d-14(a) of the Securities Exchange Act of 1934, as adopted pursuant</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18 U.S.C. Section 1350, as adopted pursuant to Section 906 of</w:t>
            </w:r>
          </w:p>
        </w:tc>
        <w:tc>
          <w:tcPr>
            <w:tcW w:w="6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ind w:left="1220"/>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bl>
    <w:p>
      <w:pPr>
        <w:spacing w:after="0" w:line="176" w:lineRule="exact"/>
        <w:rPr>
          <w:sz w:val="20"/>
          <w:szCs w:val="20"/>
          <w:color w:val="auto"/>
        </w:rPr>
      </w:pPr>
    </w:p>
    <w:p>
      <w:pPr>
        <w:sectPr>
          <w:pgSz w:w="11900" w:h="16838" w:orient="portrait"/>
          <w:cols w:equalWidth="0" w:num="2">
            <w:col w:w="6720" w:space="480"/>
            <w:col w:w="4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101.INS</w:t>
            </w:r>
          </w:p>
        </w:tc>
        <w:tc>
          <w:tcPr>
            <w:tcW w:w="590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820" w:type="dxa"/>
            <w:vAlign w:val="bottom"/>
          </w:tcPr>
          <w:p>
            <w:pPr>
              <w:jc w:val="right"/>
              <w:ind w:right="43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line="18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590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1060" w:type="dxa"/>
            <w:vAlign w:val="bottom"/>
          </w:tcPr>
          <w:p>
            <w:pPr>
              <w:spacing w:after="0"/>
              <w:rPr>
                <w:sz w:val="24"/>
                <w:szCs w:val="24"/>
                <w:color w:val="auto"/>
              </w:rPr>
            </w:pP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60" w:type="dxa"/>
            <w:vAlign w:val="bottom"/>
            <w:vMerge w:val="continue"/>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60" w:type="dxa"/>
            <w:vAlign w:val="bottom"/>
            <w:vMerge w:val="continue"/>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060" w:type="dxa"/>
            <w:vAlign w:val="bottom"/>
            <w:vMerge w:val="continue"/>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 Exhibit 101)</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58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2" w:lineRule="auto"/>
        <w:tabs>
          <w:tab w:leader="none" w:pos="1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54" w:lineRule="exact"/>
        <w:rPr>
          <w:sz w:val="20"/>
          <w:szCs w:val="20"/>
          <w:color w:val="auto"/>
        </w:rPr>
      </w:pPr>
    </w:p>
    <w:p>
      <w:pPr>
        <w:ind w:right="460" w:firstLine="8"/>
        <w:spacing w:after="0" w:line="266"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marked by brackets and asterisks, has been omitted pursuant to Item 601(b)(10)(iv) of Regulation S-K because the information (i) is not material and (ii) is the type of information that the Company both customarily and actually treats as private and confidential.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45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1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Blaine Davis</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2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TO LEASE AGREEMENT</w:t>
      </w:r>
    </w:p>
    <w:p>
      <w:pPr>
        <w:spacing w:after="0" w:line="2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THIRD AMENDMENT TO LEASE AGREEMENT (this “</w:t>
      </w:r>
      <w:r>
        <w:rPr>
          <w:rFonts w:ascii="Times New Roman" w:cs="Times New Roman" w:eastAsia="Times New Roman" w:hAnsi="Times New Roman"/>
          <w:sz w:val="22"/>
          <w:szCs w:val="22"/>
          <w:b w:val="1"/>
          <w:bCs w:val="1"/>
          <w:u w:val="single" w:color="auto"/>
          <w:color w:val="auto"/>
        </w:rPr>
        <w:t>Third Amendment</w:t>
      </w:r>
      <w:r>
        <w:rPr>
          <w:rFonts w:ascii="Times New Roman" w:cs="Times New Roman" w:eastAsia="Times New Roman" w:hAnsi="Times New Roman"/>
          <w:sz w:val="22"/>
          <w:szCs w:val="22"/>
          <w:color w:val="auto"/>
        </w:rPr>
        <w:t>”) is made and entered into this 13th day of March, 2025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7495 RP, LLC,</w:t>
      </w:r>
      <w:r>
        <w:rPr>
          <w:rFonts w:ascii="Times New Roman" w:cs="Times New Roman" w:eastAsia="Times New Roman" w:hAnsi="Times New Roman"/>
          <w:sz w:val="22"/>
          <w:szCs w:val="22"/>
          <w:color w:val="auto"/>
        </w:rPr>
        <w:t xml:space="preserve"> a Maryland limited liability company, having an address at 5377 Jackson Mountain Road, Frederick, Maryland 21702 (“</w:t>
      </w: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CARTESIAN THERAPEUTICS, INC.</w:t>
      </w:r>
      <w:r>
        <w:rPr>
          <w:rFonts w:ascii="Times New Roman" w:cs="Times New Roman" w:eastAsia="Times New Roman" w:hAnsi="Times New Roman"/>
          <w:sz w:val="22"/>
          <w:szCs w:val="22"/>
          <w:color w:val="auto"/>
        </w:rPr>
        <w:t>, a Delaware corporation, having a headquarters address at 704 Quince Orchard Road (Suite 140), Gaithersburg, Maryland 20878 (“</w:t>
      </w: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This Third Amendment is made and entered with respect to the following:</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R-1. Landlord and Tenant are the current parties to that certain Lease dated February 28, 2024 (the “</w:t>
      </w:r>
      <w:r>
        <w:rPr>
          <w:rFonts w:ascii="Times New Roman" w:cs="Times New Roman" w:eastAsia="Times New Roman" w:hAnsi="Times New Roman"/>
          <w:sz w:val="22"/>
          <w:szCs w:val="22"/>
          <w:b w:val="1"/>
          <w:bCs w:val="1"/>
          <w:u w:val="single" w:color="auto"/>
          <w:color w:val="auto"/>
        </w:rPr>
        <w:t>Original Lease</w:t>
      </w:r>
      <w:r>
        <w:rPr>
          <w:rFonts w:ascii="Times New Roman" w:cs="Times New Roman" w:eastAsia="Times New Roman" w:hAnsi="Times New Roman"/>
          <w:sz w:val="22"/>
          <w:szCs w:val="22"/>
          <w:color w:val="auto"/>
        </w:rPr>
        <w:t>”), as amended by that First Amendment to Lease Agreement dated May 7, 2024, and that Second Amendment to Lease Agreement dated August 30, 2024 (collectively, the “</w:t>
      </w:r>
      <w:r>
        <w:rPr>
          <w:rFonts w:ascii="Times New Roman" w:cs="Times New Roman" w:eastAsia="Times New Roman" w:hAnsi="Times New Roman"/>
          <w:sz w:val="22"/>
          <w:szCs w:val="22"/>
          <w:b w:val="1"/>
          <w:bCs w:val="1"/>
          <w:u w:val="single" w:color="auto"/>
          <w:color w:val="auto"/>
        </w:rPr>
        <w:t>Lease</w:t>
      </w:r>
      <w:r>
        <w:rPr>
          <w:rFonts w:ascii="Times New Roman" w:cs="Times New Roman" w:eastAsia="Times New Roman" w:hAnsi="Times New Roman"/>
          <w:sz w:val="22"/>
          <w:szCs w:val="22"/>
          <w:color w:val="auto"/>
        </w:rPr>
        <w:t>”), pursuant to which Landlord has agreed to lease to Tenant approximately 29,050 square feet of Rentable Area on the first and second floors (the “</w:t>
      </w:r>
      <w:r>
        <w:rPr>
          <w:rFonts w:ascii="Times New Roman" w:cs="Times New Roman" w:eastAsia="Times New Roman" w:hAnsi="Times New Roman"/>
          <w:sz w:val="22"/>
          <w:szCs w:val="22"/>
          <w:b w:val="1"/>
          <w:bCs w:val="1"/>
          <w:u w:val="single" w:color="auto"/>
          <w:color w:val="auto"/>
        </w:rPr>
        <w:t>Existing Premises</w:t>
      </w:r>
      <w:r>
        <w:rPr>
          <w:rFonts w:ascii="Times New Roman" w:cs="Times New Roman" w:eastAsia="Times New Roman" w:hAnsi="Times New Roman"/>
          <w:sz w:val="22"/>
          <w:szCs w:val="22"/>
          <w:color w:val="auto"/>
        </w:rPr>
        <w:t>”) of the building located at 7495 New Horizon Way, Frederick, Maryland 21702 (“</w:t>
      </w:r>
      <w:r>
        <w:rPr>
          <w:rFonts w:ascii="Times New Roman" w:cs="Times New Roman" w:eastAsia="Times New Roman" w:hAnsi="Times New Roman"/>
          <w:sz w:val="22"/>
          <w:szCs w:val="22"/>
          <w:b w:val="1"/>
          <w:bCs w:val="1"/>
          <w:u w:val="single" w:color="auto"/>
          <w:color w:val="auto"/>
        </w:rPr>
        <w:t>Building</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R-2. Landlord desires to lease to Tenant and Tenant desires to lease from Landlord on the terms set forth herein, in addition to the Existing Premises, approximately 6,439 square feet of Rentable Area designated as </w:t>
      </w:r>
      <w:r>
        <w:rPr>
          <w:rFonts w:ascii="Times New Roman" w:cs="Times New Roman" w:eastAsia="Times New Roman" w:hAnsi="Times New Roman"/>
          <w:sz w:val="22"/>
          <w:szCs w:val="22"/>
          <w:b w:val="1"/>
          <w:bCs w:val="1"/>
          <w:color w:val="auto"/>
        </w:rPr>
        <w:t>Suite 120</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Expansion Premises</w:t>
      </w:r>
      <w:r>
        <w:rPr>
          <w:rFonts w:ascii="Times New Roman" w:cs="Times New Roman" w:eastAsia="Times New Roman" w:hAnsi="Times New Roman"/>
          <w:sz w:val="22"/>
          <w:szCs w:val="22"/>
          <w:color w:val="auto"/>
        </w:rPr>
        <w:t>”) located on the first (1st) floor of the Building. The Third Expansion Premises is more particularly shown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Exhibit “A” which is attached hereto and made a part hereof.</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R-3. Landlord and Tenant desire to expand the Existing Premises to include the Third Expansion Premises, and to otherwise modify the Lease as set forth herein in this Third Amendment.</w:t>
      </w:r>
    </w:p>
    <w:p>
      <w:pPr>
        <w:spacing w:after="0" w:line="158"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sum of Ten Dollars ($10.00) and other good and valuable consideration, the receipt and sufficiency of which are acknowledged by Landlord and Tenant, Landlord and Tenant covenant and agree as follows:</w:t>
      </w:r>
    </w:p>
    <w:p>
      <w:pPr>
        <w:spacing w:after="0" w:line="131" w:lineRule="exact"/>
        <w:rPr>
          <w:sz w:val="20"/>
          <w:szCs w:val="20"/>
          <w:color w:val="auto"/>
        </w:rPr>
      </w:pPr>
    </w:p>
    <w:p>
      <w:pPr>
        <w:jc w:val="both"/>
        <w:ind w:firstLine="656"/>
        <w:spacing w:after="0" w:line="265" w:lineRule="auto"/>
        <w:tabs>
          <w:tab w:leader="none" w:pos="105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 CAPITALIZED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above-mentioned Recitals are incorporated herein by this reference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though fully set forth at length. Capitalized terms used in this Third Amendment but not defined herein shall have the meanings ascribed to them in the Lease.</w:t>
      </w:r>
    </w:p>
    <w:p>
      <w:pPr>
        <w:spacing w:after="0" w:line="161" w:lineRule="exact"/>
        <w:rPr>
          <w:rFonts w:ascii="Times New Roman" w:cs="Times New Roman" w:eastAsia="Times New Roman" w:hAnsi="Times New Roman"/>
          <w:sz w:val="22"/>
          <w:szCs w:val="22"/>
          <w:color w:val="auto"/>
        </w:rPr>
      </w:pPr>
    </w:p>
    <w:p>
      <w:pPr>
        <w:jc w:val="both"/>
        <w:ind w:firstLine="656"/>
        <w:spacing w:after="0" w:line="259" w:lineRule="auto"/>
        <w:tabs>
          <w:tab w:leader="none" w:pos="10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term of the Lease with respect to the Third Expansion Premises (“</w:t>
      </w:r>
      <w:r>
        <w:rPr>
          <w:rFonts w:ascii="Times New Roman" w:cs="Times New Roman" w:eastAsia="Times New Roman" w:hAnsi="Times New Roman"/>
          <w:sz w:val="22"/>
          <w:szCs w:val="22"/>
          <w:b w:val="1"/>
          <w:bCs w:val="1"/>
          <w:u w:val="single" w:color="auto"/>
          <w:color w:val="auto"/>
        </w:rPr>
        <w:t>Expansion Premises Term</w:t>
      </w:r>
      <w:r>
        <w:rPr>
          <w:rFonts w:ascii="Times New Roman" w:cs="Times New Roman" w:eastAsia="Times New Roman" w:hAnsi="Times New Roman"/>
          <w:sz w:val="22"/>
          <w:szCs w:val="22"/>
          <w:color w:val="auto"/>
        </w:rPr>
        <w: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 as of the date that Landlord delivers to Tenant full possession of the Third Expansion Premises with Landlord’s Work Substantially Completed (as such terms are defined in the Work Letter attached hereto as Exhibit “B”) (sometimes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0" w:right="339" w:bottom="1440" w:gutter="0" w:footer="0" w:header="0"/>
        </w:sectPr>
      </w:pPr>
    </w:p>
    <w:bookmarkStart w:id="44" w:name="page45"/>
    <w:bookmarkEnd w:id="44"/>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referred to as the “</w:t>
      </w:r>
      <w:r>
        <w:rPr>
          <w:rFonts w:ascii="Times New Roman" w:cs="Times New Roman" w:eastAsia="Times New Roman" w:hAnsi="Times New Roman"/>
          <w:sz w:val="22"/>
          <w:szCs w:val="22"/>
          <w:b w:val="1"/>
          <w:bCs w:val="1"/>
          <w:u w:val="single" w:color="auto"/>
          <w:color w:val="auto"/>
        </w:rPr>
        <w:t>Third Expansion Premises Lease Commencement Date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TEPLCD</w:t>
      </w:r>
      <w:r>
        <w:rPr>
          <w:rFonts w:ascii="Times New Roman" w:cs="Times New Roman" w:eastAsia="Times New Roman" w:hAnsi="Times New Roman"/>
          <w:sz w:val="22"/>
          <w:szCs w:val="22"/>
          <w:color w:val="auto"/>
        </w:rPr>
        <w:t>”) and shall expire at the expiration of the Term of the Lease (it being the intent of the parties that the term of Tenant’s leasing of the Existing Premises and the term of Tenant’s leasing of the Third Expansion Premises shall be coterminous). [***] Each subsequent year shall be coterminous with the corresponding Lease Year as provided for in the Lease.</w:t>
      </w:r>
    </w:p>
    <w:p>
      <w:pPr>
        <w:spacing w:after="0" w:line="168" w:lineRule="exact"/>
        <w:rPr>
          <w:sz w:val="20"/>
          <w:szCs w:val="20"/>
          <w:color w:val="auto"/>
        </w:rPr>
      </w:pPr>
    </w:p>
    <w:p>
      <w:pPr>
        <w:ind w:left="1040" w:hanging="384"/>
        <w:spacing w:after="0"/>
        <w:tabs>
          <w:tab w:leader="none" w:pos="10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accept the Third Expansion Premises in its “as is” condition on the Third Expansion Premises Lease Commencement Date. Tenant has had an opportunity to inspect the Third Expansion Premises and, except for the completion of Landlord’s Work, has determined that the same is sufficient for Tenant’s use thereof. Notwithstanding the foregoing, Landlord shall repair with reasonable promptness any latent defects in Landlord’s Work reported by Tenant to Landlord in writing within one (1) year of the Third Expansion Premises Lease Commencement Date. If identified in writing, Landlord shall, at Landlord’s sole cost and expense, commence to repair or replace said item(s) within a commercially reasonable period of time following receipt of such notice.</w:t>
      </w:r>
    </w:p>
    <w:p>
      <w:pPr>
        <w:spacing w:after="0" w:line="175" w:lineRule="exact"/>
        <w:rPr>
          <w:rFonts w:ascii="Times New Roman" w:cs="Times New Roman" w:eastAsia="Times New Roman" w:hAnsi="Times New Roman"/>
          <w:sz w:val="22"/>
          <w:szCs w:val="22"/>
          <w:color w:val="auto"/>
        </w:rPr>
      </w:pPr>
    </w:p>
    <w:p>
      <w:pPr>
        <w:jc w:val="both"/>
        <w:ind w:firstLine="1304"/>
        <w:spacing w:after="0" w:line="243" w:lineRule="auto"/>
        <w:tabs>
          <w:tab w:leader="none" w:pos="181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expected Third Expansion Premises Lease Commencement Date is September 1, 2025 (the “</w:t>
      </w:r>
      <w:r>
        <w:rPr>
          <w:rFonts w:ascii="Times New Roman" w:cs="Times New Roman" w:eastAsia="Times New Roman" w:hAnsi="Times New Roman"/>
          <w:sz w:val="22"/>
          <w:szCs w:val="22"/>
          <w:b w:val="1"/>
          <w:bCs w:val="1"/>
          <w:color w:val="auto"/>
        </w:rPr>
        <w:t>Expected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Third Expansion Premises Lease Commencement Date</w:t>
      </w:r>
      <w:r>
        <w:rPr>
          <w:rFonts w:ascii="Times New Roman" w:cs="Times New Roman" w:eastAsia="Times New Roman" w:hAnsi="Times New Roman"/>
          <w:sz w:val="22"/>
          <w:szCs w:val="22"/>
          <w:color w:val="auto"/>
        </w:rPr>
        <w:t>”). If Landlord does not deliver possession of the Third Expansion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on the Expected Third Expansion Premises Lease Commencement Date with Landlord’s Work Substantially Completed, Landlord shall not have any liability whatsoever to Tenant on account of such failure to deliver possession of the Third Expansion Premises to Tenant and neither this Third Amendment nor the Lease shall be rendered void or voidable as a result of such delay, except that if Landlord does not deliver possession of the Third Expansion Premises with Landlord’s Work Substantially Completed within sixty (60) days after the Expected Third Expansion Premises Lease Commencement Date (the “</w:t>
      </w:r>
      <w:r>
        <w:rPr>
          <w:rFonts w:ascii="Times New Roman" w:cs="Times New Roman" w:eastAsia="Times New Roman" w:hAnsi="Times New Roman"/>
          <w:sz w:val="22"/>
          <w:szCs w:val="22"/>
          <w:b w:val="1"/>
          <w:bCs w:val="1"/>
          <w:color w:val="auto"/>
        </w:rPr>
        <w:t>Outside Date</w:t>
      </w:r>
      <w:r>
        <w:rPr>
          <w:rFonts w:ascii="Times New Roman" w:cs="Times New Roman" w:eastAsia="Times New Roman" w:hAnsi="Times New Roman"/>
          <w:sz w:val="22"/>
          <w:szCs w:val="22"/>
          <w:color w:val="auto"/>
        </w:rPr>
        <w:t>”), which Outside Date shall be extended on a day-for-basis due to Tenant Delays or Force Majeure Delays (as such terms are defined in the Work Letter), Tenant shall receive a credit to be applied against next installments of Base Rent due after the Third Expansion Premises Lease Commencement Date in the amount equal to: (i) one hundred percent (100%) of the daily Base Rent per day for the first sixty (60) days after the Outside Date until Landlord delivers full possession of the Third Expansion Premises with Landlord’s Work Substantially Completed; and (ii) two hundred percent (200%) of the daily Base Rent per day beginning on the sixty-first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and continuing thereafter until Landlord delivers full possession of the Third Expansion Premises with Landlord’s Work Substantially Completed, but all such periods shall be extended on a day-for-basis due to Tenant Delays or Force Majeure Delays. However, under such circumstances, the Third Expansion Premises Lease Commencement Date shall be postponed until Landlord has delivered possession of the Third Expansion Premises to Tenant with Landlord’s Work Substantially Completed.</w:t>
      </w:r>
    </w:p>
    <w:p>
      <w:pPr>
        <w:spacing w:after="0" w:line="196" w:lineRule="exact"/>
        <w:rPr>
          <w:rFonts w:ascii="Times New Roman" w:cs="Times New Roman" w:eastAsia="Times New Roman" w:hAnsi="Times New Roman"/>
          <w:sz w:val="22"/>
          <w:szCs w:val="22"/>
          <w:color w:val="auto"/>
        </w:rPr>
      </w:pPr>
    </w:p>
    <w:p>
      <w:pPr>
        <w:ind w:firstLine="1304"/>
        <w:spacing w:after="0" w:line="271" w:lineRule="auto"/>
        <w:tabs>
          <w:tab w:leader="none" w:pos="199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be responsible, at Tenant’s sole cost and expense, to cause the construction of the Improvements as provided for on the Approved Working Drawings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in and as provided for in the Work Letter attached hereto as Exhibit “B” (collectively the “</w:t>
      </w:r>
      <w:r>
        <w:rPr>
          <w:rFonts w:ascii="Times New Roman" w:cs="Times New Roman" w:eastAsia="Times New Roman" w:hAnsi="Times New Roman"/>
          <w:sz w:val="22"/>
          <w:szCs w:val="22"/>
          <w:b w:val="1"/>
          <w:bCs w:val="1"/>
          <w:color w:val="auto"/>
        </w:rPr>
        <w:t>Landlord’s Work</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56"/>
        <w:spacing w:after="0" w:line="248" w:lineRule="auto"/>
        <w:tabs>
          <w:tab w:leader="none" w:pos="10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Beginning on the Third Expansion Premises Lease Commencement Date, Tenant shall lease the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Expansion Premises from Landlord subject to the terms of the Lease, as modified hereby. Notwithstanding any provision of the Lease to the contrary, from and after the Third Expansion Premises Lease Commencement Date, except where there is a conflict with the terms of this Third Amendment, the “</w:t>
      </w: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xml:space="preserve">,” as such term is used in the Lease, shall include the Existing Premises and the Third Expansion Premises, containing a total of approximately </w:t>
      </w:r>
      <w:r>
        <w:rPr>
          <w:rFonts w:ascii="Times New Roman" w:cs="Times New Roman" w:eastAsia="Times New Roman" w:hAnsi="Times New Roman"/>
          <w:sz w:val="22"/>
          <w:szCs w:val="22"/>
          <w:b w:val="1"/>
          <w:bCs w:val="1"/>
          <w:color w:val="auto"/>
        </w:rPr>
        <w:t>35,489 square feet of Rentable Area</w:t>
      </w:r>
      <w:r>
        <w:rPr>
          <w:rFonts w:ascii="Times New Roman" w:cs="Times New Roman" w:eastAsia="Times New Roman" w:hAnsi="Times New Roman"/>
          <w:sz w:val="22"/>
          <w:szCs w:val="22"/>
          <w:color w:val="auto"/>
        </w:rPr>
        <w:t xml:space="preserve">. The Premises (including the Existing Premises and the Third Expansion Premises) shall be known as 7495 New Horizon Way, </w:t>
      </w:r>
      <w:r>
        <w:rPr>
          <w:rFonts w:ascii="Times New Roman" w:cs="Times New Roman" w:eastAsia="Times New Roman" w:hAnsi="Times New Roman"/>
          <w:sz w:val="22"/>
          <w:szCs w:val="22"/>
          <w:b w:val="1"/>
          <w:bCs w:val="1"/>
          <w:color w:val="auto"/>
        </w:rPr>
        <w:t>Suites 120, 130,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140, 150, 210, 220 and 230</w:t>
      </w:r>
      <w:r>
        <w:rPr>
          <w:rFonts w:ascii="Times New Roman" w:cs="Times New Roman" w:eastAsia="Times New Roman" w:hAnsi="Times New Roman"/>
          <w:sz w:val="22"/>
          <w:szCs w:val="22"/>
          <w:color w:val="auto"/>
        </w:rPr>
        <w:t>, Frederick, Maryland 21703. As of the Effective Date, Section 2.21(b) of the Lease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to replace “thirty-nine and sixteen hundredths percent (39.16%)” with “</w:t>
      </w:r>
      <w:r>
        <w:rPr>
          <w:rFonts w:ascii="Times New Roman" w:cs="Times New Roman" w:eastAsia="Times New Roman" w:hAnsi="Times New Roman"/>
          <w:sz w:val="22"/>
          <w:szCs w:val="22"/>
          <w:b w:val="1"/>
          <w:bCs w:val="1"/>
          <w:color w:val="auto"/>
        </w:rPr>
        <w:t>forty-seven and eighty-four hundredths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percent (47.84%).</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b w:val="1"/>
          <w:bCs w:val="1"/>
          <w:color w:val="auto"/>
        </w:rPr>
      </w:pPr>
    </w:p>
    <w:p>
      <w:pPr>
        <w:jc w:val="both"/>
        <w:ind w:right="20" w:firstLine="1304"/>
        <w:spacing w:after="0" w:line="257" w:lineRule="auto"/>
        <w:tabs>
          <w:tab w:leader="none" w:pos="17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Expansion Premises Annual Rent</w:t>
      </w:r>
      <w:r>
        <w:rPr>
          <w:rFonts w:ascii="Times New Roman" w:cs="Times New Roman" w:eastAsia="Times New Roman" w:hAnsi="Times New Roman"/>
          <w:sz w:val="22"/>
          <w:szCs w:val="22"/>
          <w:color w:val="auto"/>
        </w:rPr>
        <w:t>. In addition to the Base Rent with respect to the Existing Premises, Tenant shall pay to Landlord Base Rent with respect to the Third Expansion Premises (“</w:t>
      </w:r>
      <w:r>
        <w:rPr>
          <w:rFonts w:ascii="Times New Roman" w:cs="Times New Roman" w:eastAsia="Times New Roman" w:hAnsi="Times New Roman"/>
          <w:sz w:val="22"/>
          <w:szCs w:val="22"/>
          <w:b w:val="1"/>
          <w:bCs w:val="1"/>
          <w:u w:val="single" w:color="auto"/>
          <w:color w:val="auto"/>
        </w:rPr>
        <w:t>Third Expansion Premises Base Rent</w:t>
      </w:r>
      <w:r>
        <w:rPr>
          <w:rFonts w:ascii="Times New Roman" w:cs="Times New Roman" w:eastAsia="Times New Roman" w:hAnsi="Times New Roman"/>
          <w:sz w:val="22"/>
          <w:szCs w:val="22"/>
          <w:color w:val="auto"/>
        </w:rPr>
        <w:t>”) as follows: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00" w:type="dxa"/>
            <w:vAlign w:val="bottom"/>
            <w:tcBorders>
              <w:top w:val="single" w:sz="8" w:color="auto"/>
              <w:left w:val="single" w:sz="8" w:color="auto"/>
            </w:tcBorders>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Lease Year</w:t>
            </w:r>
          </w:p>
        </w:tc>
        <w:tc>
          <w:tcPr>
            <w:tcW w:w="90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Annual Rent</w:t>
            </w:r>
          </w:p>
        </w:tc>
        <w:tc>
          <w:tcPr>
            <w:tcW w:w="8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3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Monthly Base Rent</w:t>
            </w:r>
          </w:p>
        </w:tc>
        <w:tc>
          <w:tcPr>
            <w:tcW w:w="80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gridSpan w:val="4"/>
          </w:tcPr>
          <w:p>
            <w:pPr>
              <w:jc w:val="center"/>
              <w:ind w:right="820"/>
              <w:spacing w:after="0"/>
              <w:rPr>
                <w:sz w:val="20"/>
                <w:szCs w:val="20"/>
                <w:color w:val="auto"/>
              </w:rPr>
            </w:pPr>
            <w:r>
              <w:rPr>
                <w:rFonts w:ascii="Times New Roman" w:cs="Times New Roman" w:eastAsia="Times New Roman" w:hAnsi="Times New Roman"/>
                <w:sz w:val="22"/>
                <w:szCs w:val="22"/>
                <w:b w:val="1"/>
                <w:bCs w:val="1"/>
                <w:color w:val="auto"/>
                <w:w w:val="97"/>
              </w:rPr>
              <w:t>Rent Per</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236"/>
        </w:trPr>
        <w:tc>
          <w:tcPr>
            <w:tcW w:w="900" w:type="dxa"/>
            <w:vAlign w:val="bottom"/>
            <w:tcBorders>
              <w:lef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5"/>
          </w:tcPr>
          <w:p>
            <w:pPr>
              <w:jc w:val="center"/>
              <w:ind w:right="40"/>
              <w:spacing w:after="0" w:line="237" w:lineRule="exact"/>
              <w:rPr>
                <w:sz w:val="20"/>
                <w:szCs w:val="20"/>
                <w:color w:val="auto"/>
              </w:rPr>
            </w:pPr>
            <w:r>
              <w:rPr>
                <w:rFonts w:ascii="Times New Roman" w:cs="Times New Roman" w:eastAsia="Times New Roman" w:hAnsi="Times New Roman"/>
                <w:sz w:val="22"/>
                <w:szCs w:val="22"/>
                <w:b w:val="1"/>
                <w:bCs w:val="1"/>
                <w:color w:val="auto"/>
                <w:w w:val="96"/>
              </w:rPr>
              <w:t>Square Foot</w:t>
            </w:r>
          </w:p>
        </w:tc>
      </w:tr>
      <w:tr>
        <w:trPr>
          <w:trHeight w:val="48"/>
        </w:trPr>
        <w:tc>
          <w:tcPr>
            <w:tcW w:w="90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r>
      <w:tr>
        <w:trPr>
          <w:trHeight w:val="298"/>
        </w:trPr>
        <w:tc>
          <w:tcPr>
            <w:tcW w:w="2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TEPLCD -4/30/26*</w:t>
            </w: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$199,609.00</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7"/>
              </w:rPr>
              <w:t>$16,634.08**</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$31.00</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2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5/1/26 – 4/30/27</w:t>
            </w: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$205,597.27</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32"/>
              <w:spacing w:after="0"/>
              <w:rPr>
                <w:sz w:val="20"/>
                <w:szCs w:val="20"/>
                <w:color w:val="auto"/>
              </w:rPr>
            </w:pPr>
            <w:r>
              <w:rPr>
                <w:rFonts w:ascii="Times New Roman" w:cs="Times New Roman" w:eastAsia="Times New Roman" w:hAnsi="Times New Roman"/>
                <w:sz w:val="22"/>
                <w:szCs w:val="22"/>
                <w:color w:val="auto"/>
                <w:w w:val="96"/>
              </w:rPr>
              <w:t>$17,133.11</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$31.93</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2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5/1/27– 4/30/28</w:t>
            </w: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$211,765.19</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$17,647.10</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$32.89</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2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5/1/28 – 4/30/29</w:t>
            </w: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$218,118.14</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$18,176.51</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$33.87</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2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5/1/29 – 4/30/30</w:t>
            </w: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$224,661.69</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$18,721.81</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$34.89</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2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5/1/30 – 4/30/31</w:t>
            </w: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$231,401.54</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$19,283.46</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$35.94</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bl>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*This period may be less than twelve full calendar months</w:t>
      </w:r>
    </w:p>
    <w:p>
      <w:pPr>
        <w:spacing w:after="0" w:line="20" w:lineRule="exact"/>
        <w:rPr>
          <w:sz w:val="20"/>
          <w:szCs w:val="20"/>
          <w:color w:val="auto"/>
        </w:rPr>
      </w:pPr>
    </w:p>
    <w:p>
      <w:pPr>
        <w:ind w:left="80" w:right="180" w:firstLine="540"/>
        <w:spacing w:after="0" w:line="224" w:lineRule="auto"/>
        <w:rPr>
          <w:sz w:val="20"/>
          <w:szCs w:val="20"/>
          <w:color w:val="auto"/>
        </w:rPr>
      </w:pPr>
      <w:r>
        <w:rPr>
          <w:rFonts w:ascii="Times New Roman" w:cs="Times New Roman" w:eastAsia="Times New Roman" w:hAnsi="Times New Roman"/>
          <w:sz w:val="16"/>
          <w:szCs w:val="16"/>
          <w:color w:val="auto"/>
        </w:rPr>
        <w:t>**Provided Tenant is not in default under the Lease, Landlord agrees to abate the first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full monthly installment of Base Rent payable hereunder (i.e., to equal a total abatement of $16,634.08).</w:t>
      </w:r>
    </w:p>
    <w:p>
      <w:pPr>
        <w:spacing w:after="0" w:line="1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Except as otherwise set forth herein, the foregoing Base Rent for the Third Expansion Premises shall be paid by Tenant to Landlord in accordance with the terms of the Lease, commencing on the Third Expansion Premises Lease Commencement Date. Tenant shall pay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full monthly installment of Base Rent payable hereunder upon execution of this Third Amendment.</w:t>
      </w:r>
    </w:p>
    <w:p>
      <w:pPr>
        <w:spacing w:after="0" w:line="80" w:lineRule="exact"/>
        <w:rPr>
          <w:sz w:val="20"/>
          <w:szCs w:val="20"/>
          <w:color w:val="auto"/>
        </w:rPr>
      </w:pPr>
    </w:p>
    <w:p>
      <w:pPr>
        <w:jc w:val="both"/>
        <w:ind w:right="20" w:firstLine="1304"/>
        <w:spacing w:after="0" w:line="263" w:lineRule="auto"/>
        <w:tabs>
          <w:tab w:leader="none" w:pos="180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Beginning on the Third Expansion Premises Lease Commencement Date Tenant shall pay all Additional Rent for the Third Expansion Premises as required pursuant to the terms of the Lease, including, but not limited to, Section 2 thereof.</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60"/>
          </w:cols>
          <w:pgMar w:left="320" w:top="1440" w:right="31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579"/>
        <w:spacing w:after="0" w:line="254" w:lineRule="auto"/>
        <w:tabs>
          <w:tab w:leader="none" w:pos="96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SECURITY DEPOSIT</w:t>
      </w:r>
      <w:r>
        <w:rPr>
          <w:rFonts w:ascii="Times New Roman" w:cs="Times New Roman" w:eastAsia="Times New Roman" w:hAnsi="Times New Roman"/>
          <w:sz w:val="22"/>
          <w:szCs w:val="22"/>
          <w:color w:val="auto"/>
        </w:rPr>
        <w:t>. The parties acknowledge that Landlord is currently holding a security deposit in the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b w:val="1"/>
          <w:bCs w:val="1"/>
          <w:color w:val="auto"/>
        </w:rPr>
        <w:t>$308,317.24</w:t>
      </w:r>
      <w:r>
        <w:rPr>
          <w:rFonts w:ascii="Times New Roman" w:cs="Times New Roman" w:eastAsia="Times New Roman" w:hAnsi="Times New Roman"/>
          <w:sz w:val="22"/>
          <w:szCs w:val="22"/>
          <w:color w:val="auto"/>
        </w:rPr>
        <w:t xml:space="preserve">. Simultaneously with the execution and delivery of this Third Amendment, Tenant shall deposit with Landlord an additional security deposit in the amount of </w:t>
      </w:r>
      <w:r>
        <w:rPr>
          <w:rFonts w:ascii="Times New Roman" w:cs="Times New Roman" w:eastAsia="Times New Roman" w:hAnsi="Times New Roman"/>
          <w:sz w:val="22"/>
          <w:szCs w:val="22"/>
          <w:b w:val="1"/>
          <w:bCs w:val="1"/>
          <w:color w:val="auto"/>
        </w:rPr>
        <w:t>$49,902.25</w:t>
      </w:r>
      <w:r>
        <w:rPr>
          <w:rFonts w:ascii="Times New Roman" w:cs="Times New Roman" w:eastAsia="Times New Roman" w:hAnsi="Times New Roman"/>
          <w:sz w:val="22"/>
          <w:szCs w:val="22"/>
          <w:color w:val="auto"/>
        </w:rPr>
        <w:t xml:space="preserve"> (which amount represents three (3) months of Base Rent for the Third Expansion Premises). Landlord shall hold, apply and disburse the entire security deposit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$358,219.49</w:t>
      </w:r>
      <w:r>
        <w:rPr>
          <w:rFonts w:ascii="Times New Roman" w:cs="Times New Roman" w:eastAsia="Times New Roman" w:hAnsi="Times New Roman"/>
          <w:sz w:val="22"/>
          <w:szCs w:val="22"/>
          <w:color w:val="auto"/>
        </w:rPr>
        <w:t>) in accordance with the applicable provisions of the Lease concerning the Security Deposit.</w:t>
      </w:r>
    </w:p>
    <w:p>
      <w:pPr>
        <w:spacing w:after="0" w:line="17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MAINTENANCE AND SERVICES</w:t>
      </w:r>
      <w:r>
        <w:rPr>
          <w:rFonts w:ascii="Times New Roman" w:cs="Times New Roman" w:eastAsia="Times New Roman" w:hAnsi="Times New Roman"/>
          <w:sz w:val="22"/>
          <w:szCs w:val="22"/>
          <w:color w:val="auto"/>
        </w:rPr>
        <w:t>. Notwithstanding any provision of Section 6 of the Lease to the contrary:</w:t>
      </w:r>
    </w:p>
    <w:p>
      <w:pPr>
        <w:spacing w:after="0" w:line="23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98"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but subject to Section 23 of the Lease as well as Tenant's compliance with Applicable Laws (including, but not limited to, obtaining approval from any Governmental Authority), Tenant shall have the right, at Tenant’s sole cost and expense, to replace the HVAC or other Building system exclusively serving the Premises; provided, however, prior to exercising the foregoing right, Tenant shall obtain Landlord’s prior written consent, which consent shall not be unreasonably withheld, conditioned or delayed so long as such replacement does not materially adversely affect any portion of the Building in Landlord’s commercially reasonable discretion. If Tenant replaces the HVAC or other Building system which exclusively serves the Premises, Tenant shall assume sole responsibility for the repair, maintenance, or replacement of the same, and Landlord shall be relieved of such responsibility and shall cease including any costs of the same in Operating Costs; and</w:t>
      </w:r>
    </w:p>
    <w:p>
      <w:pPr>
        <w:spacing w:after="0" w:line="181" w:lineRule="exact"/>
        <w:rPr>
          <w:rFonts w:ascii="Times New Roman" w:cs="Times New Roman" w:eastAsia="Times New Roman" w:hAnsi="Times New Roman"/>
          <w:sz w:val="22"/>
          <w:szCs w:val="22"/>
          <w:color w:val="auto"/>
        </w:rPr>
      </w:pPr>
    </w:p>
    <w:p>
      <w:pPr>
        <w:jc w:val="both"/>
        <w:ind w:firstLine="73"/>
        <w:spacing w:after="0" w:line="260" w:lineRule="auto"/>
        <w:tabs>
          <w:tab w:leader="none" w:pos="63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Section 6 of the Lease, from and after the Third Expansion Premises Lease Commencement Date, Landlord shall use all commercially reasonable efforts to provide or cause to be provided to the Premises, HVAC, electricity, water, sewer and other services pursuant to Section 6 of the Lease, on a 24 hours per day/7 days per week basis. If Landlord shall fail to perform any term or covenant on Landlord’s part to be observed or performed pursuant to Section 6 of the Lease which materially and adversely affects Tenant’s ability to conduct Tenant’s business in any portion of the Premises, and Landlord fails to commence a cure for five (5) consecutive business days following Landlord's receipt of notice thereof from Tenant (plus any number of days that Landlord’s ability to commence such cure is delayed or interrupted by Tenant or Force Majeure Delays), then Tenant shall have the right to give Landlord a second notice, and for a period of two (2) consecutive, additional business days Landlord fails to diligently (subject to delays or interruptions caused by Tenant) prosecute such cure to completion, then Tenant shall have the right to remedy such non-compliance for the account of Landlord (such remedy, “</w:t>
      </w:r>
      <w:r>
        <w:rPr>
          <w:rFonts w:ascii="Times New Roman" w:cs="Times New Roman" w:eastAsia="Times New Roman" w:hAnsi="Times New Roman"/>
          <w:sz w:val="21"/>
          <w:szCs w:val="21"/>
          <w:b w:val="1"/>
          <w:bCs w:val="1"/>
          <w:u w:val="single" w:color="auto"/>
          <w:color w:val="auto"/>
        </w:rPr>
        <w:t>Tenant’s Self-Help Work</w:t>
      </w:r>
      <w:r>
        <w:rPr>
          <w:rFonts w:ascii="Times New Roman" w:cs="Times New Roman" w:eastAsia="Times New Roman" w:hAnsi="Times New Roman"/>
          <w:sz w:val="21"/>
          <w:szCs w:val="21"/>
          <w:color w:val="auto"/>
        </w:rPr>
        <w:t>”); provided that (i) Tenant’s Self-Help Work shall affect only the Premises, and (ii) Tenant’s Self-Help Work shall not affect any base building system unless the same exclusively serves the Premises, and (iii) Tenant shall indemnify Landlord for any Claims from any other tenant or occupant in the Building which arise or result from Tenant’s Self-Help Work. Any Tenant’s Self-Help Work shall be performed in accordance with all Applicable Laws (including any required approvals from any Governmental Authority) and all applicable provisions of this Lease (other than any such provisions requiring Landlord’s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prior approval with respect to any Alterations by Tenant). If Tenant performs any of Landlord’s obligations under this Lease, then</w:t>
      </w:r>
    </w:p>
    <w:p>
      <w:pPr>
        <w:spacing w:after="0" w:line="41" w:lineRule="exact"/>
        <w:rPr>
          <w:sz w:val="20"/>
          <w:szCs w:val="20"/>
          <w:color w:val="auto"/>
        </w:rPr>
      </w:pPr>
    </w:p>
    <w:p>
      <w:pPr>
        <w:jc w:val="both"/>
        <w:ind w:firstLine="8"/>
        <w:spacing w:after="0" w:line="247" w:lineRule="auto"/>
        <w:tabs>
          <w:tab w:leader="none" w:pos="26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no rental abatement remedy pursuant to Section 6.1.2 of the Lease or otherwise; and (ii) Landlord shall be relieved of its obligation to perform the specific obligation undertaken by Tenant; provided however, that Landlord shall reimburse Tenant for the actual third party costs reasonably incurred by Tenant in performing Tenant’s Self-Help Work within thirty (30) days after receipt of an invoice therefor, in an amount not to exceed One Hundred Thousand and 00/100 Dollars ($100,00.00) per repair.</w:t>
      </w:r>
    </w:p>
    <w:p>
      <w:pPr>
        <w:spacing w:after="0" w:line="194" w:lineRule="exact"/>
        <w:rPr>
          <w:sz w:val="20"/>
          <w:szCs w:val="20"/>
          <w:color w:val="auto"/>
        </w:rPr>
      </w:pPr>
    </w:p>
    <w:p>
      <w:pPr>
        <w:ind w:left="1040" w:hanging="384"/>
        <w:spacing w:after="0"/>
        <w:tabs>
          <w:tab w:leader="none" w:pos="10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71" w:lineRule="auto"/>
        <w:tabs>
          <w:tab w:leader="none" w:pos="107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Landlord to enter into this Third Amendment, Tenant hereby represents and warrants to Landlord that as of the date of this Third Amendment:</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not assigned the Lease or sublet any portion of the Existing Premises;</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80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Third Amendment) and is in full force and effect;</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79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claims against Landlord arising under or in connection with the Lease, and Tenant has no set off or defenses against the enforcement of any right or remedy of Landlord under the Lease;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is not in default of any of its obligations under the Lease and no event has occurred and no condition exists which, with the giving of notice or the lapse of time, or both, will constitute a default by Landlord under the Lease.</w:t>
      </w:r>
    </w:p>
    <w:p>
      <w:pPr>
        <w:spacing w:after="0" w:line="18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represents and warrants to Tenant as of the date of this Third Amendment: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9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Third Amendment) and is in full force and effect;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1"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Landlord’s knowledge, Tenant is not in default of any of its obligations under the Lease and no event has occurred and no condition exists which, with the giving of notice or the lapse of time, or both, will constitute a default by Tenant under the Lease.</w:t>
      </w:r>
    </w:p>
    <w:p>
      <w:pPr>
        <w:spacing w:after="0" w:line="163" w:lineRule="exact"/>
        <w:rPr>
          <w:sz w:val="20"/>
          <w:szCs w:val="20"/>
          <w:color w:val="auto"/>
        </w:rPr>
      </w:pPr>
    </w:p>
    <w:p>
      <w:pPr>
        <w:jc w:val="both"/>
        <w:ind w:firstLine="656"/>
        <w:spacing w:after="0" w:line="254" w:lineRule="auto"/>
        <w:tabs>
          <w:tab w:leader="none" w:pos="114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color w:val="auto"/>
        </w:rPr>
        <w:t>. Unless a term or condition of the Lease is expressly contradicted by the terms of this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or modified hereby, all terms and conditions of the Lease shall remain in full force and effect and continue to bind Landlord and Tenant. In the event that a term of this Third Amendment is fundamentally inconsistent with a term of the Lease, the terms of this Third Amendment shall control. The terms of the Lease, as modified hereby, are ratified and affirmed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64" w:lineRule="exact"/>
        <w:rPr>
          <w:sz w:val="20"/>
          <w:szCs w:val="20"/>
          <w:color w:val="auto"/>
        </w:rPr>
      </w:pPr>
    </w:p>
    <w:p>
      <w:pPr>
        <w:jc w:val="both"/>
        <w:ind w:firstLine="656"/>
        <w:spacing w:after="0" w:line="258" w:lineRule="auto"/>
        <w:tabs>
          <w:tab w:leader="none" w:pos="113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Third Amendment constitutes the entire agreement of the parties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 addressed herein. No terms, conditions, representations, warranties, promises, or understandings, of any nature whatsoever, express or implied, have been made or relied upon by any party hereto. This Third Amendment may not be modified, waived, discharged or terminated other than by a writing executed by the parties hereto.</w:t>
      </w:r>
    </w:p>
    <w:p>
      <w:pPr>
        <w:spacing w:after="0" w:line="167" w:lineRule="exact"/>
        <w:rPr>
          <w:rFonts w:ascii="Times New Roman" w:cs="Times New Roman" w:eastAsia="Times New Roman" w:hAnsi="Times New Roman"/>
          <w:sz w:val="22"/>
          <w:szCs w:val="22"/>
          <w:color w:val="auto"/>
        </w:rPr>
      </w:pPr>
    </w:p>
    <w:p>
      <w:pPr>
        <w:jc w:val="both"/>
        <w:ind w:firstLine="656"/>
        <w:spacing w:after="0" w:line="258" w:lineRule="auto"/>
        <w:tabs>
          <w:tab w:leader="none" w:pos="115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Tenant each represent and warrant to the other that it has not employed any broker,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finder with regard to this Third Amendment, other than Scheer Partners, Inc. which shall be paid by Landlord pursuant to a separate agreement. Each party hereby indemnifies and holds harmless the other for any other claims relating to commissions or brokerage fees arising from a breach of the foregoing representation and warranty.</w:t>
      </w:r>
    </w:p>
    <w:p>
      <w:pPr>
        <w:spacing w:after="0" w:line="167" w:lineRule="exact"/>
        <w:rPr>
          <w:rFonts w:ascii="Times New Roman" w:cs="Times New Roman" w:eastAsia="Times New Roman" w:hAnsi="Times New Roman"/>
          <w:sz w:val="22"/>
          <w:szCs w:val="22"/>
          <w:color w:val="auto"/>
        </w:rPr>
      </w:pPr>
    </w:p>
    <w:p>
      <w:pPr>
        <w:jc w:val="both"/>
        <w:ind w:firstLine="656"/>
        <w:spacing w:after="0" w:line="258" w:lineRule="auto"/>
        <w:tabs>
          <w:tab w:leader="none" w:pos="120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MERGER</w:t>
      </w:r>
      <w:r>
        <w:rPr>
          <w:rFonts w:ascii="Times New Roman" w:cs="Times New Roman" w:eastAsia="Times New Roman" w:hAnsi="Times New Roman"/>
          <w:sz w:val="22"/>
          <w:szCs w:val="22"/>
          <w:color w:val="auto"/>
        </w:rPr>
        <w:t>. The terms and provisions of this Third Amendment shall be binding upon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inure to the benefit of the parties hereto and their respective successors and permitted assigns under the Lease. Notwithstanding anything herein to the contrary, in the event Landlord obtains a judgment against Tenant in connection with the Lease, the Lease shall not merge into the judgment.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32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SIGNATURES</w:t>
      </w:r>
      <w:r>
        <w:rPr>
          <w:rFonts w:ascii="Times New Roman" w:cs="Times New Roman" w:eastAsia="Times New Roman" w:hAnsi="Times New Roman"/>
          <w:sz w:val="22"/>
          <w:szCs w:val="22"/>
          <w:color w:val="auto"/>
        </w:rPr>
        <w:t>. This Third Amendment may be executed in multiple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counterparts shall be deemed an original and all of which counterparts collectively shall constitute one and the same document. The parties agree that the signatures of the person executing this Third Amendment may be transmitted via electronic means and shall be sufficient evidence of the execution of this Third Amendment.</w:t>
      </w:r>
    </w:p>
    <w:p>
      <w:pPr>
        <w:spacing w:after="0" w:line="175"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Third Amendment shall be governed by and ·interpreted under the laws of the State of</w:t>
      </w:r>
    </w:p>
    <w:p>
      <w:pPr>
        <w:spacing w:after="0" w:line="4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Maryland.</w:t>
      </w:r>
    </w:p>
    <w:p>
      <w:pPr>
        <w:spacing w:after="0" w:line="203" w:lineRule="exact"/>
        <w:rPr>
          <w:rFonts w:ascii="Times New Roman" w:cs="Times New Roman" w:eastAsia="Times New Roman" w:hAnsi="Times New Roman"/>
          <w:sz w:val="21"/>
          <w:szCs w:val="21"/>
          <w:color w:val="auto"/>
        </w:rPr>
      </w:pPr>
    </w:p>
    <w:p>
      <w:pPr>
        <w:jc w:val="both"/>
        <w:ind w:firstLine="656"/>
        <w:spacing w:after="0" w:line="253" w:lineRule="auto"/>
        <w:tabs>
          <w:tab w:leader="none" w:pos="114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 Each individual executing this Third Amendment hereby represents and warrants that she or he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capacity set forth on the signature pages hereof with full power and authority to bind the party on whose behalf she or he is executing this Third Amendment to the terms hereof. The parties have read and understood this Third Amendment and have had the opportunity to consult with legal counsel with respect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Amendment to Lease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7"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each party hereto has executed and ensealed this Third Amendment to Lease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caused it to be executed and ensealed on its behalf by its duly authorized representatives, the day and year first written above.</w:t>
      </w:r>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7495 RP, LLC</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By:/s/William C.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7430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743075" cy="825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Name: William C. Robertson</w:t>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By:/s/Blaine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906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Name: Blaine Davis</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Title:CFO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EXPANSION PREMISES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019"/>
          </w:cols>
          <w:pgMar w:left="1440" w:top="1440" w:right="1440" w:bottom="1440" w:gutter="0" w:footer="0" w:header="0"/>
        </w:sectPr>
      </w:pPr>
    </w:p>
    <w:bookmarkStart w:id="51" w:name="page52"/>
    <w:bookmarkEnd w:id="51"/>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WORK LETTER</w:t>
      </w:r>
    </w:p>
    <w:p>
      <w:pPr>
        <w:spacing w:after="0" w:line="25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B-1.</w:t>
      </w:r>
      <w:r>
        <w:rPr>
          <w:sz w:val="20"/>
          <w:szCs w:val="20"/>
          <w:color w:val="auto"/>
        </w:rPr>
        <w:tab/>
      </w:r>
      <w:r>
        <w:rPr>
          <w:rFonts w:ascii="Times New Roman" w:cs="Times New Roman" w:eastAsia="Times New Roman" w:hAnsi="Times New Roman"/>
          <w:sz w:val="21"/>
          <w:szCs w:val="21"/>
          <w:u w:val="single" w:color="auto"/>
          <w:color w:val="auto"/>
        </w:rPr>
        <w:t>SPACE PLAN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Landlord shall construct or cause to be constructed, subject to the provisions set forth in this Exhibit “B”, the leasehold improvements for the Third Expansion Premises comprising the Landlord’s Work (defined below), as shown on the scope of work and drawing (the “</w:t>
      </w:r>
      <w:r>
        <w:rPr>
          <w:rFonts w:ascii="Times New Roman" w:cs="Times New Roman" w:eastAsia="Times New Roman" w:hAnsi="Times New Roman"/>
          <w:sz w:val="22"/>
          <w:szCs w:val="22"/>
          <w:b w:val="1"/>
          <w:bCs w:val="1"/>
          <w:u w:val="single" w:color="auto"/>
          <w:color w:val="auto"/>
        </w:rPr>
        <w:t>Space Plan and Scope of Work</w:t>
      </w:r>
      <w:r>
        <w:rPr>
          <w:rFonts w:ascii="Times New Roman" w:cs="Times New Roman" w:eastAsia="Times New Roman" w:hAnsi="Times New Roman"/>
          <w:sz w:val="22"/>
          <w:szCs w:val="22"/>
          <w:color w:val="auto"/>
        </w:rPr>
        <w:t>”), approved by Landlord and Tenant, a copy of which Space Plan and Scope of Work is attached as Attachment “1” to this Work Letter. Except for the Landlord’s Work, Landlord shall otherwise deliver possession of the Third Expansion Premises on the Third Expansion Premises Lease Commencement Date together with all existing leasehold improvements and conditions now installed therein “AS IS” and “WHERE IS”.</w:t>
      </w: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B-2.</w:t>
      </w:r>
      <w:r>
        <w:rPr>
          <w:sz w:val="20"/>
          <w:szCs w:val="20"/>
          <w:color w:val="auto"/>
        </w:rPr>
        <w:tab/>
      </w:r>
      <w:r>
        <w:rPr>
          <w:rFonts w:ascii="Times New Roman" w:cs="Times New Roman" w:eastAsia="Times New Roman" w:hAnsi="Times New Roman"/>
          <w:sz w:val="21"/>
          <w:szCs w:val="21"/>
          <w:u w:val="single" w:color="auto"/>
          <w:color w:val="auto"/>
        </w:rPr>
        <w:t>WORKING DRAWINGS</w:t>
      </w:r>
      <w:r>
        <w:rPr>
          <w:rFonts w:ascii="Times New Roman" w:cs="Times New Roman" w:eastAsia="Times New Roman" w:hAnsi="Times New Roman"/>
          <w:sz w:val="21"/>
          <w:szCs w:val="21"/>
          <w:color w:val="auto"/>
        </w:rPr>
        <w:t>.</w:t>
      </w:r>
    </w:p>
    <w:p>
      <w:pPr>
        <w:spacing w:after="0" w:line="243" w:lineRule="exact"/>
        <w:rPr>
          <w:sz w:val="20"/>
          <w:szCs w:val="20"/>
          <w:color w:val="auto"/>
        </w:rPr>
      </w:pPr>
    </w:p>
    <w:p>
      <w:pPr>
        <w:ind w:right="40" w:firstLine="212"/>
        <w:spacing w:after="0" w:line="248" w:lineRule="auto"/>
        <w:rPr>
          <w:sz w:val="20"/>
          <w:szCs w:val="20"/>
          <w:color w:val="auto"/>
        </w:rPr>
      </w:pPr>
      <w:r>
        <w:rPr>
          <w:rFonts w:ascii="Times New Roman" w:cs="Times New Roman" w:eastAsia="Times New Roman" w:hAnsi="Times New Roman"/>
          <w:sz w:val="22"/>
          <w:szCs w:val="22"/>
          <w:color w:val="auto"/>
        </w:rPr>
        <w:t>The architect and such other design consultants selected by Landlord (collectively, the “</w:t>
      </w:r>
      <w:r>
        <w:rPr>
          <w:rFonts w:ascii="Times New Roman" w:cs="Times New Roman" w:eastAsia="Times New Roman" w:hAnsi="Times New Roman"/>
          <w:sz w:val="22"/>
          <w:szCs w:val="22"/>
          <w:b w:val="1"/>
          <w:bCs w:val="1"/>
          <w:u w:val="single" w:color="auto"/>
          <w:color w:val="auto"/>
        </w:rPr>
        <w:t>Architect</w:t>
      </w:r>
      <w:r>
        <w:rPr>
          <w:rFonts w:ascii="Times New Roman" w:cs="Times New Roman" w:eastAsia="Times New Roman" w:hAnsi="Times New Roman"/>
          <w:sz w:val="22"/>
          <w:szCs w:val="22"/>
          <w:color w:val="auto"/>
        </w:rPr>
        <w:t xml:space="preserve">”) shall, within thirty (30) days after mutual execution of the Lease, prepare a complete set of architectural, mechanical, electrical, plumbing and all other working drawings, as may be necessary, to show the Landlord’s Work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u w:val="single" w:color="auto"/>
          <w:color w:val="auto"/>
        </w:rPr>
        <w:t>Working Drawings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the foregoing, Landlord shall engage JennErik Engineering for the design of all MEP systems. The Working Drawings shall conform to, be consistent with, and cover only the work and materials described and contemplated in the Space Plan and Scope of Work, or otherwise mutually agreed by Landlord and Tenant. Within five (5) business days after receipt of the Working Drawings, as modified by any such revisions mutually agreed by Landlord and Tenant, Landlord and Tenant will initial same to confirm their mutual approval thereof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u w:val="single" w:color="auto"/>
          <w:color w:val="auto"/>
        </w:rPr>
        <w:t>Approved Working Drawings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Tenant’s approval of the Working Drawings shall automatically be deemed given if not refused by Tenant in writing with full and proper reasons stated therefor within the time period aforesaid. All costs of preparing, revising, copying and delivering the Working Drawings and revisions thereof, and Approved Working Drawings shall be paid by Tenant (or shall reimburse Landlord) within twenty (20) days after receipt of a detailed invoice for the same.</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B-3.</w:t>
      </w:r>
      <w:r>
        <w:rPr>
          <w:sz w:val="20"/>
          <w:szCs w:val="20"/>
          <w:color w:val="auto"/>
        </w:rPr>
        <w:tab/>
      </w:r>
      <w:r>
        <w:rPr>
          <w:rFonts w:ascii="Times New Roman" w:cs="Times New Roman" w:eastAsia="Times New Roman" w:hAnsi="Times New Roman"/>
          <w:sz w:val="21"/>
          <w:szCs w:val="21"/>
          <w:u w:val="single" w:color="auto"/>
          <w:color w:val="auto"/>
        </w:rPr>
        <w:t>LANDLORD’S WORK</w:t>
      </w:r>
      <w:r>
        <w:rPr>
          <w:rFonts w:ascii="Times New Roman" w:cs="Times New Roman" w:eastAsia="Times New Roman" w:hAnsi="Times New Roman"/>
          <w:sz w:val="21"/>
          <w:szCs w:val="21"/>
          <w:color w:val="auto"/>
        </w:rPr>
        <w:t>.</w:t>
      </w:r>
    </w:p>
    <w:p>
      <w:pPr>
        <w:spacing w:after="0" w:line="243" w:lineRule="exact"/>
        <w:rPr>
          <w:sz w:val="20"/>
          <w:szCs w:val="20"/>
          <w:color w:val="auto"/>
        </w:rPr>
      </w:pPr>
    </w:p>
    <w:p>
      <w:pPr>
        <w:ind w:firstLine="212"/>
        <w:spacing w:after="0" w:line="252" w:lineRule="auto"/>
        <w:rPr>
          <w:sz w:val="20"/>
          <w:szCs w:val="20"/>
          <w:color w:val="auto"/>
        </w:rPr>
      </w:pPr>
      <w:r>
        <w:rPr>
          <w:rFonts w:ascii="Times New Roman" w:cs="Times New Roman" w:eastAsia="Times New Roman" w:hAnsi="Times New Roman"/>
          <w:sz w:val="22"/>
          <w:szCs w:val="22"/>
          <w:color w:val="auto"/>
        </w:rPr>
        <w:t>The work to be performed as shown on the Approved Working Drawings is herein called the “</w:t>
      </w:r>
      <w:r>
        <w:rPr>
          <w:rFonts w:ascii="Times New Roman" w:cs="Times New Roman" w:eastAsia="Times New Roman" w:hAnsi="Times New Roman"/>
          <w:sz w:val="22"/>
          <w:szCs w:val="22"/>
          <w:b w:val="1"/>
          <w:bCs w:val="1"/>
          <w:u w:val="single" w:color="auto"/>
          <w:color w:val="auto"/>
        </w:rPr>
        <w:t>Landlord’s Work</w:t>
      </w:r>
      <w:r>
        <w:rPr>
          <w:rFonts w:ascii="Times New Roman" w:cs="Times New Roman" w:eastAsia="Times New Roman" w:hAnsi="Times New Roman"/>
          <w:sz w:val="22"/>
          <w:szCs w:val="22"/>
          <w:color w:val="auto"/>
        </w:rPr>
        <w:t>”, and shall be performed by VaLogic Bio, LLC (“</w:t>
      </w:r>
      <w:r>
        <w:rPr>
          <w:rFonts w:ascii="Times New Roman" w:cs="Times New Roman" w:eastAsia="Times New Roman" w:hAnsi="Times New Roman"/>
          <w:sz w:val="22"/>
          <w:szCs w:val="22"/>
          <w:b w:val="1"/>
          <w:bCs w:val="1"/>
          <w:u w:val="single" w:color="auto"/>
          <w:color w:val="auto"/>
        </w:rPr>
        <w:t>General Contractor</w:t>
      </w:r>
      <w:r>
        <w:rPr>
          <w:rFonts w:ascii="Times New Roman" w:cs="Times New Roman" w:eastAsia="Times New Roman" w:hAnsi="Times New Roman"/>
          <w:sz w:val="22"/>
          <w:szCs w:val="22"/>
          <w:color w:val="auto"/>
        </w:rPr>
        <w:t>”), an affiliate of Landlord and a licensed and insured general contractor in the State of Maryland, as Landlord’s general contractor and construction manager, and/or its employees, agents and subcontractors using existing materials or new materials of good quality (as respectively identified within the Approved Working Drawings) and structurally sound and free from any defects or deficiencies and in accordance with all applicable codes, ordinances and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40" w:right="359" w:bottom="1440" w:gutter="0" w:footer="0" w:header="0"/>
        </w:sectPr>
      </w:pPr>
    </w:p>
    <w:bookmarkStart w:id="52" w:name="page53"/>
    <w:bookmarkEnd w:id="52"/>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laws, subject to the Lease, and in a good and workmanlike manner. Tenant shall have the right to retain a project manager</w:t>
      </w:r>
    </w:p>
    <w:p>
      <w:pPr>
        <w:spacing w:after="0" w:line="2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Project Manager</w:t>
      </w:r>
      <w:r>
        <w:rPr>
          <w:rFonts w:ascii="Times New Roman" w:cs="Times New Roman" w:eastAsia="Times New Roman" w:hAnsi="Times New Roman"/>
          <w:sz w:val="22"/>
          <w:szCs w:val="22"/>
          <w:color w:val="auto"/>
        </w:rPr>
        <w:t>”) to oversee the progress of the construction of the Landlord’s Work. General Contractor, the Architect and Landlord will meet with the Project Manager at least weekly as the Landlord’s Work progresses.</w:t>
      </w:r>
    </w:p>
    <w:p>
      <w:pPr>
        <w:spacing w:after="0" w:line="19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Landlord will indicate on the Approved Working Drawings the portions of the Landlord’s Work, if any, which Tenant is required to remove prior to the expiration or termination of the Lease; and Tenant will timely comply with such requirements and repair any damage to the Third Expansion Premises, Building or Property caused thereby at its own expense. All of the Landlord’s Work shall be considered leasehold improvements (except as may otherwise be specified herein) and shall be deemed to be the property of Landlord and shall not be removed from the Third Expansion Premises without the express prior written consent of Landlord. Notwithstanding any provision of this Exhibit "B" to the contrary, Landlord may elect to delegate any responsibilities of Landlord in this Exhibit "B" to General Contractor.</w:t>
      </w:r>
    </w:p>
    <w:p>
      <w:pPr>
        <w:spacing w:after="0" w:line="20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B-4.</w:t>
      </w:r>
      <w:r>
        <w:rPr>
          <w:sz w:val="20"/>
          <w:szCs w:val="20"/>
          <w:color w:val="auto"/>
        </w:rPr>
        <w:tab/>
      </w:r>
      <w:r>
        <w:rPr>
          <w:rFonts w:ascii="Times New Roman" w:cs="Times New Roman" w:eastAsia="Times New Roman" w:hAnsi="Times New Roman"/>
          <w:sz w:val="21"/>
          <w:szCs w:val="21"/>
          <w:u w:val="single" w:color="auto"/>
          <w:color w:val="auto"/>
        </w:rPr>
        <w:t>SUBCONTRACTORS AND MATERIALS</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right="20" w:firstLine="216"/>
        <w:spacing w:after="0" w:line="247" w:lineRule="auto"/>
        <w:rPr>
          <w:sz w:val="20"/>
          <w:szCs w:val="20"/>
          <w:color w:val="auto"/>
        </w:rPr>
      </w:pPr>
      <w:r>
        <w:rPr>
          <w:rFonts w:ascii="Times New Roman" w:cs="Times New Roman" w:eastAsia="Times New Roman" w:hAnsi="Times New Roman"/>
          <w:sz w:val="22"/>
          <w:szCs w:val="22"/>
          <w:color w:val="auto"/>
        </w:rPr>
        <w:t>General Contractor shall have the right, and such right is exclusively reserved to General Contractor, to select the subcontractors and source materials to be used in constructing the Landlord’s Work. Subcontractors will be selected by General Contractor on the basis of several factors, including but not limited to cost, quality of work, ability to staff the job, schedule and reputation. All materials and finishes used in the Landlord’s Work shall be as specified on the Approved Working Drawings, or, if unspecified, shall be Landlord’s building standard materials and finishes, from which Tenant shall make its selection of floor covering materials and paint colors. General Contractor has reasonably accommodated any Tenant requests for the use of specific subcontractors and/or materials, provided the Landlord’s Work is not delayed thereby. General Contractor reserves the right (i) to make substitutions of materials of equivalent grade and quality when and if any specified material shall not be readily and reasonably available, and (ii) to make changes necessitated by conditions met in the course of construction, provided that Tenant’s approval is first obtained prior to any substantial change from the Approved Working Drawings (which approval shall not be unreasonably withheld, conditioned or delayed so long the proposed changes are in general conformity with the Approved Working Drawings; and which approval shall be deemed given if not refused in writing with full proper reasons stated by Tenant within three (3) business days after Landlord’s written request).</w:t>
      </w:r>
    </w:p>
    <w:p>
      <w:pPr>
        <w:spacing w:after="0" w:line="2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B-5.</w:t>
      </w:r>
      <w:r>
        <w:rPr>
          <w:sz w:val="20"/>
          <w:szCs w:val="20"/>
          <w:color w:val="auto"/>
        </w:rPr>
        <w:tab/>
      </w:r>
      <w:r>
        <w:rPr>
          <w:rFonts w:ascii="Times New Roman" w:cs="Times New Roman" w:eastAsia="Times New Roman" w:hAnsi="Times New Roman"/>
          <w:sz w:val="21"/>
          <w:szCs w:val="21"/>
          <w:u w:val="single" w:color="auto"/>
          <w:color w:val="auto"/>
        </w:rPr>
        <w:t>WORK COSTS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212"/>
        <w:spacing w:after="0" w:line="253" w:lineRule="auto"/>
        <w:rPr>
          <w:sz w:val="20"/>
          <w:szCs w:val="20"/>
          <w:color w:val="auto"/>
        </w:rPr>
      </w:pPr>
      <w:r>
        <w:rPr>
          <w:rFonts w:ascii="Times New Roman" w:cs="Times New Roman" w:eastAsia="Times New Roman" w:hAnsi="Times New Roman"/>
          <w:sz w:val="22"/>
          <w:szCs w:val="22"/>
          <w:color w:val="auto"/>
        </w:rPr>
        <w:t>The actual cost to design, permit and perform the Landlord’s Work, which includes the fees paid to the Architect and engineers, costs of labor and materials, the fee paid to General Contractor as general contractor and construction manager, and the general conditions of the construction contract, is herein called the “</w:t>
      </w:r>
      <w:r>
        <w:rPr>
          <w:rFonts w:ascii="Times New Roman" w:cs="Times New Roman" w:eastAsia="Times New Roman" w:hAnsi="Times New Roman"/>
          <w:sz w:val="22"/>
          <w:szCs w:val="22"/>
          <w:b w:val="1"/>
          <w:bCs w:val="1"/>
          <w:u w:val="single" w:color="auto"/>
          <w:color w:val="auto"/>
        </w:rPr>
        <w:t>Work Costs</w:t>
      </w:r>
      <w:r>
        <w:rPr>
          <w:rFonts w:ascii="Times New Roman" w:cs="Times New Roman" w:eastAsia="Times New Roman" w:hAnsi="Times New Roman"/>
          <w:sz w:val="22"/>
          <w:szCs w:val="22"/>
          <w:color w:val="auto"/>
        </w:rPr>
        <w:t>”. General Contractor shall provide Tenant with a cost estimate (the “</w:t>
      </w:r>
      <w:r>
        <w:rPr>
          <w:rFonts w:ascii="Times New Roman" w:cs="Times New Roman" w:eastAsia="Times New Roman" w:hAnsi="Times New Roman"/>
          <w:sz w:val="22"/>
          <w:szCs w:val="22"/>
          <w:b w:val="1"/>
          <w:bCs w:val="1"/>
          <w:u w:val="single" w:color="auto"/>
          <w:color w:val="auto"/>
        </w:rPr>
        <w:t>Cost Estimate</w:t>
      </w:r>
      <w:r>
        <w:rPr>
          <w:rFonts w:ascii="Times New Roman" w:cs="Times New Roman" w:eastAsia="Times New Roman" w:hAnsi="Times New Roman"/>
          <w:sz w:val="22"/>
          <w:szCs w:val="22"/>
          <w:color w:val="auto"/>
        </w:rPr>
        <w:t>”) containing a list of the contractors selected by General Contractor to perform the Landlord’s Work and other respective soft and hard costs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 xml:space="preserve">relating to the design, permitting and construction of Landlord’s Work and identifying any Special Items (as defined in Paragraph B-6 below) within twenty (20) days after the approval of the Approved Work Drawings. Tenant shall initial the Cost Estimate to confirm its approval thereof and return same to General Contractor within five (5) business days after receipt thereof. However, if the Cost Estimate is greater than </w:t>
      </w:r>
      <w:r>
        <w:rPr>
          <w:rFonts w:ascii="Times New Roman" w:cs="Times New Roman" w:eastAsia="Times New Roman" w:hAnsi="Times New Roman"/>
          <w:sz w:val="21"/>
          <w:szCs w:val="21"/>
          <w:b w:val="1"/>
          <w:bCs w:val="1"/>
          <w:color w:val="auto"/>
        </w:rPr>
        <w:t>$2,400,000.00</w:t>
      </w:r>
      <w:r>
        <w:rPr>
          <w:rFonts w:ascii="Times New Roman" w:cs="Times New Roman" w:eastAsia="Times New Roman" w:hAnsi="Times New Roman"/>
          <w:sz w:val="21"/>
          <w:szCs w:val="21"/>
          <w:color w:val="auto"/>
        </w:rPr>
        <w:t xml:space="preserve"> or contains Special Items that will result in a Tenant Delay (as defined in Paragraph B-6 below) Tenant may request value engineering and/or other changes in the Landlord’s Work within five (5) business days of receipt of the Cost Estimate in order to reduce the Cost Estimate and/or eliminate Special Items; provided, however, that any time so requested by Tenant to value engineer and/or change the Cost Estimate in excess of ten (10) business days of delivery of the Cost Estimate shall be deemed a Tenant Delay. Landlord shall cause the General Contractor, within ten</w:t>
      </w:r>
    </w:p>
    <w:p>
      <w:pPr>
        <w:spacing w:after="0" w:line="2" w:lineRule="exact"/>
        <w:rPr>
          <w:sz w:val="20"/>
          <w:szCs w:val="20"/>
          <w:color w:val="auto"/>
        </w:rPr>
      </w:pPr>
    </w:p>
    <w:p>
      <w:pPr>
        <w:ind w:firstLine="8"/>
        <w:spacing w:after="0" w:line="246" w:lineRule="auto"/>
        <w:tabs>
          <w:tab w:leader="none" w:pos="41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request by Tenant, to modify the Cost Estimate to reflect the value engineering and/or changes in the Landlord’s Work and resubmit same to Tenant for approval, which approval shall be given within five (5) additional business days. Such Cost Estimate shall automatically be deemed approved by Tenant in the event that Tenant should fail to timely notify Landlord in writing of any objection thereto or should Tenant otherwise fail to submit a written request to Landlord, within the time period aforesaid, to value engineer and/or change the Landlord’s Work described therein in order to reduce such Work Costs and/or eliminate Special Items as reflected in the Cost Estimate. Once the Cost Estimate is approved or deemed approved, it shall not be exceeded except by approved Change Order (as defined in Paragraph B-6 below) or as a result of subsequent Tenant Delays. Tenant shall pay the Work Costs in accordance with the terms of this Exhibit “B”. Landlord will make reasonable efforts to obtain and, if obtained, shall give Tenant the benefits of any trade discounts obtained by General Contractor in connection with the Landlord’s Work. Tenant shall pay all Work Costs to General Contractor in good funds, within thirty (30) days after each written requisition (with the final requisition to be made after the Third Expansion Premises Lease Commencement Date when the total Work Costs have been determined, and which requisitions shall be in the form of the American Institute of Architects (“</w:t>
      </w:r>
      <w:r>
        <w:rPr>
          <w:rFonts w:ascii="Times New Roman" w:cs="Times New Roman" w:eastAsia="Times New Roman" w:hAnsi="Times New Roman"/>
          <w:sz w:val="22"/>
          <w:szCs w:val="22"/>
          <w:b w:val="1"/>
          <w:bCs w:val="1"/>
          <w:u w:val="single" w:color="auto"/>
          <w:color w:val="auto"/>
        </w:rPr>
        <w:t>AIA</w:t>
      </w:r>
      <w:r>
        <w:rPr>
          <w:rFonts w:ascii="Times New Roman" w:cs="Times New Roman" w:eastAsia="Times New Roman" w:hAnsi="Times New Roman"/>
          <w:sz w:val="22"/>
          <w:szCs w:val="22"/>
          <w:color w:val="auto"/>
        </w:rPr>
        <w:t>”) document G-702 and G-703 signed by General Contractor and the Architect and accompanied by an itemized statement of the Work Costs). No requisition shall include work that has not been incorporated into Landlord’s Work or delivered and securely stored at the Building). The Project Manager shall have the right to inspect the portion of the Landlord’s Work described in a requisition to confirm that such work was property performed.</w:t>
      </w:r>
    </w:p>
    <w:p>
      <w:pPr>
        <w:spacing w:after="0" w:line="21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B-6</w:t>
      </w:r>
      <w:r>
        <w:rPr>
          <w:sz w:val="20"/>
          <w:szCs w:val="20"/>
          <w:color w:val="auto"/>
        </w:rPr>
        <w:tab/>
      </w:r>
      <w:r>
        <w:rPr>
          <w:rFonts w:ascii="Times New Roman" w:cs="Times New Roman" w:eastAsia="Times New Roman" w:hAnsi="Times New Roman"/>
          <w:sz w:val="21"/>
          <w:szCs w:val="21"/>
          <w:u w:val="single" w:color="auto"/>
          <w:color w:val="auto"/>
        </w:rPr>
        <w:t>SUBSTANTIAL COMPLETION</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21"/>
          <w:szCs w:val="21"/>
          <w:color w:val="auto"/>
        </w:rPr>
        <w:t xml:space="preserve">Landlord shall exercise commercially reasonable efforts to cause the Landlord’s Work to be Substantially Complete (hereinafter defined) on or about </w:t>
      </w:r>
      <w:r>
        <w:rPr>
          <w:rFonts w:ascii="Times New Roman" w:cs="Times New Roman" w:eastAsia="Times New Roman" w:hAnsi="Times New Roman"/>
          <w:sz w:val="21"/>
          <w:szCs w:val="21"/>
          <w:b w:val="1"/>
          <w:bCs w:val="1"/>
          <w:color w:val="auto"/>
        </w:rPr>
        <w:t>September 1, 2025</w:t>
      </w:r>
      <w:r>
        <w:rPr>
          <w:rFonts w:ascii="Times New Roman" w:cs="Times New Roman" w:eastAsia="Times New Roman" w:hAnsi="Times New Roman"/>
          <w:sz w:val="21"/>
          <w:szCs w:val="21"/>
          <w:color w:val="auto"/>
        </w:rPr>
        <w:t>, subject to extensions occasioned by any Tenant Delays (hereinafter defined) or Force Majeure Delays (hereinafter defined). For purposes hereof, the phrase “</w:t>
      </w:r>
      <w:r>
        <w:rPr>
          <w:rFonts w:ascii="Times New Roman" w:cs="Times New Roman" w:eastAsia="Times New Roman" w:hAnsi="Times New Roman"/>
          <w:sz w:val="21"/>
          <w:szCs w:val="21"/>
          <w:b w:val="1"/>
          <w:bCs w:val="1"/>
          <w:u w:val="single" w:color="auto"/>
          <w:color w:val="auto"/>
        </w:rPr>
        <w:t>Tenant Delays</w:t>
      </w:r>
      <w:r>
        <w:rPr>
          <w:rFonts w:ascii="Times New Roman" w:cs="Times New Roman" w:eastAsia="Times New Roman" w:hAnsi="Times New Roman"/>
          <w:sz w:val="21"/>
          <w:szCs w:val="21"/>
          <w:color w:val="auto"/>
        </w:rPr>
        <w:t>” shall mean all delays in performance of the Landlord’s Work caused by or attributed to any of the following: (i) failure of Tenant to furnish any required plan, information, approval or consent within the required period of time, or any failure to reasonably cooperate with Landlord during performance of the Landlord’s Work; (ii) performance of any work or activity in the Third Expansion Premises by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Tenant or any of its employees, agents or contractors; (iii) breach or default by Tenant (or anyone acting by or on behalf of Tenant) of any term or provision of the Lease or of the requirements of this Exhibit “B”; (iv) Change Orders (hereinafter defined) to the Landlord’s Work, and any request therefor for any Change Order; (v) any Special Items (as hereinafter defined), provided Landlord has notified Tenant of same, and any request therefor for any Specialty Item; (vi) the performance of any Tenant's Work, or (vii) any other act or omission (negligent or otherwise) on the part of Tenant that delays the completion of the Landlord’s Work. The phrase “</w:t>
      </w:r>
      <w:r>
        <w:rPr>
          <w:rFonts w:ascii="Times New Roman" w:cs="Times New Roman" w:eastAsia="Times New Roman" w:hAnsi="Times New Roman"/>
          <w:sz w:val="21"/>
          <w:szCs w:val="21"/>
          <w:b w:val="1"/>
          <w:bCs w:val="1"/>
          <w:u w:val="single" w:color="auto"/>
          <w:color w:val="auto"/>
        </w:rPr>
        <w:t>Force Majeure Delays</w:t>
      </w:r>
      <w:r>
        <w:rPr>
          <w:rFonts w:ascii="Times New Roman" w:cs="Times New Roman" w:eastAsia="Times New Roman" w:hAnsi="Times New Roman"/>
          <w:sz w:val="21"/>
          <w:szCs w:val="21"/>
          <w:color w:val="auto"/>
        </w:rPr>
        <w:t>” shall mean, for purposes hereof, any delays in performance or completion of the Landlord’s Work caused by: (a) strikes, lockouts or other labor or industrial disturbance; (b) shortage or unavailability of materials, utilities or labor; (c) civil disturbance; (d) orders of any government, court or regulatory body claiming jurisdiction; (e) exercise of police power; (f) act of the public enemy; (g) riot, war, sabotage, blockage or embargo; (h) acts of God; (i) lightning, earthquake, fire, storm, hurricane, tornado, flood, washout, explosion or casualty damage; (j) delay in issuance of any permits, inspections, approvals or use and occupancy certificate, if required, by any governmental authority having jurisdiction over the Third Expansion Premises or Building in which the Third Expansion Premises are a part; or (k) any other cause whatsoever beyond the reasonable control of Landlord; provided however in no event that financial difficulties be deemed a Force Majeure Delay (other than in the event Tenant shall fail to timely pay Landlord as required pursuant to the terms of the Lease, including this Exhibit "B"). The phrase “</w:t>
      </w:r>
      <w:r>
        <w:rPr>
          <w:rFonts w:ascii="Times New Roman" w:cs="Times New Roman" w:eastAsia="Times New Roman" w:hAnsi="Times New Roman"/>
          <w:sz w:val="21"/>
          <w:szCs w:val="21"/>
          <w:b w:val="1"/>
          <w:bCs w:val="1"/>
          <w:u w:val="single" w:color="auto"/>
          <w:color w:val="auto"/>
        </w:rPr>
        <w:t>Change Orders</w:t>
      </w:r>
      <w:r>
        <w:rPr>
          <w:rFonts w:ascii="Times New Roman" w:cs="Times New Roman" w:eastAsia="Times New Roman" w:hAnsi="Times New Roman"/>
          <w:sz w:val="21"/>
          <w:szCs w:val="21"/>
          <w:color w:val="auto"/>
        </w:rPr>
        <w:t>” as used herein shall mean any modifications, substitutions or changes in the Landlord’s Work, as described in the Approved Working Drawings, requested by Tenant. The phrase “</w:t>
      </w:r>
      <w:r>
        <w:rPr>
          <w:rFonts w:ascii="Times New Roman" w:cs="Times New Roman" w:eastAsia="Times New Roman" w:hAnsi="Times New Roman"/>
          <w:sz w:val="21"/>
          <w:szCs w:val="21"/>
          <w:b w:val="1"/>
          <w:bCs w:val="1"/>
          <w:u w:val="single" w:color="auto"/>
          <w:color w:val="auto"/>
        </w:rPr>
        <w:t>Special Items</w:t>
      </w:r>
      <w:r>
        <w:rPr>
          <w:rFonts w:ascii="Times New Roman" w:cs="Times New Roman" w:eastAsia="Times New Roman" w:hAnsi="Times New Roman"/>
          <w:sz w:val="21"/>
          <w:szCs w:val="21"/>
          <w:color w:val="auto"/>
        </w:rPr>
        <w:t>” as used herein shall mean all materials, finishes, installations, and other items forming part of the Landlord’s Work which (i) are not immediately available as needed to meet Landlord’s schedule for Substantial Completion; or (ii) are over and above Landlord’s Building standard materials, finishes, or installations. When Tenant requests a Change Order or Special Item, General Contractor will provide Tenant with an estimate of the cost of the Change Order or Special Item and the anticipated delay, if any, that will result therefrom within five (5) business days of said request, and Tenant shall have an additional three (3) business days thereafter to authorize, modify or revoke said Change Order or Special Item.</w:t>
      </w:r>
    </w:p>
    <w:p>
      <w:pPr>
        <w:spacing w:after="0" w:line="200" w:lineRule="exact"/>
        <w:rPr>
          <w:sz w:val="20"/>
          <w:szCs w:val="20"/>
          <w:color w:val="auto"/>
        </w:rPr>
      </w:pPr>
    </w:p>
    <w:p>
      <w:pPr>
        <w:spacing w:after="0" w:line="277" w:lineRule="exact"/>
        <w:rPr>
          <w:sz w:val="20"/>
          <w:szCs w:val="20"/>
          <w:color w:val="auto"/>
        </w:rPr>
      </w:pPr>
    </w:p>
    <w:p>
      <w:pPr>
        <w:ind w:firstLine="212"/>
        <w:spacing w:after="0" w:line="262" w:lineRule="auto"/>
        <w:rPr>
          <w:sz w:val="20"/>
          <w:szCs w:val="20"/>
          <w:color w:val="auto"/>
        </w:rPr>
      </w:pPr>
      <w:r>
        <w:rPr>
          <w:rFonts w:ascii="Times New Roman" w:cs="Times New Roman" w:eastAsia="Times New Roman" w:hAnsi="Times New Roman"/>
          <w:sz w:val="21"/>
          <w:szCs w:val="21"/>
          <w:color w:val="auto"/>
        </w:rPr>
        <w:t>The Landlord’s Work shall be deemed “</w:t>
      </w:r>
      <w:r>
        <w:rPr>
          <w:rFonts w:ascii="Times New Roman" w:cs="Times New Roman" w:eastAsia="Times New Roman" w:hAnsi="Times New Roman"/>
          <w:sz w:val="21"/>
          <w:szCs w:val="21"/>
          <w:b w:val="1"/>
          <w:bCs w:val="1"/>
          <w:u w:val="single" w:color="auto"/>
          <w:color w:val="auto"/>
        </w:rPr>
        <w:t>Substantially Complete</w:t>
      </w:r>
      <w:r>
        <w:rPr>
          <w:rFonts w:ascii="Times New Roman" w:cs="Times New Roman" w:eastAsia="Times New Roman" w:hAnsi="Times New Roman"/>
          <w:sz w:val="21"/>
          <w:szCs w:val="21"/>
          <w:color w:val="auto"/>
        </w:rPr>
        <w:t>” (which phrase shall include phrases of similar import used herein concerning the Landlord’s Work) when (i) the Landlord’s Work to be performed by General Contractor has been completed in accordance with the Approved Working Drawings as certified by the Architect other than Punch List Items, (ii) Landlord has delivered to Tenant and Project Manager, a Certificate of Substantial Completion in the form of AIA document G704 executed by Architect and General Contractor, and (iii) Landlord has received the final building inspection and permission to occupy has been issued (or could have been issued absent Tenant Delays) by the applicable governmental authority, if required. Upon Substantial Completion, Landlord, Tenant, General Contractor, Project Manager and Architect shall conduct a joint inspection of the Third Expansion Premises to verify the Punch List Items. Landlord (or General Contractor) shall notify Tenant in writing of the existence and period of any Force Majeure Delays, Tenant Delays (including any delays caused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by Change Orders or Special Items), which determination shall be final and binding unless within three (3) business days of receipt of such determination by Landlord (or General Contractor), Tenant provides third party confirmation (which may be provided by Tenant’s Project Manager) to dispute such determination by Landlord (or General Contractor). If, within five (5) business days thereafter the determination remains in dispute after the parties have used commercially reasonable good faith efforts to resolve the same, such determination shall first be submitted to non-binding mediation by Architect and, if not resolved, then any such disputes shall be resolved by arbitration pursuant to the Construction Industry rules of the American Arbitration Association, and the decision in such arbitration shall be binding and conclusive on the parties, pursuant to the Rules of the American Arbitration Association. Unless the mediation or arbitration makes a finding that Tenant is the sole prevailing party,</w:t>
      </w:r>
    </w:p>
    <w:p>
      <w:pPr>
        <w:spacing w:after="0" w:line="2" w:lineRule="exact"/>
        <w:rPr>
          <w:sz w:val="20"/>
          <w:szCs w:val="20"/>
          <w:color w:val="auto"/>
        </w:rPr>
      </w:pPr>
    </w:p>
    <w:p>
      <w:pPr>
        <w:ind w:firstLine="8"/>
        <w:spacing w:after="0" w:line="246" w:lineRule="auto"/>
        <w:tabs>
          <w:tab w:leader="none" w:pos="2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bear all costs and expenses of such mediation and/or arbitration, and (ii) the number of days elapsed from the date the matter is submitted to mediation through the date Landlord's Work resumes shall be a Tenant Delay. The phrase “</w:t>
      </w:r>
      <w:r>
        <w:rPr>
          <w:rFonts w:ascii="Times New Roman" w:cs="Times New Roman" w:eastAsia="Times New Roman" w:hAnsi="Times New Roman"/>
          <w:sz w:val="22"/>
          <w:szCs w:val="22"/>
          <w:b w:val="1"/>
          <w:bCs w:val="1"/>
          <w:u w:val="single" w:color="auto"/>
          <w:color w:val="auto"/>
        </w:rPr>
        <w:t>Punch List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Items</w:t>
      </w:r>
      <w:r>
        <w:rPr>
          <w:rFonts w:ascii="Times New Roman" w:cs="Times New Roman" w:eastAsia="Times New Roman" w:hAnsi="Times New Roman"/>
          <w:sz w:val="22"/>
          <w:szCs w:val="22"/>
          <w:color w:val="auto"/>
        </w:rPr>
        <w:t>” as used herein shall mean any unperformed or incomplete elements of the Landlord’s Work which, individually or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are minor in character and do not materially adversely interfere with Tenant’s access to, use or enjoyment of the Third Expansion Premises, all as reasonably determined by Landlord or Architect. Landlord shall use commercially reasonable efforts to cause such Punch List Items to be completed within thirty (30) days after Substantial Completion of the Landlord’s Work (or as soon thereafter as is reasonably practicable) and in a manner so as to minimized interference with Tenant’s occupancy of the Third Expansion Premises. After the date of Substantial Completion and delivery of the Third Expansion Premises to Tenant, Tenant shall provide Landlord, General Contractor, and their employees and contractors access to the Third Expansion Premises on request at all reasonable times during normal business hours to perform work on the Punch List Items, and Tenant shall not interfere with such work.</w:t>
      </w:r>
    </w:p>
    <w:p>
      <w:pPr>
        <w:spacing w:after="0" w:line="21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B-7.</w:t>
      </w:r>
      <w:r>
        <w:rPr>
          <w:sz w:val="20"/>
          <w:szCs w:val="20"/>
          <w:color w:val="auto"/>
        </w:rPr>
        <w:tab/>
      </w:r>
      <w:r>
        <w:rPr>
          <w:rFonts w:ascii="Times New Roman" w:cs="Times New Roman" w:eastAsia="Times New Roman" w:hAnsi="Times New Roman"/>
          <w:sz w:val="21"/>
          <w:szCs w:val="21"/>
          <w:u w:val="single" w:color="auto"/>
          <w:color w:val="auto"/>
        </w:rPr>
        <w:t>TENANT’S WORK</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21"/>
          <w:szCs w:val="21"/>
          <w:color w:val="auto"/>
        </w:rPr>
        <w:t>In accordance with General Contractor’s construction schedule and within thirty (30) days prior to Substantial Completion of the Landlord’s Work, Tenant, at its sole risk and expense and at no cost to Landlord, shall have the right to enter the Building and Third Expansion Premises to install its furniture, furnishings, trade fixtures, equipment, voice and data wiring (“</w:t>
      </w:r>
      <w:r>
        <w:rPr>
          <w:rFonts w:ascii="Times New Roman" w:cs="Times New Roman" w:eastAsia="Times New Roman" w:hAnsi="Times New Roman"/>
          <w:sz w:val="21"/>
          <w:szCs w:val="21"/>
          <w:b w:val="1"/>
          <w:bCs w:val="1"/>
          <w:u w:val="single" w:color="auto"/>
          <w:color w:val="auto"/>
        </w:rPr>
        <w:t>Tenant’s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FF&amp;E</w:t>
      </w:r>
      <w:r>
        <w:rPr>
          <w:rFonts w:ascii="Times New Roman" w:cs="Times New Roman" w:eastAsia="Times New Roman" w:hAnsi="Times New Roman"/>
          <w:sz w:val="21"/>
          <w:szCs w:val="21"/>
          <w:color w:val="auto"/>
        </w:rPr>
        <w:t>”) in the Third Expansion Premises necessary for conduct of its business as permitted in the Lease. All such installation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Tenant’s FF&amp;E and all other work performed by Tenant in or for the Third Expansion Premises (“</w:t>
      </w:r>
      <w:r>
        <w:rPr>
          <w:rFonts w:ascii="Times New Roman" w:cs="Times New Roman" w:eastAsia="Times New Roman" w:hAnsi="Times New Roman"/>
          <w:sz w:val="21"/>
          <w:szCs w:val="21"/>
          <w:b w:val="1"/>
          <w:bCs w:val="1"/>
          <w:u w:val="single" w:color="auto"/>
          <w:color w:val="auto"/>
        </w:rPr>
        <w:t>Tenant’s Work</w:t>
      </w:r>
      <w:r>
        <w:rPr>
          <w:rFonts w:ascii="Times New Roman" w:cs="Times New Roman" w:eastAsia="Times New Roman" w:hAnsi="Times New Roman"/>
          <w:sz w:val="21"/>
          <w:szCs w:val="21"/>
          <w:color w:val="auto"/>
        </w:rPr>
        <w:t>”) shall be performed in compliance with all provisions and requirements of the Lease, and using qualified, licensed contractors reasonably acceptable to Landlord. Tenant shall not engage any labor to perform Tenant’s Work which conflicts with the type of labor engaged by Landlord to perform the Landlord’s Work or any other work in the Building, and Tenant shall cease use of any such conflicting labor immediately on Landlord’s request. If requested by Landlord or General Contractor, Tenant's entry shall be accompanied by a representative of General Contractor. Tenant shall perform Tenant’s Work in such a manner so as not to damage, delay or interfere with the Landlord’s Work. Any damage to the Landlord’s Work or to the Third Expansion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40" w:right="359" w:bottom="1440" w:gutter="0" w:footer="0" w:header="0"/>
        </w:sectPr>
      </w:pPr>
    </w:p>
    <w:bookmarkStart w:id="56" w:name="page57"/>
    <w:bookmarkEnd w:id="56"/>
    <w:p>
      <w:pPr>
        <w:spacing w:after="0" w:line="200" w:lineRule="exact"/>
        <w:rPr>
          <w:sz w:val="20"/>
          <w:szCs w:val="20"/>
          <w:color w:val="auto"/>
        </w:rPr>
      </w:pPr>
    </w:p>
    <w:p>
      <w:pPr>
        <w:spacing w:after="0" w:line="2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Premises caused by Tenant (or anyone acting by or on behalf of Tenant) shall be promptly repaired by and at the sole expense of Tenant. Any failure of Tenant (or anyone acting by or on behalf of Tenant) to comply with the terms of this Section shall be deemed a Tenant Delay (if the same shall result in a delay in completion of the Landlord’s Work) and may give rise to an Event of Default for purposes of this Lease. Tenant shall not commence performance of any work or installation of any of its property in the Third Expansion Premises, nor apply for any permits that would delay the Landlord’s Work or acquisition of permits therefor, until notified in writing by Landlord that Tenant may commence such activities. Landlord will not unreasonably withhold, condition or delay such notification. Tenant and anyone acting by or on behalf of Tenant will fully cooperate in (and not interfere with or delay) the Landlord’s Work.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B-8.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Landlord will give Tenant at least fifteen (15) days prior notice of the date Landlord expects to tender to Tenant possession of the Third Expansion Premises with the Landlord’s Work Substantially Complete, and will promptly notify Tenant as to any change in such estimated date as soon as the same is known to Landlord. Tenant’s acceptance of possession of the Third Expansion Premises shall include therein Tenant’s acceptance of the Landlord’s Work, subject to the terms of the Lease, and to the attachment thereto of a complete list of Punch List Items which shall be prepared by Landlord and Tenant and signed by Tenant and Landlord on the date Landlord tenders to Tenant possession of the Third Expansion Premises or as soon thereafter as practicable. Notwithstanding the foregoing, acceptance of possession by Tenant of the Third Expansion Premises shall not be a waiver of its rights to have Landlord deliver the completed Landlord’s Work, to the extent any incomplete or defective work was not known or readily discoverable upon acceptance of possession, provided that Tenant notifies Landlord of the same within thirty (30) days following the Third Expansion Premises Lease Commencement Date. Landlord shall promptly, after receiving written notice thereof by Tenant, provided that Landlord receives such written notice within one hundred eighty (180) days following the Third Expansion Premises Lease Commencement Date, correct any and all such latent defects or omissions at no cost or expense to Tenant.</w:t>
      </w:r>
    </w:p>
    <w:p>
      <w:pPr>
        <w:spacing w:after="0" w:line="2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B-9.</w:t>
      </w:r>
      <w:r>
        <w:rPr>
          <w:sz w:val="20"/>
          <w:szCs w:val="20"/>
          <w:color w:val="auto"/>
        </w:rPr>
        <w:tab/>
      </w:r>
      <w:r>
        <w:rPr>
          <w:rFonts w:ascii="Times New Roman" w:cs="Times New Roman" w:eastAsia="Times New Roman" w:hAnsi="Times New Roman"/>
          <w:sz w:val="21"/>
          <w:szCs w:val="21"/>
          <w:u w:val="single" w:color="auto"/>
          <w:color w:val="auto"/>
        </w:rPr>
        <w:t>CODE COMPLIANCE AND WARRANTY</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Landlord represents and warrants to Tenant that the Landlord’s Work performed in the Third Expansion Premises will be in compliance with all applicable laws, ordinances, rules, orders, regulations and other governmental requirements, as well as requirements of the county Fire Marshal, or any similar body having jurisdiction over the Third Expansion Premises and the Building of which the Third Expansion Premises are a part. Landlord will warrant the Landlord’s Work to be free of defects in materials and workmanship for a period of one (1) year from the Third Expansion Premises Lease Commencement Date (except for any misuse by Tenant or for any repairs or replacements by Tenant, at its expense, of any damage to the Third Expansion Premises for which Tenant is responsible as provided in the Lease). Landlord shall use commercially reasonable efforts to assign (to the extent assignable at no cost to Landlord) 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Tenant, the benefit of all construction warranties and manufacturer’s equipment warranties relating to equipment installed in the Third Expansion Premises. If requested by Tenant, Landlord shall attempt to obtain extended warranties from manufacturers and suppliers of such equipment, but the cost of any such extended warranties shall be at Tenant's sole cost and expense.</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**End of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20"/>
          </w:cols>
          <w:pgMar w:left="320" w:top="1440" w:right="45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ATTACHMENT “1”</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019"/>
          </w:cols>
          <w:pgMar w:left="1440" w:top="1440"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33" w:lineRule="exact"/>
        <w:rPr>
          <w:sz w:val="20"/>
          <w:szCs w:val="20"/>
          <w:color w:val="auto"/>
        </w:rPr>
      </w:pPr>
    </w:p>
    <w:p>
      <w:pPr>
        <w:ind w:right="140" w:firstLine="383"/>
        <w:spacing w:after="0" w:line="261" w:lineRule="auto"/>
        <w:rPr>
          <w:sz w:val="20"/>
          <w:szCs w:val="20"/>
          <w:color w:val="auto"/>
        </w:rPr>
      </w:pPr>
      <w:r>
        <w:rPr>
          <w:rFonts w:ascii="Times New Roman" w:cs="Times New Roman" w:eastAsia="Times New Roman" w:hAnsi="Times New Roman"/>
          <w:sz w:val="20"/>
          <w:szCs w:val="20"/>
          <w:color w:val="auto"/>
        </w:rPr>
        <w:t>This Separation Agreement and Release (“Agreement”) is made by and between Metin Kurtoglu (“Executive”) and Cartesian Therapeutics, Inc. (the “Company”) (collectively referred to as the “Parties” or individually referred to as a “Party”). Capitalized terms used but not defined in this Agreement shall have the meanings set forth in the Employment Agreement (as defined below).</w:t>
      </w:r>
    </w:p>
    <w:p>
      <w:pPr>
        <w:spacing w:after="0" w:line="73" w:lineRule="exact"/>
        <w:rPr>
          <w:sz w:val="20"/>
          <w:szCs w:val="20"/>
          <w:color w:val="auto"/>
        </w:rPr>
      </w:pPr>
    </w:p>
    <w:p>
      <w:pPr>
        <w:ind w:right="500" w:firstLine="383"/>
        <w:spacing w:after="0" w:line="254" w:lineRule="auto"/>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dated as of March 28, 2024, (the “Employment Agreement”), and the Executive and Cartesian Therapeutics, Inc. (now known as Cartesian Bio, LLC, a subsidiary of the Company) have previously entered into those certain Confidentiality, Invention and Non-Disclosure, and Non-Competition and Non-Solicitation Agreements, each dated as of October 27, 2016 (the “RCAs”); and</w:t>
      </w:r>
    </w:p>
    <w:p>
      <w:pPr>
        <w:spacing w:after="0" w:line="79" w:lineRule="exact"/>
        <w:rPr>
          <w:sz w:val="20"/>
          <w:szCs w:val="20"/>
          <w:color w:val="auto"/>
        </w:rPr>
      </w:pPr>
    </w:p>
    <w:p>
      <w:pPr>
        <w:ind w:right="160" w:firstLine="383"/>
        <w:spacing w:after="0" w:line="266" w:lineRule="auto"/>
        <w:rPr>
          <w:sz w:val="20"/>
          <w:szCs w:val="20"/>
          <w:color w:val="auto"/>
        </w:rPr>
      </w:pPr>
      <w:r>
        <w:rPr>
          <w:rFonts w:ascii="Times New Roman" w:cs="Times New Roman" w:eastAsia="Times New Roman" w:hAnsi="Times New Roman"/>
          <w:sz w:val="19"/>
          <w:szCs w:val="19"/>
          <w:color w:val="auto"/>
        </w:rPr>
        <w:t>WHEREAS, in connection with Executive’s termination of employment with the Company or a subsidiary or affiliate of the Company effective May 1, 2025 (the “Separation Date”),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shares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 and</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WHEREAS, the Company may still desire to procure the advisory services of Executive at a future date.</w:t>
      </w:r>
    </w:p>
    <w:p>
      <w:pPr>
        <w:spacing w:after="0" w:line="121" w:lineRule="exact"/>
        <w:rPr>
          <w:sz w:val="20"/>
          <w:szCs w:val="20"/>
          <w:color w:val="auto"/>
        </w:rPr>
      </w:pPr>
    </w:p>
    <w:p>
      <w:pPr>
        <w:ind w:right="260" w:firstLine="387"/>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73" w:lineRule="exact"/>
        <w:rPr>
          <w:sz w:val="20"/>
          <w:szCs w:val="20"/>
          <w:color w:val="auto"/>
        </w:rPr>
      </w:pPr>
    </w:p>
    <w:p>
      <w:pPr>
        <w:ind w:left="560" w:hanging="354"/>
        <w:spacing w:after="0"/>
        <w:tabs>
          <w:tab w:leader="none" w:pos="5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Equity Vesting; Salary and Benefits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right="260" w:firstLine="644"/>
        <w:spacing w:after="0" w:line="258" w:lineRule="auto"/>
        <w:tabs>
          <w:tab w:leader="none" w:pos="172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provide Executive with the severance payments and benefits described in Section 4(b) of the Employment Agreement (collectively, the “Severance Benefits”), payable at the times set forth in, and subject to the terms and conditions of, the Employment Agreement, and subject to Executive’s continuing compliance with the RCAs and the Consulting Agreement (as defined below).</w:t>
      </w:r>
    </w:p>
    <w:p>
      <w:pPr>
        <w:spacing w:after="0" w:line="185" w:lineRule="exact"/>
        <w:rPr>
          <w:rFonts w:ascii="Times New Roman" w:cs="Times New Roman" w:eastAsia="Times New Roman" w:hAnsi="Times New Roman"/>
          <w:sz w:val="20"/>
          <w:szCs w:val="20"/>
          <w:color w:val="auto"/>
        </w:rPr>
      </w:pPr>
    </w:p>
    <w:p>
      <w:pPr>
        <w:ind w:left="660" w:firstLine="644"/>
        <w:spacing w:after="0" w:line="261" w:lineRule="auto"/>
        <w:tabs>
          <w:tab w:leader="none" w:pos="1733"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already vested, the equity awards granted to Executive on January 2, 2024, under any Company equity compensation plans shall immediately vest in full as of the Effective Date (as defined below). All other terms of the equity awards held by Executive will remain the same.</w:t>
      </w:r>
    </w:p>
    <w:p>
      <w:pPr>
        <w:spacing w:after="0" w:line="167" w:lineRule="exact"/>
        <w:rPr>
          <w:rFonts w:ascii="Times New Roman" w:cs="Times New Roman" w:eastAsia="Times New Roman" w:hAnsi="Times New Roman"/>
          <w:sz w:val="20"/>
          <w:szCs w:val="20"/>
          <w:color w:val="auto"/>
        </w:rPr>
      </w:pPr>
    </w:p>
    <w:p>
      <w:pPr>
        <w:ind w:left="660" w:right="320" w:firstLine="644"/>
        <w:spacing w:after="0" w:line="283" w:lineRule="auto"/>
        <w:tabs>
          <w:tab w:leader="none" w:pos="172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already paid, and subject to the terms and conditions of the Employment Agreement, the Company shall pay or provide to Executive all other payments or</w:t>
      </w:r>
    </w:p>
    <w:p>
      <w:pPr>
        <w:sectPr>
          <w:pgSz w:w="11900" w:h="16838" w:orient="portrait"/>
          <w:cols w:equalWidth="0" w:num="1">
            <w:col w:w="11240"/>
          </w:cols>
          <w:pgMar w:left="320" w:top="114" w:right="339" w:bottom="1440" w:gutter="0" w:footer="0" w:header="0"/>
        </w:sectPr>
      </w:pPr>
    </w:p>
    <w:bookmarkStart w:id="60" w:name="page61"/>
    <w:bookmarkEnd w:id="60"/>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benefits described in Section 3(c) of the Employment Agreement, subject to and in accordance with the terms thereof.</w:t>
      </w:r>
    </w:p>
    <w:p>
      <w:pPr>
        <w:spacing w:after="0" w:line="229" w:lineRule="exact"/>
        <w:rPr>
          <w:sz w:val="20"/>
          <w:szCs w:val="20"/>
          <w:color w:val="auto"/>
        </w:rPr>
      </w:pPr>
    </w:p>
    <w:p>
      <w:pPr>
        <w:ind w:right="340" w:firstLine="656"/>
        <w:spacing w:after="0" w:line="261" w:lineRule="auto"/>
        <w:tabs>
          <w:tab w:leader="none" w:pos="104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Consulting Agreement</w:t>
      </w:r>
      <w:r>
        <w:rPr>
          <w:rFonts w:ascii="Times New Roman" w:cs="Times New Roman" w:eastAsia="Times New Roman" w:hAnsi="Times New Roman"/>
          <w:sz w:val="20"/>
          <w:szCs w:val="20"/>
          <w:color w:val="auto"/>
        </w:rPr>
        <w:t xml:space="preserve">. Executive agrees to provide consulting services to the Company during the period beginning May 1, 2025 and ending April 30, 2026, and shall execute and abide by the terms and conditions of the consulting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“Consulting Agreement”).</w:t>
      </w:r>
    </w:p>
    <w:p>
      <w:pPr>
        <w:spacing w:after="0" w:line="181"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the foregoing consideration represents</w:t>
      </w:r>
    </w:p>
    <w:p>
      <w:pPr>
        <w:spacing w:after="0" w:line="21" w:lineRule="exact"/>
        <w:rPr>
          <w:rFonts w:ascii="Times New Roman" w:cs="Times New Roman" w:eastAsia="Times New Roman" w:hAnsi="Times New Roman"/>
          <w:sz w:val="20"/>
          <w:szCs w:val="20"/>
          <w:color w:val="auto"/>
        </w:rPr>
      </w:pPr>
    </w:p>
    <w:p>
      <w:pPr>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96" w:lineRule="exact"/>
        <w:rPr>
          <w:rFonts w:ascii="Times New Roman" w:cs="Times New Roman" w:eastAsia="Times New Roman" w:hAnsi="Times New Roman"/>
          <w:sz w:val="20"/>
          <w:szCs w:val="20"/>
          <w:color w:val="auto"/>
        </w:rPr>
      </w:pPr>
    </w:p>
    <w:p>
      <w:pPr>
        <w:ind w:right="40" w:firstLine="404"/>
        <w:spacing w:after="0" w:line="283" w:lineRule="auto"/>
        <w:tabs>
          <w:tab w:leader="none" w:pos="81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46" w:lineRule="exact"/>
        <w:rPr>
          <w:rFonts w:ascii="Times New Roman" w:cs="Times New Roman" w:eastAsia="Times New Roman" w:hAnsi="Times New Roman"/>
          <w:sz w:val="20"/>
          <w:szCs w:val="20"/>
          <w:color w:val="auto"/>
        </w:rPr>
      </w:pPr>
    </w:p>
    <w:p>
      <w:pPr>
        <w:ind w:right="420" w:firstLine="404"/>
        <w:spacing w:after="0" w:line="261" w:lineRule="auto"/>
        <w:tabs>
          <w:tab w:leader="none" w:pos="82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81" w:lineRule="exact"/>
        <w:rPr>
          <w:rFonts w:ascii="Times New Roman" w:cs="Times New Roman" w:eastAsia="Times New Roman" w:hAnsi="Times New Roman"/>
          <w:sz w:val="20"/>
          <w:szCs w:val="20"/>
          <w:color w:val="auto"/>
        </w:rPr>
      </w:pPr>
    </w:p>
    <w:p>
      <w:pPr>
        <w:ind w:right="200" w:firstLine="404"/>
        <w:spacing w:after="0" w:line="253" w:lineRule="auto"/>
        <w:tabs>
          <w:tab w:leader="none" w:pos="81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91" w:lineRule="exact"/>
        <w:rPr>
          <w:rFonts w:ascii="Times New Roman" w:cs="Times New Roman" w:eastAsia="Times New Roman" w:hAnsi="Times New Roman"/>
          <w:sz w:val="20"/>
          <w:szCs w:val="20"/>
          <w:color w:val="auto"/>
        </w:rPr>
      </w:pPr>
    </w:p>
    <w:p>
      <w:pPr>
        <w:ind w:right="20" w:firstLine="404"/>
        <w:spacing w:after="0" w:line="253" w:lineRule="auto"/>
        <w:tabs>
          <w:tab w:leader="none" w:pos="82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1" w:lineRule="exact"/>
        <w:rPr>
          <w:rFonts w:ascii="Times New Roman" w:cs="Times New Roman" w:eastAsia="Times New Roman" w:hAnsi="Times New Roman"/>
          <w:sz w:val="20"/>
          <w:szCs w:val="20"/>
          <w:color w:val="auto"/>
        </w:rPr>
      </w:pPr>
    </w:p>
    <w:p>
      <w:pPr>
        <w:ind w:left="820" w:hanging="416"/>
        <w:spacing w:after="0"/>
        <w:tabs>
          <w:tab w:leader="none" w:pos="8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61" w:name="page62"/>
    <w:bookmarkEnd w:id="61"/>
    <w:p>
      <w:pPr>
        <w:spacing w:after="0" w:line="200" w:lineRule="exact"/>
        <w:rPr>
          <w:sz w:val="20"/>
          <w:szCs w:val="20"/>
          <w:color w:val="auto"/>
        </w:rPr>
      </w:pPr>
    </w:p>
    <w:p>
      <w:pPr>
        <w:spacing w:after="0" w:line="246" w:lineRule="exact"/>
        <w:rPr>
          <w:sz w:val="20"/>
          <w:szCs w:val="20"/>
          <w:color w:val="auto"/>
        </w:rPr>
      </w:pPr>
    </w:p>
    <w:p>
      <w:pPr>
        <w:ind w:left="840" w:hanging="436"/>
        <w:spacing w:after="0"/>
        <w:tabs>
          <w:tab w:leader="none" w:pos="8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29" w:lineRule="exact"/>
        <w:rPr>
          <w:rFonts w:ascii="Times New Roman" w:cs="Times New Roman" w:eastAsia="Times New Roman" w:hAnsi="Times New Roman"/>
          <w:sz w:val="20"/>
          <w:szCs w:val="20"/>
          <w:color w:val="auto"/>
        </w:rPr>
      </w:pPr>
    </w:p>
    <w:p>
      <w:pPr>
        <w:ind w:right="140" w:firstLine="404"/>
        <w:spacing w:after="0" w:line="269" w:lineRule="auto"/>
        <w:tabs>
          <w:tab w:leader="none" w:pos="82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2" w:lineRule="exact"/>
        <w:rPr>
          <w:rFonts w:ascii="Times New Roman" w:cs="Times New Roman" w:eastAsia="Times New Roman" w:hAnsi="Times New Roman"/>
          <w:sz w:val="20"/>
          <w:szCs w:val="20"/>
          <w:color w:val="auto"/>
        </w:rPr>
      </w:pPr>
    </w:p>
    <w:p>
      <w:pPr>
        <w:ind w:right="720" w:firstLine="404"/>
        <w:spacing w:after="0" w:line="283" w:lineRule="auto"/>
        <w:tabs>
          <w:tab w:leader="none" w:pos="82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46" w:lineRule="exact"/>
        <w:rPr>
          <w:rFonts w:ascii="Times New Roman" w:cs="Times New Roman" w:eastAsia="Times New Roman" w:hAnsi="Times New Roman"/>
          <w:sz w:val="20"/>
          <w:szCs w:val="20"/>
          <w:color w:val="auto"/>
        </w:rPr>
      </w:pPr>
    </w:p>
    <w:p>
      <w:pPr>
        <w:ind w:left="780" w:hanging="376"/>
        <w:spacing w:after="0"/>
        <w:tabs>
          <w:tab w:leader="none" w:pos="7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of this Agreement arising after the date Executive signs this Agreement.</w:t>
      </w:r>
    </w:p>
    <w:p>
      <w:pPr>
        <w:spacing w:after="0" w:line="201" w:lineRule="exact"/>
        <w:rPr>
          <w:sz w:val="20"/>
          <w:szCs w:val="20"/>
          <w:color w:val="auto"/>
        </w:rPr>
      </w:pPr>
    </w:p>
    <w:p>
      <w:pPr>
        <w:ind w:right="120" w:firstLine="206"/>
        <w:spacing w:after="0" w:line="250" w:lineRule="auto"/>
        <w:tabs>
          <w:tab w:leader="none" w:pos="5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Executive acknowledges and agrees that the restrictive covenants and other post-termination obligations set forth in the RCAs, including without limitation Executive’s obligations relating to confidentiality, non-use and non-disclosure of Proprietary Information (as defined in the RCAs), non-solicitation, cooperation, and return of property, are hereby incorporated by reference and shall remain in full force and effect pursuant to their terms to the maximum extent permitted by applicable law. Without limiting the foregoing, Executive acknowledges and agrees that the noncompetition period under the RCAs shall continue for a period of 18 months after the Separation Date, and that the non-competition provisions of the RCAs shall remain in full force and effect to the maximum extent permitted by applicable law during such period. Further, Executive agrees that the RCAs inure to the benefit of, and are enforceable by, the Company, and that references to the “Company” in the RCAs shall be deemed to include the Company and its subsidiaries. Executive represents and warrants that Executive has complied with all provisions of the RCAs at all times through the Effective Date. If Executive breaches any of Executive’s obligations under the RCAs or the Consulting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46" w:lineRule="exact"/>
        <w:rPr>
          <w:sz w:val="20"/>
          <w:szCs w:val="20"/>
          <w:color w:val="auto"/>
        </w:rPr>
      </w:pPr>
    </w:p>
    <w:p>
      <w:pPr>
        <w:ind w:right="820"/>
        <w:spacing w:after="0" w:line="283" w:lineRule="auto"/>
        <w:rPr>
          <w:sz w:val="20"/>
          <w:szCs w:val="20"/>
          <w:color w:val="auto"/>
        </w:rPr>
      </w:pPr>
      <w:r>
        <w:rPr>
          <w:rFonts w:ascii="Times New Roman" w:cs="Times New Roman" w:eastAsia="Times New Roman" w:hAnsi="Times New Roman"/>
          <w:sz w:val="20"/>
          <w:szCs w:val="20"/>
          <w:color w:val="auto"/>
        </w:rPr>
        <w:t>other obligations hereunder, then, without limitation of any rights of the Company, the Company’s obligation to provide any further Severance Benefits shall terminate.</w:t>
      </w:r>
    </w:p>
    <w:p>
      <w:pPr>
        <w:spacing w:after="0" w:line="146" w:lineRule="exact"/>
        <w:rPr>
          <w:sz w:val="20"/>
          <w:szCs w:val="20"/>
          <w:color w:val="auto"/>
        </w:rPr>
      </w:pPr>
    </w:p>
    <w:p>
      <w:pPr>
        <w:ind w:right="20" w:firstLine="656"/>
        <w:spacing w:after="0" w:line="251" w:lineRule="auto"/>
        <w:tabs>
          <w:tab w:leader="none" w:pos="994"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freely and voluntarily chosen to waive the time period allotted for considering this Agreement.</w:t>
      </w:r>
    </w:p>
    <w:p>
      <w:pPr>
        <w:spacing w:after="0" w:line="180" w:lineRule="exact"/>
        <w:rPr>
          <w:rFonts w:ascii="Times New Roman" w:cs="Times New Roman" w:eastAsia="Times New Roman" w:hAnsi="Times New Roman"/>
          <w:sz w:val="20"/>
          <w:szCs w:val="20"/>
          <w:color w:val="auto"/>
        </w:rPr>
      </w:pPr>
    </w:p>
    <w:p>
      <w:pPr>
        <w:ind w:firstLine="206"/>
        <w:spacing w:after="0" w:line="261" w:lineRule="auto"/>
        <w:tabs>
          <w:tab w:leader="none" w:pos="54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1" w:lineRule="exact"/>
        <w:rPr>
          <w:rFonts w:ascii="Times New Roman" w:cs="Times New Roman" w:eastAsia="Times New Roman" w:hAnsi="Times New Roman"/>
          <w:sz w:val="20"/>
          <w:szCs w:val="20"/>
          <w:color w:val="auto"/>
        </w:rPr>
      </w:pPr>
    </w:p>
    <w:p>
      <w:pPr>
        <w:ind w:right="340" w:firstLine="206"/>
        <w:spacing w:after="0" w:line="269" w:lineRule="auto"/>
        <w:tabs>
          <w:tab w:leader="none" w:pos="54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Executive and a duly authorized officer of the Company.</w:t>
      </w:r>
    </w:p>
    <w:p>
      <w:pPr>
        <w:spacing w:after="0" w:line="172"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subject to the provisions of Sections 9(a) and 9(c) of the Employment Agreement.</w:t>
      </w:r>
    </w:p>
    <w:p>
      <w:pPr>
        <w:spacing w:after="0" w:line="229"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Executive has seven (7) days after Executive signs this Agreement to revoke it, and this Agreement will become</w:t>
      </w:r>
    </w:p>
    <w:p>
      <w:pPr>
        <w:spacing w:after="0" w:line="21" w:lineRule="exact"/>
        <w:rPr>
          <w:rFonts w:ascii="Times New Roman" w:cs="Times New Roman" w:eastAsia="Times New Roman" w:hAnsi="Times New Roman"/>
          <w:sz w:val="20"/>
          <w:szCs w:val="20"/>
          <w:color w:val="auto"/>
        </w:rPr>
      </w:pPr>
    </w:p>
    <w:p>
      <w:pPr>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on the eighth (8th) day after Executive signed this Agreement (the “Effective Date”), so long as it has been signed by the Parties and has not been revoked by either Party before such date.</w:t>
      </w:r>
    </w:p>
    <w:p>
      <w:pPr>
        <w:spacing w:after="0" w:line="168" w:lineRule="exact"/>
        <w:rPr>
          <w:rFonts w:ascii="Times New Roman" w:cs="Times New Roman" w:eastAsia="Times New Roman" w:hAnsi="Times New Roman"/>
          <w:sz w:val="20"/>
          <w:szCs w:val="20"/>
          <w:color w:val="auto"/>
        </w:rPr>
      </w:pPr>
    </w:p>
    <w:p>
      <w:pPr>
        <w:ind w:right="240" w:firstLine="206"/>
        <w:spacing w:after="0" w:line="267" w:lineRule="auto"/>
        <w:tabs>
          <w:tab w:leader="none" w:pos="643"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w:t>
      </w:r>
    </w:p>
    <w:p>
      <w:pPr>
        <w:spacing w:after="0" w:line="1" w:lineRule="exact"/>
        <w:rPr>
          <w:rFonts w:ascii="Times New Roman" w:cs="Times New Roman" w:eastAsia="Times New Roman" w:hAnsi="Times New Roman"/>
          <w:sz w:val="19"/>
          <w:szCs w:val="19"/>
          <w:color w:val="auto"/>
        </w:rPr>
      </w:pPr>
    </w:p>
    <w:p>
      <w:pPr>
        <w:ind w:right="440" w:firstLine="8"/>
        <w:spacing w:after="0" w:line="253" w:lineRule="auto"/>
        <w:tabs>
          <w:tab w:leader="none" w:pos="26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represented in the preparation, negotiation, and execution of this Agreement by legal counsel of Executive’s own choice or has elected not to retain legal counsel; (d) Executive understands the terms and consequences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releases it contains; and (e) Executive is fully aware of the legal and binding effect of this Agreement.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EXECUTIVE</w:t>
            </w:r>
          </w:p>
        </w:tc>
      </w:tr>
      <w:tr>
        <w:trPr>
          <w:trHeight w:val="223"/>
        </w:trPr>
        <w:tc>
          <w:tcPr>
            <w:tcW w:w="56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Dated: April 29, 2025</w:t>
            </w:r>
          </w:p>
        </w:tc>
        <w:tc>
          <w:tcPr>
            <w:tcW w:w="3280" w:type="dxa"/>
            <w:vAlign w:val="bottom"/>
            <w:gridSpan w:val="4"/>
          </w:tcPr>
          <w:p>
            <w:pPr>
              <w:spacing w:after="0" w:line="224" w:lineRule="exact"/>
              <w:rPr>
                <w:sz w:val="20"/>
                <w:szCs w:val="20"/>
                <w:color w:val="auto"/>
              </w:rPr>
            </w:pPr>
            <w:r>
              <w:rPr>
                <w:rFonts w:ascii="Times New Roman" w:cs="Times New Roman" w:eastAsia="Times New Roman" w:hAnsi="Times New Roman"/>
                <w:sz w:val="20"/>
                <w:szCs w:val="20"/>
                <w:color w:val="auto"/>
              </w:rPr>
              <w:t>/s/ Metin Kurtoglu, M.D., Ph.D.</w:t>
            </w:r>
          </w:p>
        </w:tc>
      </w:tr>
      <w:tr>
        <w:trPr>
          <w:trHeight w:val="270"/>
        </w:trPr>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880" w:type="dxa"/>
            <w:vAlign w:val="bottom"/>
          </w:tcPr>
          <w:p>
            <w:pPr>
              <w:spacing w:after="0"/>
              <w:rPr>
                <w:sz w:val="23"/>
                <w:szCs w:val="23"/>
                <w:color w:val="auto"/>
              </w:rPr>
            </w:pPr>
          </w:p>
        </w:tc>
        <w:tc>
          <w:tcPr>
            <w:tcW w:w="31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Metin Kurtoglu, M.D., Ph.D.</w:t>
            </w:r>
          </w:p>
        </w:tc>
        <w:tc>
          <w:tcPr>
            <w:tcW w:w="160" w:type="dxa"/>
            <w:vAlign w:val="bottom"/>
          </w:tcPr>
          <w:p>
            <w:pPr>
              <w:spacing w:after="0"/>
              <w:rPr>
                <w:sz w:val="23"/>
                <w:szCs w:val="23"/>
                <w:color w:val="auto"/>
              </w:rPr>
            </w:pPr>
          </w:p>
        </w:tc>
      </w:tr>
      <w:tr>
        <w:trPr>
          <w:trHeight w:val="756"/>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CARTESIAN THERAPEUTICS, INC.</w:t>
            </w:r>
          </w:p>
        </w:tc>
      </w:tr>
      <w:tr>
        <w:trPr>
          <w:trHeight w:val="223"/>
        </w:trPr>
        <w:tc>
          <w:tcPr>
            <w:tcW w:w="562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color w:val="auto"/>
              </w:rPr>
              <w:t>Dated:April 29, 2025</w:t>
            </w:r>
          </w:p>
        </w:tc>
        <w:tc>
          <w:tcPr>
            <w:tcW w:w="3280" w:type="dxa"/>
            <w:vAlign w:val="bottom"/>
            <w:gridSpan w:val="4"/>
          </w:tcPr>
          <w:p>
            <w:pPr>
              <w:spacing w:after="0" w:line="224" w:lineRule="exact"/>
              <w:rPr>
                <w:sz w:val="20"/>
                <w:szCs w:val="20"/>
                <w:color w:val="auto"/>
              </w:rPr>
            </w:pPr>
            <w:r>
              <w:rPr>
                <w:rFonts w:ascii="Times New Roman" w:cs="Times New Roman" w:eastAsia="Times New Roman" w:hAnsi="Times New Roman"/>
                <w:sz w:val="20"/>
                <w:szCs w:val="20"/>
                <w:color w:val="auto"/>
              </w:rPr>
              <w:t>By:/s/ Carsten Brunn, Ph.D.</w:t>
            </w:r>
          </w:p>
        </w:tc>
      </w:tr>
      <w:tr>
        <w:trPr>
          <w:trHeight w:val="254"/>
        </w:trPr>
        <w:tc>
          <w:tcPr>
            <w:tcW w:w="5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Name: Carsten Brunn, Ph.D.</w:t>
            </w:r>
          </w:p>
        </w:tc>
        <w:tc>
          <w:tcPr>
            <w:tcW w:w="480" w:type="dxa"/>
            <w:vAlign w:val="bottom"/>
            <w:gridSpan w:val="2"/>
          </w:tcPr>
          <w:p>
            <w:pPr>
              <w:spacing w:after="0"/>
              <w:rPr>
                <w:sz w:val="22"/>
                <w:szCs w:val="22"/>
                <w:color w:val="auto"/>
              </w:rPr>
            </w:pPr>
          </w:p>
        </w:tc>
      </w:tr>
      <w:tr>
        <w:trPr>
          <w:trHeight w:val="258"/>
        </w:trPr>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39"/>
          </w:cols>
          <w:pgMar w:left="320" w:top="1440" w:right="1440" w:bottom="1440" w:gutter="0" w:footer="0" w:header="0"/>
        </w:sectPr>
      </w:pPr>
    </w:p>
    <w:bookmarkStart w:id="64" w:name="page65"/>
    <w:bookmarkEnd w:id="64"/>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(Metin Kurtoglu, M.D., Ph.D.)</w:t>
      </w:r>
    </w:p>
    <w:p>
      <w:pPr>
        <w:spacing w:after="0" w:line="304"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22"/>
          <w:szCs w:val="22"/>
          <w:color w:val="auto"/>
        </w:rPr>
        <w:t>This Consulting Agreement dated as of May 1, 2025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Cartesian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Metin Kurtoglu, M.D., Ph.D. (the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engage the Consultant to perform consulting services on behalf of the Company and the Consultant desires to perform such services on the terms and conditions hereinafter set forth.</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covenants set forth herein the parties hereby agree as follows:</w:t>
      </w:r>
    </w:p>
    <w:p>
      <w:pPr>
        <w:spacing w:after="0" w:line="158"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Consulting Services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right="420" w:firstLine="872"/>
        <w:spacing w:after="0" w:line="257" w:lineRule="auto"/>
        <w:tabs>
          <w:tab w:leader="none" w:pos="131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hereby retains the Consultant and the Consultant hereby agrees to perform such consulting and advisory services relating to the Field of Interest (as defined in Section 13(j)) as the Company may request and as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Consulting Services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right="60" w:firstLine="872"/>
        <w:spacing w:after="0" w:line="263" w:lineRule="auto"/>
        <w:tabs>
          <w:tab w:leader="none" w:pos="132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Consultant agrees to make himself available to render the Consulting Services, at such times and locations as may be mutually agreed, from time to time as requested by the Company. Except as provided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the Consultant may deliver the Consulting Services over the telephone, in person or by written correspondence.</w:t>
      </w:r>
    </w:p>
    <w:p>
      <w:pPr>
        <w:spacing w:after="0" w:line="167" w:lineRule="exact"/>
        <w:rPr>
          <w:rFonts w:ascii="Times New Roman" w:cs="Times New Roman" w:eastAsia="Times New Roman" w:hAnsi="Times New Roman"/>
          <w:sz w:val="22"/>
          <w:szCs w:val="22"/>
          <w:color w:val="auto"/>
        </w:rPr>
      </w:pPr>
    </w:p>
    <w:p>
      <w:pPr>
        <w:ind w:right="180" w:firstLine="872"/>
        <w:spacing w:after="0" w:line="257" w:lineRule="auto"/>
        <w:tabs>
          <w:tab w:leader="none" w:pos="137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agrees to devote his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172" w:lineRule="exact"/>
        <w:rPr>
          <w:rFonts w:ascii="Times New Roman" w:cs="Times New Roman" w:eastAsia="Times New Roman" w:hAnsi="Times New Roman"/>
          <w:sz w:val="22"/>
          <w:szCs w:val="22"/>
          <w:color w:val="auto"/>
        </w:rPr>
      </w:pPr>
    </w:p>
    <w:p>
      <w:pPr>
        <w:ind w:firstLine="656"/>
        <w:spacing w:after="0" w:line="263" w:lineRule="auto"/>
        <w:tabs>
          <w:tab w:leader="none" w:pos="10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Consultant’s compensation arrangements are provided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The Company will reimburse the Consultant for such reasonable business expenses as are incurred by the Consultant in the performance of Consulting Services for the Company and pre-approved in writing by the Company.</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In furnishing the Consulting Services, the Consultant understands that he will at all times be acting as an independent contractor of the Company and, as such, will not be an employee of the Company and will not by reason of this Agreement or by reason of his Consulting Services to the Company be entitled to participate in or to receive any</w:t>
      </w:r>
    </w:p>
    <w:p>
      <w:pPr>
        <w:sectPr>
          <w:pgSz w:w="11900" w:h="16838" w:orient="portrait"/>
          <w:cols w:equalWidth="0" w:num="1">
            <w:col w:w="11220"/>
          </w:cols>
          <w:pgMar w:left="320" w:top="1440" w:right="359" w:bottom="1440" w:gutter="0" w:footer="0" w:header="0"/>
        </w:sectPr>
      </w:pPr>
    </w:p>
    <w:bookmarkStart w:id="65" w:name="page66"/>
    <w:bookmarkEnd w:id="65"/>
    <w:p>
      <w:pPr>
        <w:spacing w:after="0" w:line="200" w:lineRule="exact"/>
        <w:rPr>
          <w:sz w:val="20"/>
          <w:szCs w:val="20"/>
          <w:color w:val="auto"/>
        </w:rPr>
      </w:pPr>
    </w:p>
    <w:p>
      <w:pPr>
        <w:spacing w:after="0" w:line="255"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22"/>
          <w:szCs w:val="22"/>
          <w:color w:val="auto"/>
        </w:rPr>
        <w:t>benefit or right under any of the Company’s employee benefit or welfare plans. The Consultant also will be responsible for paying all withholding and other taxes required by law to be paid as and when the same become due and payable. Consultant shall not enter into any agreements or incur any obligations on behalf of the Company.</w:t>
      </w:r>
    </w:p>
    <w:p>
      <w:pPr>
        <w:spacing w:after="0" w:line="167"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Company may terminate this Agreement at any time for any reason, without cause and without prior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96" w:lineRule="exact"/>
        <w:rPr>
          <w:sz w:val="20"/>
          <w:szCs w:val="20"/>
          <w:color w:val="auto"/>
        </w:rPr>
      </w:pPr>
    </w:p>
    <w:p>
      <w:pPr>
        <w:ind w:left="1140" w:hanging="484"/>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 to this Agreement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100" w:firstLine="872"/>
        <w:spacing w:after="0" w:line="248" w:lineRule="auto"/>
        <w:tabs>
          <w:tab w:leader="none" w:pos="13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Other Contracts</w:t>
      </w:r>
      <w:r>
        <w:rPr>
          <w:rFonts w:ascii="Times New Roman" w:cs="Times New Roman" w:eastAsia="Times New Roman" w:hAnsi="Times New Roman"/>
          <w:sz w:val="22"/>
          <w:szCs w:val="22"/>
          <w:color w:val="auto"/>
        </w:rPr>
        <w:t>. The Company acknowledges that the Consultant is now or may become a party to agreements with third parties relating to the disclosure of information, the ownership of inventions, restrictions against competition and/or similar matters, or may start or become affiliated with businesses that engage in activities in cellular therapy or therapeutic modes of treatment. The Consultant represents and agrees that the execution, delivery and performance of this Agreement does not and will not conflict with any other agreement, policy or rule applicable to the Consultant, nor will Consultant start or become affiliated with a business that competes in any therapeutic field or therapeutic treatment that the Company is advancing or chooses to advance. The Consultant will not (i) disclose to the Company any information that he is required to keep secret pursuant to an existing confidentiality agreement with a third party, (ii) use the funding, resources, facilities or inventions of any third party to perform the Consulting Services, or (iii) perform the Consulting Services in any manner that would give any third party rights to any intellectual property created in connection with such services. For lack of doubt, Consultant shall not use any Confidential Information (as defined below), including any gained from employment or any consulting relationship with the Company, in carrying out business activities for any other business with which Consultant may become affiliated.</w:t>
      </w:r>
    </w:p>
    <w:p>
      <w:pPr>
        <w:spacing w:after="0" w:line="192" w:lineRule="exact"/>
        <w:rPr>
          <w:rFonts w:ascii="Times New Roman" w:cs="Times New Roman" w:eastAsia="Times New Roman" w:hAnsi="Times New Roman"/>
          <w:sz w:val="22"/>
          <w:szCs w:val="22"/>
          <w:color w:val="auto"/>
        </w:rPr>
      </w:pPr>
    </w:p>
    <w:p>
      <w:pPr>
        <w:ind w:firstLine="872"/>
        <w:spacing w:after="0" w:line="268" w:lineRule="auto"/>
        <w:tabs>
          <w:tab w:leader="none" w:pos="133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 Inventions</w:t>
      </w:r>
      <w:r>
        <w:rPr>
          <w:rFonts w:ascii="Times New Roman" w:cs="Times New Roman" w:eastAsia="Times New Roman" w:hAnsi="Times New Roman"/>
          <w:sz w:val="21"/>
          <w:szCs w:val="21"/>
          <w:color w:val="auto"/>
        </w:rPr>
        <w:t>. The Consultant has informed the Company, in writing at the time of execution of this Agreement, of any and all inventions which he claims as his own or otherwise intends to exclude from this Agreement because it was developed by him prior to his original employment by the Company, or, if Consultant has not so informed the Company, Consultant represents and warrants that there are no such inventions. The Consultant acknowledges that after execution of this Agreement he shall have no right to exclude any Company Inventions (as defined in Section 7) from this Agreement.</w:t>
      </w:r>
    </w:p>
    <w:p>
      <w:pPr>
        <w:spacing w:after="0" w:line="163" w:lineRule="exact"/>
        <w:rPr>
          <w:rFonts w:ascii="Times New Roman" w:cs="Times New Roman" w:eastAsia="Times New Roman" w:hAnsi="Times New Roman"/>
          <w:sz w:val="21"/>
          <w:szCs w:val="21"/>
          <w:color w:val="auto"/>
        </w:rPr>
      </w:pPr>
    </w:p>
    <w:p>
      <w:pPr>
        <w:ind w:right="40" w:firstLine="656"/>
        <w:spacing w:after="0" w:line="251" w:lineRule="auto"/>
        <w:tabs>
          <w:tab w:leader="none" w:pos="10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While providing the Consulting Services to the Company and thereafter, the Consultant shall not, directly or indirectly, use any Confidential Information other than pursuant to his provision of the Consulting Services by and for the benefit of the Company, or disclose to anyone outside of the Company any such Confidential Information during or after the term of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as used throughout this Agreement shall mean all trade secrets, proprietary information and other data or information (and any tangible evidence, record or representation thereof), written or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60"/>
          </w:cols>
          <w:pgMar w:left="320" w:top="1440" w:right="419" w:bottom="1440" w:gutter="0" w:footer="0" w:header="0"/>
        </w:sectPr>
      </w:pPr>
    </w:p>
    <w:bookmarkStart w:id="66" w:name="page67"/>
    <w:bookmarkEnd w:id="66"/>
    <w:p>
      <w:pPr>
        <w:spacing w:after="0" w:line="200" w:lineRule="exact"/>
        <w:rPr>
          <w:sz w:val="20"/>
          <w:szCs w:val="20"/>
          <w:color w:val="auto"/>
        </w:rPr>
      </w:pPr>
    </w:p>
    <w:p>
      <w:pPr>
        <w:spacing w:after="0" w:line="2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76" w:lineRule="exact"/>
        <w:rPr>
          <w:sz w:val="20"/>
          <w:szCs w:val="20"/>
          <w:color w:val="auto"/>
        </w:rPr>
      </w:pPr>
    </w:p>
    <w:p>
      <w:pPr>
        <w:ind w:right="100" w:firstLine="1088"/>
        <w:spacing w:after="0" w:line="253" w:lineRule="auto"/>
        <w:tabs>
          <w:tab w:leader="none" w:pos="137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idea, improvement, invention, innovation, development, concept, technical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78" w:lineRule="exact"/>
        <w:rPr>
          <w:rFonts w:ascii="Times New Roman" w:cs="Times New Roman" w:eastAsia="Times New Roman" w:hAnsi="Times New Roman"/>
          <w:sz w:val="22"/>
          <w:szCs w:val="22"/>
          <w:color w:val="auto"/>
        </w:rPr>
      </w:pPr>
    </w:p>
    <w:p>
      <w:pPr>
        <w:ind w:firstLine="1088"/>
        <w:spacing w:after="0" w:line="252" w:lineRule="auto"/>
        <w:tabs>
          <w:tab w:leader="none" w:pos="13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93"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58" w:lineRule="exact"/>
        <w:rPr>
          <w:sz w:val="20"/>
          <w:szCs w:val="20"/>
          <w:color w:val="auto"/>
        </w:rPr>
      </w:pPr>
    </w:p>
    <w:p>
      <w:pPr>
        <w:jc w:val="both"/>
        <w:ind w:right="160" w:firstLine="648"/>
        <w:spacing w:after="0" w:line="256" w:lineRule="auto"/>
        <w:rPr>
          <w:sz w:val="20"/>
          <w:szCs w:val="20"/>
          <w:color w:val="auto"/>
        </w:rPr>
      </w:pPr>
      <w:r>
        <w:rPr>
          <w:rFonts w:ascii="Times New Roman" w:cs="Times New Roman" w:eastAsia="Times New Roman" w:hAnsi="Times New Roman"/>
          <w:sz w:val="22"/>
          <w:szCs w:val="22"/>
          <w:color w:val="auto"/>
        </w:rPr>
        <w:t>The Consultant acknowledges that the Company from time to time has in its possession information (including product and development plans and specifications) which represent information which is claimed by others to be proprietary and which the Company has agreed to keep confidential. The Consultant agrees that all such information shall be Confidential Information for purposes of this Agreement.</w:t>
      </w:r>
    </w:p>
    <w:p>
      <w:pPr>
        <w:spacing w:after="0" w:line="17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The Consultant understands and agrees that its obligations with respect to Confidential Information shall continue to apply after the termination of its relationship with the Company for any reason. Nothing in this Agreement limits, restricts or in any other way affects the Consultant’s communicating with any governmental agency or entity, or communicating with any official or staff person of a governmental agency or entity, concerning matters relevant to the governmental agency or entity. The Consultant understands that it cannot be held criminally or civilly liable under any federal or state trade secret law for disclosing a trade secret (a) in confidence to a federal, state, or local government official, either directly or indirectly, or to an attorney, solely for the purpose of reporting or investigating a suspected violation of law, or (b) in a complaint or other document filed under seal in a lawsuit or other proceeding. Notwithstanding this immunity from liability, the Consultant understands that it may be held liable if it unlawfully accesses trade secrets by unauthorized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67" w:name="page68"/>
    <w:bookmarkEnd w:id="67"/>
    <w:p>
      <w:pPr>
        <w:spacing w:after="0" w:line="200" w:lineRule="exact"/>
        <w:rPr>
          <w:sz w:val="20"/>
          <w:szCs w:val="20"/>
          <w:color w:val="auto"/>
        </w:rPr>
      </w:pPr>
    </w:p>
    <w:p>
      <w:pPr>
        <w:spacing w:after="0" w:line="255" w:lineRule="exact"/>
        <w:rPr>
          <w:sz w:val="20"/>
          <w:szCs w:val="20"/>
          <w:color w:val="auto"/>
        </w:rPr>
      </w:pPr>
    </w:p>
    <w:p>
      <w:pPr>
        <w:ind w:right="280" w:firstLine="648"/>
        <w:spacing w:after="0" w:line="263" w:lineRule="auto"/>
        <w:rPr>
          <w:sz w:val="20"/>
          <w:szCs w:val="20"/>
          <w:color w:val="auto"/>
        </w:rPr>
      </w:pPr>
      <w:r>
        <w:rPr>
          <w:rFonts w:ascii="Times New Roman" w:cs="Times New Roman" w:eastAsia="Times New Roman" w:hAnsi="Times New Roman"/>
          <w:sz w:val="22"/>
          <w:szCs w:val="22"/>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67" w:lineRule="exact"/>
        <w:rPr>
          <w:sz w:val="20"/>
          <w:szCs w:val="20"/>
          <w:color w:val="auto"/>
        </w:rPr>
      </w:pPr>
    </w:p>
    <w:p>
      <w:pPr>
        <w:ind w:left="1040" w:hanging="384"/>
        <w:spacing w:after="0"/>
        <w:tabs>
          <w:tab w:leader="none" w:pos="10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872"/>
        <w:spacing w:after="0" w:line="253" w:lineRule="auto"/>
        <w:tabs>
          <w:tab w:leader="none" w:pos="13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Inventions Made by Others</w:t>
      </w:r>
      <w:r>
        <w:rPr>
          <w:rFonts w:ascii="Times New Roman" w:cs="Times New Roman" w:eastAsia="Times New Roman" w:hAnsi="Times New Roman"/>
          <w:sz w:val="22"/>
          <w:szCs w:val="22"/>
          <w:color w:val="auto"/>
        </w:rPr>
        <w:t>. Subject to the Consultant’s obligations to third parties, during the term of this Agreement, the Consultant will use his best efforts (i) to disclose to the President of the Company, on a confidential basis, technology and product opportunities which come to the attention of the Consultant in the Field of Interest, and (ii) any invention, improvement, discovery, process, formula or method or other intellectual property relating to or useful in, the Field of Interest, whether or not patentable or copyrightable, and whether or not discovered or developed by Consultant.</w:t>
      </w:r>
    </w:p>
    <w:p>
      <w:pPr>
        <w:spacing w:after="0" w:line="178" w:lineRule="exact"/>
        <w:rPr>
          <w:rFonts w:ascii="Times New Roman" w:cs="Times New Roman" w:eastAsia="Times New Roman" w:hAnsi="Times New Roman"/>
          <w:sz w:val="22"/>
          <w:szCs w:val="22"/>
          <w:color w:val="auto"/>
        </w:rPr>
      </w:pPr>
    </w:p>
    <w:p>
      <w:pPr>
        <w:ind w:firstLine="872"/>
        <w:spacing w:after="0" w:line="247" w:lineRule="auto"/>
        <w:tabs>
          <w:tab w:leader="none" w:pos="133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Made by the Consultant</w:t>
      </w:r>
      <w:r>
        <w:rPr>
          <w:rFonts w:ascii="Times New Roman" w:cs="Times New Roman" w:eastAsia="Times New Roman" w:hAnsi="Times New Roman"/>
          <w:sz w:val="22"/>
          <w:szCs w:val="22"/>
          <w:color w:val="auto"/>
        </w:rPr>
        <w:t>. The Consultant agrees that all Confidential Information and all other discoveries, inventions, ideas, concepts, trademarks, service marks, logos, processes, products, formulas, computer programs or software, source codes, object codes, algorithms, machines, apparatuses, 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during the term of this Agreement, either alone or with others, and in any way related to or arising out of: (i) the Field of Interest; (ii) the Consulting Services; or (iii) Confidential Information of the Company, whether or not conceived, developed, reduced to practice or made on the Company’s premises (collectively, “</w:t>
      </w:r>
      <w:r>
        <w:rPr>
          <w:rFonts w:ascii="Times New Roman" w:cs="Times New Roman" w:eastAsia="Times New Roman" w:hAnsi="Times New Roman"/>
          <w:sz w:val="22"/>
          <w:szCs w:val="22"/>
          <w:u w:val="single" w:color="auto"/>
          <w:color w:val="auto"/>
        </w:rPr>
        <w:t>Company Inventions</w:t>
      </w:r>
      <w:r>
        <w:rPr>
          <w:rFonts w:ascii="Times New Roman" w:cs="Times New Roman" w:eastAsia="Times New Roman" w:hAnsi="Times New Roman"/>
          <w:sz w:val="22"/>
          <w:szCs w:val="22"/>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The Consultant agrees that all such Company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Company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90" w:lineRule="exact"/>
        <w:rPr>
          <w:rFonts w:ascii="Times New Roman" w:cs="Times New Roman" w:eastAsia="Times New Roman" w:hAnsi="Times New Roman"/>
          <w:sz w:val="22"/>
          <w:szCs w:val="22"/>
          <w:color w:val="auto"/>
        </w:rPr>
      </w:pPr>
    </w:p>
    <w:p>
      <w:pPr>
        <w:ind w:firstLine="656"/>
        <w:spacing w:after="0" w:line="257" w:lineRule="auto"/>
        <w:tabs>
          <w:tab w:leader="none" w:pos="102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Consultant’s Obligation to Keep Records</w:t>
      </w:r>
      <w:r>
        <w:rPr>
          <w:rFonts w:ascii="Times New Roman" w:cs="Times New Roman" w:eastAsia="Times New Roman" w:hAnsi="Times New Roman"/>
          <w:sz w:val="22"/>
          <w:szCs w:val="22"/>
          <w:color w:val="auto"/>
        </w:rPr>
        <w:t>. Consultant shall make and maintain adequate and current written records of all Company Inventions, and shall disclose all Company Inventions promptly, fully and in writing to the Company immediately upon development of the same and at any time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55" w:lineRule="exact"/>
        <w:rPr>
          <w:sz w:val="20"/>
          <w:szCs w:val="20"/>
          <w:color w:val="auto"/>
        </w:rPr>
      </w:pPr>
    </w:p>
    <w:p>
      <w:pPr>
        <w:ind w:left="-40" w:firstLine="656"/>
        <w:spacing w:after="0" w:line="261" w:lineRule="auto"/>
        <w:tabs>
          <w:tab w:leader="none" w:pos="98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Consultant’s Obligation to Cooperate</w:t>
      </w:r>
      <w:r>
        <w:rPr>
          <w:rFonts w:ascii="Times New Roman" w:cs="Times New Roman" w:eastAsia="Times New Roman" w:hAnsi="Times New Roman"/>
          <w:sz w:val="21"/>
          <w:szCs w:val="21"/>
          <w:color w:val="auto"/>
        </w:rPr>
        <w:t>. The Consultant will, at any time during or after the term of this Agreement, upon request of the Company, execute all documents and perform all lawful acts which the Company considers necessary or advisable to secure its rights hereunder and to carry out the intent of this Agreement. Without limiting the generality of the foregoing, the Consultant will assist the Company in any reasonable manner to obtain for its own benefit patents or copyrights in any and all countries with respect to all Company Inventions assigned pursuant to Section 7, and the Consultant will execute, when requested, patent and other applications and assignments thereof to the Company, or Persons (as defined in Section 13(j)) designated by it, and any other lawful documents deemed necessary by the Company to carry out the purposes of this Agreement, and the Consultant will further assist the Company in every way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out-of-pocket expenses of the Consultant’s assistance incurred at the request of the Company under this Section will be reimbursed by the Company.</w:t>
      </w:r>
    </w:p>
    <w:p>
      <w:pPr>
        <w:spacing w:after="0" w:line="175" w:lineRule="exact"/>
        <w:rPr>
          <w:rFonts w:ascii="Times New Roman" w:cs="Times New Roman" w:eastAsia="Times New Roman" w:hAnsi="Times New Roman"/>
          <w:sz w:val="21"/>
          <w:szCs w:val="21"/>
          <w:color w:val="auto"/>
        </w:rPr>
      </w:pPr>
    </w:p>
    <w:p>
      <w:pPr>
        <w:ind w:left="-40" w:right="80" w:firstLine="656"/>
        <w:spacing w:after="0" w:line="250" w:lineRule="auto"/>
        <w:tabs>
          <w:tab w:leader="none" w:pos="10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During the term of this Agreement and for a period of eighteen months after the termination of this Agreement, the Consultant shall not (i) solicit, encourage, or take any other action which is intended to induce any employee of, or consultant to, the Company (or any other Person who may have been employed by, or may have been a consultant to, the Company during the Term)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93" w:lineRule="exact"/>
        <w:rPr>
          <w:rFonts w:ascii="Times New Roman" w:cs="Times New Roman" w:eastAsia="Times New Roman" w:hAnsi="Times New Roman"/>
          <w:sz w:val="22"/>
          <w:szCs w:val="22"/>
          <w:color w:val="auto"/>
        </w:rPr>
      </w:pPr>
    </w:p>
    <w:p>
      <w:pPr>
        <w:ind w:left="-40" w:right="180" w:firstLine="656"/>
        <w:spacing w:after="0" w:line="262" w:lineRule="auto"/>
        <w:tabs>
          <w:tab w:leader="none" w:pos="92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Company Inventions.</w:t>
      </w:r>
    </w:p>
    <w:p>
      <w:pPr>
        <w:spacing w:after="0" w:line="172" w:lineRule="exact"/>
        <w:rPr>
          <w:rFonts w:ascii="Times New Roman" w:cs="Times New Roman" w:eastAsia="Times New Roman" w:hAnsi="Times New Roman"/>
          <w:sz w:val="21"/>
          <w:szCs w:val="21"/>
          <w:color w:val="auto"/>
        </w:rPr>
      </w:pPr>
    </w:p>
    <w:p>
      <w:pPr>
        <w:ind w:left="1100" w:hanging="484"/>
        <w:spacing w:after="0"/>
        <w:tabs>
          <w:tab w:leader="none" w:pos="11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60" w:top="1440" w:right="359" w:bottom="1440" w:gutter="0" w:footer="0" w:header="0"/>
        </w:sectPr>
      </w:pPr>
    </w:p>
    <w:bookmarkStart w:id="69" w:name="page70"/>
    <w:bookmarkEnd w:id="69"/>
    <w:p>
      <w:pPr>
        <w:spacing w:after="0" w:line="200" w:lineRule="exact"/>
        <w:rPr>
          <w:sz w:val="20"/>
          <w:szCs w:val="20"/>
          <w:color w:val="auto"/>
        </w:rPr>
      </w:pPr>
    </w:p>
    <w:p>
      <w:pPr>
        <w:spacing w:after="0" w:line="255" w:lineRule="exact"/>
        <w:rPr>
          <w:sz w:val="20"/>
          <w:szCs w:val="20"/>
          <w:color w:val="auto"/>
        </w:rPr>
      </w:pPr>
    </w:p>
    <w:p>
      <w:pPr>
        <w:ind w:left="-20" w:firstLine="872"/>
        <w:spacing w:after="0" w:line="264" w:lineRule="auto"/>
        <w:tabs>
          <w:tab w:leader="none" w:pos="135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documents referred to herein constitute the entire agreement among the parties with respect to the subject matter hereof and supersede all other prior agreements and understandings, both written and oral, between the parties with respect to such subject matter; provided, however, that the Confidentiality, Invention and Non-Disclosure, and Non-Competition and Non-Solicitation Agreements, each dated as of October 27, 2016, by and between the Consultant and Cartesian Therapeutics, Inc. (now known as Cartesian Bio, LLC, a subsidiary of the Company) (the “RCAs”) and the Separation Agreement and Release by and between the Consultant and the Company entered into on or around May 1, 2025 (the “Separation Agreement”) are not superseded. The Consultant affirms the Consultant’s ongoing obligations under the RCAs, which are in addition to (and not in lieu of or modified by) Consultant’s obligations under this Agreement.</w:t>
      </w:r>
    </w:p>
    <w:p>
      <w:pPr>
        <w:spacing w:after="0" w:line="169" w:lineRule="exact"/>
        <w:rPr>
          <w:rFonts w:ascii="Times New Roman" w:cs="Times New Roman" w:eastAsia="Times New Roman" w:hAnsi="Times New Roman"/>
          <w:sz w:val="21"/>
          <w:szCs w:val="21"/>
          <w:color w:val="auto"/>
        </w:rPr>
      </w:pPr>
    </w:p>
    <w:p>
      <w:pPr>
        <w:ind w:left="-20" w:right="120" w:firstLine="872"/>
        <w:spacing w:after="0" w:line="252" w:lineRule="auto"/>
        <w:tabs>
          <w:tab w:leader="none" w:pos="131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be binding upon and inure to the benefit of the parties hereto and their respective successors and permitted assigns. This Agreement is not intended to and does not confer upon any person other than the parties hereto any rights or remedies hereunder, except as otherwise expressly provided herein and shall not be assignable by operation of law or otherwise.</w:t>
      </w:r>
    </w:p>
    <w:p>
      <w:pPr>
        <w:spacing w:after="0" w:line="179" w:lineRule="exact"/>
        <w:rPr>
          <w:rFonts w:ascii="Times New Roman" w:cs="Times New Roman" w:eastAsia="Times New Roman" w:hAnsi="Times New Roman"/>
          <w:sz w:val="22"/>
          <w:szCs w:val="22"/>
          <w:color w:val="auto"/>
        </w:rPr>
      </w:pPr>
    </w:p>
    <w:p>
      <w:pPr>
        <w:ind w:left="-20" w:right="940" w:firstLine="872"/>
        <w:spacing w:after="0" w:line="284"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Supplements</w:t>
      </w:r>
      <w:r>
        <w:rPr>
          <w:rFonts w:ascii="Times New Roman" w:cs="Times New Roman" w:eastAsia="Times New Roman" w:hAnsi="Times New Roman"/>
          <w:sz w:val="22"/>
          <w:szCs w:val="22"/>
          <w:color w:val="auto"/>
        </w:rPr>
        <w:t>. This Agreement may not be altered, changed or amended, except by an instrument in writing signed by the parties hereto.</w:t>
      </w:r>
    </w:p>
    <w:p>
      <w:pPr>
        <w:spacing w:after="0" w:line="143" w:lineRule="exact"/>
        <w:rPr>
          <w:rFonts w:ascii="Times New Roman" w:cs="Times New Roman" w:eastAsia="Times New Roman" w:hAnsi="Times New Roman"/>
          <w:sz w:val="22"/>
          <w:szCs w:val="22"/>
          <w:color w:val="auto"/>
        </w:rPr>
      </w:pPr>
    </w:p>
    <w:p>
      <w:pPr>
        <w:ind w:left="-20" w:right="20" w:firstLine="872"/>
        <w:spacing w:after="0" w:line="253" w:lineRule="auto"/>
        <w:tabs>
          <w:tab w:leader="none" w:pos="131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78" w:lineRule="exact"/>
        <w:rPr>
          <w:rFonts w:ascii="Times New Roman" w:cs="Times New Roman" w:eastAsia="Times New Roman" w:hAnsi="Times New Roman"/>
          <w:sz w:val="22"/>
          <w:szCs w:val="22"/>
          <w:color w:val="auto"/>
        </w:rPr>
      </w:pPr>
    </w:p>
    <w:p>
      <w:pPr>
        <w:ind w:left="-20" w:right="640" w:firstLine="872"/>
        <w:spacing w:after="0" w:line="271"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substantive laws of the State of Maryland, without regard to its principles of conflicts of laws.</w:t>
      </w:r>
    </w:p>
    <w:p>
      <w:pPr>
        <w:spacing w:after="0" w:line="157" w:lineRule="exact"/>
        <w:rPr>
          <w:rFonts w:ascii="Times New Roman" w:cs="Times New Roman" w:eastAsia="Times New Roman" w:hAnsi="Times New Roman"/>
          <w:sz w:val="22"/>
          <w:szCs w:val="22"/>
          <w:color w:val="auto"/>
        </w:rPr>
      </w:pPr>
    </w:p>
    <w:p>
      <w:pPr>
        <w:ind w:left="-20" w:right="20" w:firstLine="872"/>
        <w:spacing w:after="0" w:line="253" w:lineRule="auto"/>
        <w:tabs>
          <w:tab w:leader="none" w:pos="127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To the Company: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40" w:top="1440" w:right="359" w:bottom="1440" w:gutter="0" w:footer="0" w:header="0"/>
        </w:sectPr>
      </w:pPr>
    </w:p>
    <w:bookmarkStart w:id="70" w:name="page71"/>
    <w:bookmarkEnd w:id="70"/>
    <w:p>
      <w:pPr>
        <w:spacing w:after="0" w:line="200" w:lineRule="exact"/>
        <w:rPr>
          <w:sz w:val="20"/>
          <w:szCs w:val="20"/>
          <w:color w:val="auto"/>
        </w:rPr>
      </w:pP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Frederick, MD 21703</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To the Consultant:</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Metin Kurtoglu, M.D., Ph.D.</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6" w:lineRule="exact"/>
        <w:rPr>
          <w:sz w:val="20"/>
          <w:szCs w:val="20"/>
          <w:color w:val="auto"/>
        </w:rPr>
      </w:pPr>
    </w:p>
    <w:p>
      <w:pPr>
        <w:ind w:left="-40" w:firstLine="872"/>
        <w:spacing w:after="0" w:line="250" w:lineRule="auto"/>
        <w:tabs>
          <w:tab w:leader="none" w:pos="134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Consultant recognizes that money damages alone would not adequately compensate the Company in the event of breach by the Consultant of this Agreement, and the Consultant therefore agrees that, in addition to all other remedies available to the Company at law, in equity or otherwise, the Company shall be entitled to injunctive relief for the enforcement hereof. All rights and remedies hereunder are cumulative and are in addition to and not exclusive of any other rights and remedies available at law, in equity, by agreement or otherwise.</w:t>
      </w:r>
    </w:p>
    <w:p>
      <w:pPr>
        <w:spacing w:after="0" w:line="180" w:lineRule="exact"/>
        <w:rPr>
          <w:rFonts w:ascii="Times New Roman" w:cs="Times New Roman" w:eastAsia="Times New Roman" w:hAnsi="Times New Roman"/>
          <w:sz w:val="22"/>
          <w:szCs w:val="22"/>
          <w:color w:val="auto"/>
        </w:rPr>
      </w:pPr>
    </w:p>
    <w:p>
      <w:pPr>
        <w:ind w:left="-40" w:right="180" w:firstLine="872"/>
        <w:spacing w:after="0" w:line="249" w:lineRule="auto"/>
        <w:tabs>
          <w:tab w:leader="none" w:pos="12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Validity</w:t>
      </w:r>
      <w:r>
        <w:rPr>
          <w:rFonts w:ascii="Times New Roman" w:cs="Times New Roman" w:eastAsia="Times New Roman" w:hAnsi="Times New Roman"/>
          <w:sz w:val="22"/>
          <w:szCs w:val="22"/>
          <w:color w:val="auto"/>
        </w:rPr>
        <w:t>. Notwithstanding the termination of the Consultant’s relationship with the Company (whether pursuant to Section 4 or otherwise), the Consultant’s covenants and obligations set forth in Sections 6, 7, 9, 10 and 11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13(h), any invalid, illegal or unenforceable provision of this Agreement shall be severable, and after any such severance, all other provisions hereof shall remain in full force and effect.</w:t>
      </w:r>
    </w:p>
    <w:p>
      <w:pPr>
        <w:spacing w:after="0" w:line="183" w:lineRule="exact"/>
        <w:rPr>
          <w:rFonts w:ascii="Times New Roman" w:cs="Times New Roman" w:eastAsia="Times New Roman" w:hAnsi="Times New Roman"/>
          <w:sz w:val="22"/>
          <w:szCs w:val="22"/>
          <w:color w:val="auto"/>
        </w:rPr>
      </w:pPr>
    </w:p>
    <w:p>
      <w:pPr>
        <w:ind w:left="-40" w:right="40" w:firstLine="872"/>
        <w:spacing w:after="0" w:line="251" w:lineRule="auto"/>
        <w:tabs>
          <w:tab w:leader="none" w:pos="12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60"/>
          </w:cols>
          <w:pgMar w:left="360" w:top="1440" w:right="379" w:bottom="1440" w:gutter="0" w:footer="0" w:header="0"/>
        </w:sectPr>
      </w:pPr>
    </w:p>
    <w:bookmarkStart w:id="71" w:name="page72"/>
    <w:bookmarkEnd w:id="71"/>
    <w:p>
      <w:pPr>
        <w:spacing w:after="0" w:line="200" w:lineRule="exact"/>
        <w:rPr>
          <w:sz w:val="20"/>
          <w:szCs w:val="20"/>
          <w:color w:val="auto"/>
        </w:rPr>
      </w:pPr>
    </w:p>
    <w:p>
      <w:pPr>
        <w:spacing w:after="0" w:line="255" w:lineRule="exact"/>
        <w:rPr>
          <w:sz w:val="20"/>
          <w:szCs w:val="20"/>
          <w:color w:val="auto"/>
        </w:rPr>
      </w:pPr>
    </w:p>
    <w:p>
      <w:pPr>
        <w:ind w:left="1300" w:hanging="428"/>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 of Interest</w:t>
      </w:r>
      <w:r>
        <w:rPr>
          <w:rFonts w:ascii="Times New Roman" w:cs="Times New Roman" w:eastAsia="Times New Roman" w:hAnsi="Times New Roman"/>
          <w:sz w:val="22"/>
          <w:szCs w:val="22"/>
          <w:color w:val="auto"/>
        </w:rPr>
        <w:t>” shall mean RNA cell therapy and therapeutic applications.</w:t>
      </w:r>
    </w:p>
    <w:p>
      <w:pPr>
        <w:spacing w:after="0" w:line="233"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 individual, a corporation, an association, a partnership, an estate, a trust and any other entity or organization.</w:t>
      </w:r>
    </w:p>
    <w:p>
      <w:pPr>
        <w:spacing w:after="0" w:line="158" w:lineRule="exact"/>
        <w:rPr>
          <w:sz w:val="20"/>
          <w:szCs w:val="20"/>
          <w:color w:val="auto"/>
        </w:rPr>
      </w:pPr>
    </w:p>
    <w:p>
      <w:pPr>
        <w:ind w:firstLine="872"/>
        <w:spacing w:after="0" w:line="271" w:lineRule="auto"/>
        <w:tabs>
          <w:tab w:leader="none" w:pos="13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all of which together shall constitute one and the same Agreement.</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60"/>
          </w:cols>
          <w:pgMar w:left="320" w:top="1440" w:right="419" w:bottom="1440" w:gutter="0" w:footer="0" w:header="0"/>
        </w:sectPr>
      </w:pPr>
    </w:p>
    <w:bookmarkStart w:id="72" w:name="page73"/>
    <w:bookmarkEnd w:id="72"/>
    <w:p>
      <w:pPr>
        <w:spacing w:after="0" w:line="200" w:lineRule="exact"/>
        <w:rPr>
          <w:sz w:val="20"/>
          <w:szCs w:val="20"/>
          <w:color w:val="auto"/>
        </w:rPr>
      </w:pPr>
    </w:p>
    <w:p>
      <w:pPr>
        <w:spacing w:after="0" w:line="255" w:lineRule="exact"/>
        <w:rPr>
          <w:sz w:val="20"/>
          <w:szCs w:val="20"/>
          <w:color w:val="auto"/>
        </w:rPr>
      </w:pPr>
    </w:p>
    <w:p>
      <w:pPr>
        <w:ind w:firstLine="21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Consulting Agreement to be executed as an agreement under seal as of the date first written above.</w:t>
      </w:r>
    </w:p>
    <w:p>
      <w:pPr>
        <w:spacing w:after="0" w:line="17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Carsten Brunn, Ph.D._</w:t>
      </w:r>
      <w:r>
        <w:rPr>
          <w:rFonts w:ascii="Times New Roman" w:cs="Times New Roman" w:eastAsia="Times New Roman" w:hAnsi="Times New Roman"/>
          <w:sz w:val="22"/>
          <w:szCs w:val="22"/>
          <w:color w:val="auto"/>
        </w:rPr>
        <w:t>____________</w:t>
      </w:r>
    </w:p>
    <w:p>
      <w:pPr>
        <w:spacing w:after="0" w:line="28" w:lineRule="exact"/>
        <w:rPr>
          <w:sz w:val="20"/>
          <w:szCs w:val="20"/>
          <w:color w:val="auto"/>
        </w:rPr>
      </w:pPr>
    </w:p>
    <w:p>
      <w:pPr>
        <w:ind w:left="1520"/>
        <w:spacing w:after="0"/>
        <w:tabs>
          <w:tab w:leader="none" w:pos="23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Carsten Brunn, Ph.D.</w:t>
      </w:r>
    </w:p>
    <w:p>
      <w:pPr>
        <w:spacing w:after="0" w:line="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/s/ Metin Kurtoglu,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wp:posOffset>
            </wp:positionV>
            <wp:extent cx="20345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b w:val="1"/>
          <w:bCs w:val="1"/>
          <w:color w:val="auto"/>
        </w:rPr>
        <w:t>Metin Kurtoglu, M.D.,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60"/>
          </w:cols>
          <w:pgMar w:left="320" w:top="1440" w:right="419" w:bottom="1440" w:gutter="0" w:footer="0" w:header="0"/>
        </w:sectPr>
      </w:pPr>
    </w:p>
    <w:bookmarkStart w:id="73" w:name="page74"/>
    <w:bookmarkEnd w:id="73"/>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20"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Consulting Services.</w:t>
      </w:r>
    </w:p>
    <w:p>
      <w:pPr>
        <w:spacing w:after="0" w:line="23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The Consultant shall provide such consulting services as the Company reasonably requests in connection with the operation of the Company’s business. Without limiting the generality of the foregoing, the Consultant shall be required on an as-needed basis to:</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Provide general consulting services, upon request, related to:</w:t>
      </w:r>
    </w:p>
    <w:p>
      <w:pPr>
        <w:spacing w:after="0" w:line="220" w:lineRule="exact"/>
        <w:rPr>
          <w:sz w:val="20"/>
          <w:szCs w:val="20"/>
          <w:color w:val="auto"/>
        </w:rPr>
      </w:pPr>
    </w:p>
    <w:p>
      <w:pPr>
        <w:ind w:left="2280" w:hanging="652"/>
        <w:spacing w:after="0"/>
        <w:tabs>
          <w:tab w:leader="none" w:pos="2280" w:val="left"/>
        </w:tabs>
        <w:numPr>
          <w:ilvl w:val="1"/>
          <w:numId w:val="46"/>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Manufacturing Science and Technology;</w:t>
      </w:r>
    </w:p>
    <w:p>
      <w:pPr>
        <w:spacing w:after="0" w:line="241" w:lineRule="exact"/>
        <w:rPr>
          <w:rFonts w:ascii="Courier New" w:cs="Courier New" w:eastAsia="Courier New" w:hAnsi="Courier New"/>
          <w:sz w:val="22"/>
          <w:szCs w:val="22"/>
          <w:color w:val="auto"/>
        </w:rPr>
      </w:pPr>
    </w:p>
    <w:p>
      <w:pPr>
        <w:ind w:left="2280" w:hanging="652"/>
        <w:spacing w:after="0"/>
        <w:tabs>
          <w:tab w:leader="none" w:pos="2280" w:val="left"/>
        </w:tabs>
        <w:numPr>
          <w:ilvl w:val="1"/>
          <w:numId w:val="46"/>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Intellectual Property and related strategy;</w:t>
      </w:r>
    </w:p>
    <w:p>
      <w:pPr>
        <w:spacing w:after="0" w:line="228" w:lineRule="exact"/>
        <w:rPr>
          <w:rFonts w:ascii="Courier New" w:cs="Courier New" w:eastAsia="Courier New" w:hAnsi="Courier New"/>
          <w:sz w:val="22"/>
          <w:szCs w:val="22"/>
          <w:color w:val="auto"/>
        </w:rPr>
      </w:pPr>
    </w:p>
    <w:p>
      <w:pPr>
        <w:ind w:left="2280" w:hanging="652"/>
        <w:spacing w:after="0"/>
        <w:tabs>
          <w:tab w:leader="none" w:pos="2280" w:val="left"/>
        </w:tabs>
        <w:numPr>
          <w:ilvl w:val="1"/>
          <w:numId w:val="46"/>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Manufacturing Operations;</w:t>
      </w:r>
    </w:p>
    <w:p>
      <w:pPr>
        <w:spacing w:after="0" w:line="228" w:lineRule="exact"/>
        <w:rPr>
          <w:rFonts w:ascii="Courier New" w:cs="Courier New" w:eastAsia="Courier New" w:hAnsi="Courier New"/>
          <w:sz w:val="22"/>
          <w:szCs w:val="22"/>
          <w:color w:val="auto"/>
        </w:rPr>
      </w:pPr>
    </w:p>
    <w:p>
      <w:pPr>
        <w:ind w:left="2280" w:hanging="652"/>
        <w:spacing w:after="0"/>
        <w:tabs>
          <w:tab w:leader="none" w:pos="2280" w:val="left"/>
        </w:tabs>
        <w:numPr>
          <w:ilvl w:val="1"/>
          <w:numId w:val="46"/>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General scientific and technical issues and operations;</w:t>
      </w:r>
    </w:p>
    <w:p>
      <w:pPr>
        <w:spacing w:after="0" w:line="228" w:lineRule="exact"/>
        <w:rPr>
          <w:rFonts w:ascii="Courier New" w:cs="Courier New" w:eastAsia="Courier New" w:hAnsi="Courier New"/>
          <w:sz w:val="22"/>
          <w:szCs w:val="22"/>
          <w:color w:val="auto"/>
        </w:rPr>
      </w:pPr>
    </w:p>
    <w:p>
      <w:pPr>
        <w:ind w:left="2280" w:hanging="652"/>
        <w:spacing w:after="0"/>
        <w:tabs>
          <w:tab w:leader="none" w:pos="2280" w:val="left"/>
        </w:tabs>
        <w:numPr>
          <w:ilvl w:val="1"/>
          <w:numId w:val="46"/>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Regulatory strategy.</w:t>
      </w:r>
    </w:p>
    <w:p>
      <w:pPr>
        <w:spacing w:after="0" w:line="200" w:lineRule="exact"/>
        <w:rPr>
          <w:rFonts w:ascii="Courier New" w:cs="Courier New" w:eastAsia="Courier New" w:hAnsi="Courier New"/>
          <w:sz w:val="22"/>
          <w:szCs w:val="22"/>
          <w:color w:val="auto"/>
        </w:rPr>
      </w:pPr>
    </w:p>
    <w:p>
      <w:pPr>
        <w:spacing w:after="0" w:line="200" w:lineRule="exact"/>
        <w:rPr>
          <w:rFonts w:ascii="Courier New" w:cs="Courier New" w:eastAsia="Courier New" w:hAnsi="Courier New"/>
          <w:sz w:val="22"/>
          <w:szCs w:val="22"/>
          <w:color w:val="auto"/>
        </w:rPr>
      </w:pPr>
    </w:p>
    <w:p>
      <w:pPr>
        <w:spacing w:after="0" w:line="287" w:lineRule="exact"/>
        <w:rPr>
          <w:rFonts w:ascii="Courier New" w:cs="Courier New" w:eastAsia="Courier New" w:hAnsi="Courier New"/>
          <w:sz w:val="22"/>
          <w:szCs w:val="22"/>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w:t>
      </w:r>
    </w:p>
    <w:p>
      <w:pPr>
        <w:spacing w:after="0" w:line="220"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22"/>
          <w:szCs w:val="22"/>
          <w:color w:val="auto"/>
        </w:rPr>
        <w:t>Consultant will receive no additional cash compensation for providing Consulting services. Consultant will provide the above-services in connection with the “Separation Agreement, and shall continue to provide the above-consulting services on an as-needed and requested basis for as long as Consultant continues to receive separation benefits under the Separation Agreement. The Consultant’s services under this Agreement shall constitute continued service under the Company options previously granted to Consultant, each of which continue to be governed by the terms and conditions of the applicable award agreement and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40" w:right="3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Carsten Brunn, Ph.D., certify that:</w:t>
      </w:r>
    </w:p>
    <w:p>
      <w:pPr>
        <w:spacing w:after="0" w:line="225"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Cartesian Therapeutics,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401"/>
        <w:spacing w:after="0" w:line="266" w:lineRule="auto"/>
        <w:tabs>
          <w:tab w:leader="none" w:pos="127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401"/>
        <w:spacing w:after="0" w:line="312" w:lineRule="auto"/>
        <w:tabs>
          <w:tab w:leader="none" w:pos="127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20" w:hanging="401"/>
        <w:spacing w:after="0" w:line="266" w:lineRule="auto"/>
        <w:tabs>
          <w:tab w:leader="none" w:pos="128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401"/>
        <w:spacing w:after="0" w:line="282" w:lineRule="auto"/>
        <w:tabs>
          <w:tab w:leader="none" w:pos="127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860" w:val="left"/>
        </w:tabs>
        <w:rPr>
          <w:sz w:val="20"/>
          <w:szCs w:val="20"/>
          <w:color w:val="auto"/>
        </w:rPr>
      </w:pPr>
      <w:r>
        <w:rPr>
          <w:rFonts w:ascii="Times New Roman" w:cs="Times New Roman" w:eastAsia="Times New Roman" w:hAnsi="Times New Roman"/>
          <w:sz w:val="18"/>
          <w:szCs w:val="18"/>
          <w:color w:val="2C2C2C"/>
        </w:rPr>
        <w:t>May 8, 2025</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203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w:t>
      </w:r>
    </w:p>
    <w:p>
      <w:pPr>
        <w:spacing w:after="0" w:line="23"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Blaine Davis, certify that:</w:t>
      </w:r>
    </w:p>
    <w:p>
      <w:pPr>
        <w:spacing w:after="0" w:line="225"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Cartesian Therapeutics, Inc.;</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401"/>
        <w:spacing w:after="0" w:line="266" w:lineRule="auto"/>
        <w:tabs>
          <w:tab w:leader="none" w:pos="12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401"/>
        <w:spacing w:after="0" w:line="312" w:lineRule="auto"/>
        <w:tabs>
          <w:tab w:leader="none" w:pos="127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20" w:hanging="401"/>
        <w:spacing w:after="0" w:line="266" w:lineRule="auto"/>
        <w:tabs>
          <w:tab w:leader="none" w:pos="12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401"/>
        <w:spacing w:after="0" w:line="282" w:lineRule="auto"/>
        <w:tabs>
          <w:tab w:leader="none" w:pos="127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980" w:val="left"/>
        </w:tabs>
        <w:rPr>
          <w:sz w:val="20"/>
          <w:szCs w:val="20"/>
          <w:color w:val="auto"/>
        </w:rPr>
      </w:pPr>
      <w:r>
        <w:rPr>
          <w:rFonts w:ascii="Times New Roman" w:cs="Times New Roman" w:eastAsia="Times New Roman" w:hAnsi="Times New Roman"/>
          <w:sz w:val="18"/>
          <w:szCs w:val="18"/>
          <w:color w:val="2C2C2C"/>
        </w:rPr>
        <w:t>May 8, 2025</w:t>
      </w:r>
      <w:r>
        <w:rPr>
          <w:sz w:val="20"/>
          <w:szCs w:val="20"/>
          <w:color w:val="auto"/>
        </w:rPr>
        <w:tab/>
      </w:r>
      <w:r>
        <w:rPr>
          <w:rFonts w:ascii="Times New Roman" w:cs="Times New Roman" w:eastAsia="Times New Roman" w:hAnsi="Times New Roman"/>
          <w:sz w:val="17"/>
          <w:szCs w:val="17"/>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343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Blaine Davis</w:t>
      </w:r>
    </w:p>
    <w:p>
      <w:pPr>
        <w:spacing w:after="0" w:line="2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76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Cartesian Therapeutics, Inc. (the “Company”) for the period ended March 31, 2025 as filed with the Securities and Exchange Commission on the date hereof (the “Report”), each of the undersigned officers of the Company hereby certifies, pursuant to 18 U.S.C. Section 1350, that to his knowledge:</w:t>
      </w:r>
    </w:p>
    <w:p>
      <w:pPr>
        <w:spacing w:after="0" w:line="68" w:lineRule="exact"/>
        <w:rPr>
          <w:sz w:val="20"/>
          <w:szCs w:val="20"/>
          <w:color w:val="auto"/>
        </w:rPr>
      </w:pPr>
    </w:p>
    <w:p>
      <w:pPr>
        <w:ind w:left="660" w:right="120" w:hanging="328"/>
        <w:spacing w:after="0" w:line="282"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2025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May 8, 2025</w:t>
            </w:r>
          </w:p>
        </w:tc>
        <w:tc>
          <w:tcPr>
            <w:tcW w:w="4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6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0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May 8, 2025</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Blaine Davis</w:t>
            </w: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20" w:type="dxa"/>
            <w:vAlign w:val="bottom"/>
          </w:tcPr>
          <w:p>
            <w:pPr>
              <w:spacing w:after="0"/>
              <w:rPr>
                <w:sz w:val="18"/>
                <w:szCs w:val="18"/>
                <w:color w:val="auto"/>
              </w:rPr>
            </w:pPr>
          </w:p>
        </w:tc>
      </w:tr>
      <w:tr>
        <w:trPr>
          <w:trHeight w:val="230"/>
        </w:trPr>
        <w:tc>
          <w:tcPr>
            <w:tcW w:w="6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3"/>
    </w:lvl>
  </w:abstractNum>
  <w:abstractNum w:abstractNumId="7">
    <w:nsid w:val="836C40E"/>
    <w:multiLevelType w:val="hybridMultilevel"/>
    <w:lvl w:ilvl="0">
      <w:lvlJc w:val="left"/>
      <w:lvlText w:val="%1."/>
      <w:numFmt w:val="decimal"/>
      <w:start w:val="15"/>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3"/>
    </w:lvl>
    <w:lvl w:ilvl="1">
      <w:lvlJc w:val="left"/>
      <w:lvlText w:val="(%2)"/>
      <w:numFmt w:val="lowerLetter"/>
      <w:start w:val="1"/>
    </w:lvl>
  </w:abstractNum>
  <w:abstractNum w:abstractNumId="16">
    <w:nsid w:val="4516DDE9"/>
    <w:multiLevelType w:val="hybridMultilevel"/>
    <w:lvl w:ilvl="0">
      <w:lvlJc w:val="left"/>
      <w:lvlText w:val="%1."/>
      <w:numFmt w:val="decimal"/>
      <w:start w:val="4"/>
    </w:lvl>
    <w:lvl w:ilvl="1">
      <w:lvlJc w:val="left"/>
      <w:lvlText w:val="(%2)"/>
      <w:numFmt w:val="lowerLetter"/>
      <w:start w:val="1"/>
    </w:lvl>
  </w:abstractNum>
  <w:abstractNum w:abstractNumId="17">
    <w:nsid w:val="3006C83E"/>
    <w:multiLevelType w:val="hybridMultilevel"/>
    <w:lvl w:ilvl="0">
      <w:lvlJc w:val="left"/>
      <w:lvlText w:val="(%1)"/>
      <w:numFmt w:val="lowerLetter"/>
      <w:start w:val="2"/>
    </w:lvl>
  </w:abstractNum>
  <w:abstractNum w:abstractNumId="18">
    <w:nsid w:val="614FD4A1"/>
    <w:multiLevelType w:val="hybridMultilevel"/>
    <w:lvl w:ilvl="0">
      <w:lvlJc w:val="left"/>
      <w:lvlText w:val="%1"/>
      <w:numFmt w:val="lowerLetter"/>
      <w:start w:val="1"/>
    </w:lvl>
    <w:lvl w:ilvl="1">
      <w:lvlJc w:val="left"/>
      <w:lvlText w:val="%2."/>
      <w:numFmt w:val="decimal"/>
      <w:start w:val="6"/>
    </w:lvl>
    <w:lvl w:ilvl="2">
      <w:lvlJc w:val="left"/>
      <w:lvlText w:val="%3."/>
      <w:numFmt w:val="decimal"/>
      <w:start w:val="7"/>
    </w:lvl>
    <w:lvl w:ilvl="3">
      <w:lvlJc w:val="left"/>
      <w:lvlText w:val="(%4)"/>
      <w:numFmt w:val="lowerLetter"/>
      <w:start w:val="1"/>
    </w:lvl>
  </w:abstractNum>
  <w:abstractNum w:abstractNumId="19">
    <w:nsid w:val="419AC241"/>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0">
    <w:nsid w:val="5577F8E1"/>
    <w:multiLevelType w:val="hybridMultilevel"/>
    <w:lvl w:ilvl="0">
      <w:lvlJc w:val="left"/>
      <w:lvlText w:val="(%1)"/>
      <w:numFmt w:val="lowerRoman"/>
      <w:start w:val="1"/>
    </w:lvl>
  </w:abstractNum>
  <w:abstractNum w:abstractNumId="21">
    <w:nsid w:val="440BADFC"/>
    <w:multiLevelType w:val="hybridMultilevel"/>
    <w:lvl w:ilvl="0">
      <w:lvlJc w:val="left"/>
      <w:lvlText w:val="%1."/>
      <w:numFmt w:val="decimal"/>
      <w:start w:val="8"/>
    </w:lvl>
  </w:abstractNum>
  <w:abstractNum w:abstractNumId="22">
    <w:nsid w:val="5072367"/>
    <w:multiLevelType w:val="hybridMultilevel"/>
    <w:lvl w:ilvl="0">
      <w:lvlJc w:val="left"/>
      <w:lvlText w:val="%1."/>
      <w:numFmt w:val="upperLetter"/>
      <w:start w:val="1"/>
    </w:lvl>
    <w:lvl w:ilvl="1">
      <w:lvlJc w:val="left"/>
      <w:lvlText w:val="(%2)"/>
      <w:numFmt w:val="lowerLetter"/>
      <w:start w:val="1"/>
    </w:lvl>
  </w:abstractNum>
  <w:abstractNum w:abstractNumId="23">
    <w:nsid w:val="3804823E"/>
    <w:multiLevelType w:val="hybridMultilevel"/>
    <w:lvl w:ilvl="0">
      <w:lvlJc w:val="left"/>
      <w:lvlText w:val="%1."/>
      <w:numFmt w:val="decimal"/>
      <w:start w:val="9"/>
    </w:lvl>
  </w:abstractNum>
  <w:abstractNum w:abstractNumId="24">
    <w:nsid w:val="77465F01"/>
    <w:multiLevelType w:val="hybridMultilevel"/>
    <w:lvl w:ilvl="0">
      <w:lvlJc w:val="left"/>
      <w:lvlText w:val="%1."/>
      <w:numFmt w:val="decimal"/>
      <w:start w:val="10"/>
    </w:lvl>
  </w:abstractNum>
  <w:abstractNum w:abstractNumId="25">
    <w:nsid w:val="7724C67E"/>
    <w:multiLevelType w:val="hybridMultilevel"/>
    <w:lvl w:ilvl="0">
      <w:lvlJc w:val="left"/>
      <w:lvlText w:val="(%1)"/>
      <w:numFmt w:val="decimal"/>
      <w:start w:val="10"/>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1."/>
      <w:numFmt w:val="decimal"/>
      <w:start w:val="1"/>
    </w:lvl>
    <w:lvl w:ilvl="1">
      <w:lvlJc w:val="left"/>
      <w:lvlText w:val="(%2)"/>
      <w:numFmt w:val="lowerLetter"/>
      <w:start w:val="1"/>
    </w:lvl>
  </w:abstractNum>
  <w:abstractNum w:abstractNumId="28">
    <w:nsid w:val="5E884A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9">
    <w:nsid w:val="51EAD36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0">
    <w:nsid w:val="2D517796"/>
    <w:multiLevelType w:val="hybridMultilevel"/>
    <w:lvl w:ilvl="0">
      <w:lvlJc w:val="left"/>
      <w:lvlText w:val="(%1)"/>
      <w:numFmt w:val="lowerLetter"/>
      <w:start w:val="6"/>
    </w:lvl>
  </w:abstractNum>
  <w:abstractNum w:abstractNumId="31">
    <w:nsid w:val="580BD78F"/>
    <w:multiLevelType w:val="hybridMultilevel"/>
    <w:lvl w:ilvl="0">
      <w:lvlJc w:val="left"/>
      <w:lvlText w:val="%1."/>
      <w:numFmt w:val="decimal"/>
      <w:start w:val="4"/>
    </w:lvl>
  </w:abstractNum>
  <w:abstractNum w:abstractNumId="32">
    <w:nsid w:val="153EA438"/>
    <w:multiLevelType w:val="hybridMultilevel"/>
    <w:lvl w:ilvl="0">
      <w:lvlJc w:val="left"/>
      <w:lvlText w:val="%1"/>
      <w:numFmt w:val="lowerLetter"/>
      <w:start w:val="1"/>
    </w:lvl>
    <w:lvl w:ilvl="1">
      <w:lvlJc w:val="left"/>
      <w:lvlText w:val="%2"/>
      <w:numFmt w:val="decimal"/>
      <w:start w:val="1"/>
    </w:lvl>
    <w:lvl w:ilvl="2">
      <w:lvlJc w:val="left"/>
      <w:lvlText w:val="%3."/>
      <w:numFmt w:val="decimal"/>
      <w:start w:val="5"/>
    </w:lvl>
  </w:abstractNum>
  <w:abstractNum w:abstractNumId="33">
    <w:nsid w:val="3855585C"/>
    <w:multiLevelType w:val="hybridMultilevel"/>
    <w:lvl w:ilvl="0">
      <w:lvlJc w:val="left"/>
      <w:lvlText w:val="%1"/>
      <w:numFmt w:val="lowerLetter"/>
      <w:start w:val="1"/>
    </w:lvl>
    <w:lvl w:ilvl="1">
      <w:lvlJc w:val="left"/>
      <w:lvlText w:val="%2."/>
      <w:numFmt w:val="decimal"/>
      <w:start w:val="6"/>
    </w:lvl>
    <w:lvl w:ilvl="2">
      <w:lvlJc w:val="left"/>
      <w:lvlText w:val="%3"/>
      <w:numFmt w:val="decimal"/>
      <w:start w:val="1"/>
    </w:lvl>
  </w:abstractNum>
  <w:abstractNum w:abstractNumId="34">
    <w:nsid w:val="70A64E2A"/>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35">
    <w:nsid w:val="6A2342EC"/>
    <w:multiLevelType w:val="hybridMultilevel"/>
    <w:lvl w:ilvl="0">
      <w:lvlJc w:val="left"/>
      <w:lvlText w:val="%1."/>
      <w:numFmt w:val="decimal"/>
      <w:start w:val="1"/>
    </w:lvl>
    <w:lvl w:ilvl="1">
      <w:lvlJc w:val="left"/>
      <w:lvlText w:val="(%2)"/>
      <w:numFmt w:val="lowerLetter"/>
      <w:start w:val="1"/>
    </w:lvl>
  </w:abstractNum>
  <w:abstractNum w:abstractNumId="36">
    <w:nsid w:val="2A487CB0"/>
    <w:multiLevelType w:val="hybridMultilevel"/>
    <w:lvl w:ilvl="0">
      <w:lvlJc w:val="left"/>
      <w:lvlText w:val="%1."/>
      <w:numFmt w:val="decimal"/>
      <w:start w:val="5"/>
    </w:lvl>
    <w:lvl w:ilvl="1">
      <w:lvlJc w:val="left"/>
      <w:lvlText w:val="(%2)"/>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decimal"/>
      <w:start w:val="7"/>
    </w:lvl>
    <w:lvl w:ilvl="1">
      <w:lvlJc w:val="left"/>
      <w:lvlText w:val="(%2)"/>
      <w:numFmt w:val="lowerLetter"/>
      <w:start w:val="1"/>
    </w:lvl>
  </w:abstractNum>
  <w:abstractNum w:abstractNumId="39">
    <w:nsid w:val="2CD89A32"/>
    <w:multiLevelType w:val="hybridMultilevel"/>
    <w:lvl w:ilvl="0">
      <w:lvlJc w:val="left"/>
      <w:lvlText w:val="%1."/>
      <w:numFmt w:val="decimal"/>
      <w:start w:val="9"/>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7"/>
    </w:lvl>
  </w:abstractNum>
  <w:abstractNum w:abstractNumId="42">
    <w:nsid w:val="4B588F54"/>
    <w:multiLevelType w:val="hybridMultilevel"/>
    <w:lvl w:ilvl="0">
      <w:lvlJc w:val="left"/>
      <w:lvlText w:val="(%1)"/>
      <w:numFmt w:val="lowerLetter"/>
      <w:start w:val="10"/>
    </w:lvl>
  </w:abstractNum>
  <w:abstractNum w:abstractNumId="43">
    <w:nsid w:val="542289EC"/>
    <w:multiLevelType w:val="hybridMultilevel"/>
    <w:lvl w:ilvl="0">
      <w:lvlJc w:val="left"/>
      <w:lvlText w:val="(%1)"/>
      <w:numFmt w:val="lowerLetter"/>
      <w:start w:val="1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o"/>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59" Type="http://schemas.openxmlformats.org/officeDocument/2006/relationships/hyperlink" Target="https://www.sec.gov/Archives/edgar/data/1453687/000119312523275461/d869185dex21.htm" TargetMode="External"/><Relationship Id="rId60" Type="http://schemas.openxmlformats.org/officeDocument/2006/relationships/hyperlink" Target="https://www.sec.gov/Archives/edgar/data/1453687/000110465916129891/a16-14002_1ex3d1.htm" TargetMode="External"/><Relationship Id="rId61" Type="http://schemas.openxmlformats.org/officeDocument/2006/relationships/hyperlink" Target="https://www.sec.gov/Archives/edgar/data/0001453687/000145368722000109/exhibit31_charteramendment.htm" TargetMode="External"/><Relationship Id="rId62" Type="http://schemas.openxmlformats.org/officeDocument/2006/relationships/hyperlink" Target="https://www.sec.gov/Archives/edgar/data/1453687/000119312523275461/d869185dex33.htm" TargetMode="External"/><Relationship Id="rId63" Type="http://schemas.openxmlformats.org/officeDocument/2006/relationships/hyperlink" Target="https://www.sec.gov/Archives/edgar/data/1453687/000145368724000048/exhibit32certificateofamen.htm" TargetMode="External"/><Relationship Id="rId64" Type="http://schemas.openxmlformats.org/officeDocument/2006/relationships/hyperlink" Target="https://www.sec.gov/Archives/edgar/data/1453687/000119312523276086/d549858dex32.htm" TargetMode="External"/><Relationship Id="rId65" Type="http://schemas.openxmlformats.org/officeDocument/2006/relationships/hyperlink" Target="https://www.sec.gov/Archives/edgar/data/1453687/000119312523275461/d869185dex34.htm" TargetMode="External"/><Relationship Id="rId66" Type="http://schemas.openxmlformats.org/officeDocument/2006/relationships/hyperlink" Target="https://www.sec.gov/Archives/edgar/data/1453687/000145368724000048/exhibit31certificateofamen.htm" TargetMode="External"/><Relationship Id="rId67" Type="http://schemas.openxmlformats.org/officeDocument/2006/relationships/hyperlink" Target="https://www.sec.gov/Archives/edgar/data/1453687/000114036124032080/ef2003196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2025-05-08T06:19:58Z</dcterms:created>
  <dcterms:modified xsi:type="dcterms:W3CDTF">2025-05-08T06:19:58Z</dcterms:modified>
</cp:coreProperties>
</file>