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193675</wp:posOffset>
            </wp:positionH>
            <wp:positionV relativeFrom="page">
              <wp:posOffset>553720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527050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48" w:lineRule="exact"/>
        <w:rPr>
          <w:sz w:val="24"/>
          <w:szCs w:val="24"/>
          <w:color w:val="auto"/>
        </w:rPr>
      </w:pPr>
    </w:p>
    <w:p>
      <w:pPr>
        <w:ind w:left="2260" w:hanging="158"/>
        <w:spacing w:after="0"/>
        <w:tabs>
          <w:tab w:leader="none" w:pos="2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00" w:lineRule="exact"/>
        <w:rPr>
          <w:sz w:val="24"/>
          <w:szCs w:val="24"/>
          <w:color w:val="auto"/>
        </w:rPr>
      </w:pPr>
    </w:p>
    <w:p>
      <w:pPr>
        <w:ind w:left="2260" w:hanging="158"/>
        <w:spacing w:after="0"/>
        <w:tabs>
          <w:tab w:leader="none" w:pos="22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22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 to _______</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001-37798</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color w:val="auto"/>
        </w:rPr>
        <w:t>Cartesian Therapeutics, Inc.</w:t>
      </w:r>
    </w:p>
    <w:p>
      <w:pPr>
        <w:spacing w:after="0" w:line="158"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33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920" w:type="dxa"/>
            <w:vAlign w:val="bottom"/>
          </w:tcPr>
          <w:p>
            <w:pPr>
              <w:spacing w:after="0"/>
              <w:rPr>
                <w:sz w:val="16"/>
                <w:szCs w:val="16"/>
                <w:color w:val="auto"/>
              </w:rPr>
            </w:pPr>
          </w:p>
        </w:tc>
      </w:tr>
      <w:tr>
        <w:trPr>
          <w:trHeight w:val="329"/>
        </w:trPr>
        <w:tc>
          <w:tcPr>
            <w:tcW w:w="4020" w:type="dxa"/>
            <w:vAlign w:val="bottom"/>
          </w:tcPr>
          <w:p>
            <w:pPr>
              <w:jc w:val="center"/>
              <w:ind w:left="1269"/>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20" w:type="dxa"/>
            <w:vAlign w:val="bottom"/>
          </w:tcPr>
          <w:p>
            <w:pPr>
              <w:jc w:val="right"/>
              <w:ind w:right="2269"/>
              <w:spacing w:after="0"/>
              <w:rPr>
                <w:sz w:val="20"/>
                <w:szCs w:val="20"/>
                <w:color w:val="auto"/>
              </w:rPr>
            </w:pPr>
            <w:r>
              <w:rPr>
                <w:rFonts w:ascii="Times New Roman" w:cs="Times New Roman" w:eastAsia="Times New Roman" w:hAnsi="Times New Roman"/>
                <w:sz w:val="14"/>
                <w:szCs w:val="14"/>
                <w:b w:val="1"/>
                <w:bCs w:val="1"/>
                <w:color w:val="auto"/>
              </w:rPr>
              <w:t>26-1622110</w:t>
            </w:r>
          </w:p>
        </w:tc>
      </w:tr>
      <w:tr>
        <w:trPr>
          <w:trHeight w:val="22"/>
        </w:trPr>
        <w:tc>
          <w:tcPr>
            <w:tcW w:w="4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r>
      <w:tr>
        <w:trPr>
          <w:trHeight w:val="135"/>
        </w:trPr>
        <w:tc>
          <w:tcPr>
            <w:tcW w:w="4020" w:type="dxa"/>
            <w:vAlign w:val="bottom"/>
          </w:tcPr>
          <w:p>
            <w:pPr>
              <w:jc w:val="center"/>
              <w:ind w:left="1269"/>
              <w:spacing w:after="0" w:line="135" w:lineRule="exact"/>
              <w:rPr>
                <w:sz w:val="20"/>
                <w:szCs w:val="20"/>
                <w:color w:val="auto"/>
              </w:rPr>
            </w:pPr>
            <w:r>
              <w:rPr>
                <w:rFonts w:ascii="Times New Roman" w:cs="Times New Roman" w:eastAsia="Times New Roman" w:hAnsi="Times New Roman"/>
                <w:sz w:val="14"/>
                <w:szCs w:val="14"/>
                <w:color w:val="auto"/>
              </w:rPr>
              <w:t>(State or other jurisdiction</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920" w:type="dxa"/>
            <w:vAlign w:val="bottom"/>
          </w:tcPr>
          <w:p>
            <w:pPr>
              <w:jc w:val="center"/>
              <w:ind w:right="1349"/>
              <w:spacing w:after="0" w:line="135"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4"/>
        </w:trPr>
        <w:tc>
          <w:tcPr>
            <w:tcW w:w="4020" w:type="dxa"/>
            <w:vAlign w:val="bottom"/>
          </w:tcPr>
          <w:p>
            <w:pPr>
              <w:jc w:val="center"/>
              <w:ind w:left="1289"/>
              <w:spacing w:after="0"/>
              <w:rPr>
                <w:sz w:val="20"/>
                <w:szCs w:val="20"/>
                <w:color w:val="auto"/>
              </w:rPr>
            </w:pPr>
            <w:r>
              <w:rPr>
                <w:rFonts w:ascii="Times New Roman" w:cs="Times New Roman" w:eastAsia="Times New Roman" w:hAnsi="Times New Roman"/>
                <w:sz w:val="14"/>
                <w:szCs w:val="14"/>
                <w:color w:val="auto"/>
              </w:rPr>
              <w:t>of incorporation or organization)</w:t>
            </w: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20" w:type="dxa"/>
            <w:vAlign w:val="bottom"/>
          </w:tcPr>
          <w:p>
            <w:pPr>
              <w:spacing w:after="0"/>
              <w:rPr>
                <w:sz w:val="16"/>
                <w:szCs w:val="16"/>
                <w:color w:val="auto"/>
              </w:rPr>
            </w:pPr>
          </w:p>
        </w:tc>
      </w:tr>
      <w:tr>
        <w:trPr>
          <w:trHeight w:val="286"/>
        </w:trPr>
        <w:tc>
          <w:tcPr>
            <w:tcW w:w="4020" w:type="dxa"/>
            <w:vAlign w:val="bottom"/>
          </w:tcPr>
          <w:p>
            <w:pPr>
              <w:jc w:val="center"/>
              <w:ind w:left="1269"/>
              <w:spacing w:after="0"/>
              <w:rPr>
                <w:sz w:val="20"/>
                <w:szCs w:val="20"/>
                <w:color w:val="auto"/>
              </w:rPr>
            </w:pPr>
            <w:r>
              <w:rPr>
                <w:rFonts w:ascii="Times New Roman" w:cs="Times New Roman" w:eastAsia="Times New Roman" w:hAnsi="Times New Roman"/>
                <w:sz w:val="14"/>
                <w:szCs w:val="14"/>
                <w:b w:val="1"/>
                <w:bCs w:val="1"/>
                <w:color w:val="auto"/>
              </w:rPr>
              <w:t>7495 New Horizon Way, Frederick, MD</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20" w:type="dxa"/>
            <w:vAlign w:val="bottom"/>
          </w:tcPr>
          <w:p>
            <w:pPr>
              <w:jc w:val="right"/>
              <w:ind w:right="2429"/>
              <w:spacing w:after="0"/>
              <w:rPr>
                <w:sz w:val="20"/>
                <w:szCs w:val="20"/>
                <w:color w:val="auto"/>
              </w:rPr>
            </w:pPr>
            <w:r>
              <w:rPr>
                <w:rFonts w:ascii="Times New Roman" w:cs="Times New Roman" w:eastAsia="Times New Roman" w:hAnsi="Times New Roman"/>
                <w:sz w:val="14"/>
                <w:szCs w:val="14"/>
                <w:b w:val="1"/>
                <w:bCs w:val="1"/>
                <w:color w:val="auto"/>
              </w:rPr>
              <w:t>21703</w:t>
            </w:r>
          </w:p>
        </w:tc>
      </w:tr>
      <w:tr>
        <w:trPr>
          <w:trHeight w:val="22"/>
        </w:trPr>
        <w:tc>
          <w:tcPr>
            <w:tcW w:w="4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r>
      <w:tr>
        <w:trPr>
          <w:trHeight w:val="175"/>
        </w:trPr>
        <w:tc>
          <w:tcPr>
            <w:tcW w:w="4020" w:type="dxa"/>
            <w:vAlign w:val="bottom"/>
          </w:tcPr>
          <w:p>
            <w:pPr>
              <w:jc w:val="center"/>
              <w:ind w:left="126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920" w:type="dxa"/>
            <w:vAlign w:val="bottom"/>
          </w:tcPr>
          <w:p>
            <w:pPr>
              <w:jc w:val="center"/>
              <w:ind w:right="1349"/>
              <w:spacing w:after="0"/>
              <w:rPr>
                <w:sz w:val="20"/>
                <w:szCs w:val="20"/>
                <w:color w:val="auto"/>
              </w:rPr>
            </w:pPr>
            <w:r>
              <w:rPr>
                <w:rFonts w:ascii="Times New Roman" w:cs="Times New Roman" w:eastAsia="Times New Roman" w:hAnsi="Times New Roman"/>
                <w:sz w:val="14"/>
                <w:szCs w:val="14"/>
                <w:color w:val="auto"/>
              </w:rPr>
              <w:t>(Zip Code)</w:t>
            </w:r>
          </w:p>
        </w:tc>
      </w:tr>
      <w:tr>
        <w:trPr>
          <w:trHeight w:val="378"/>
        </w:trPr>
        <w:tc>
          <w:tcPr>
            <w:tcW w:w="4020" w:type="dxa"/>
            <w:vAlign w:val="bottom"/>
          </w:tcPr>
          <w:p>
            <w:pPr>
              <w:spacing w:after="0"/>
              <w:rPr>
                <w:sz w:val="24"/>
                <w:szCs w:val="24"/>
                <w:color w:val="auto"/>
              </w:rPr>
            </w:pPr>
          </w:p>
        </w:tc>
        <w:tc>
          <w:tcPr>
            <w:tcW w:w="2720" w:type="dxa"/>
            <w:vAlign w:val="bottom"/>
            <w:gridSpan w:val="4"/>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(301) 348-8698</w:t>
            </w:r>
          </w:p>
        </w:tc>
        <w:tc>
          <w:tcPr>
            <w:tcW w:w="62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4020" w:type="dxa"/>
            <w:vAlign w:val="bottom"/>
          </w:tcPr>
          <w:p>
            <w:pPr>
              <w:spacing w:after="0"/>
              <w:rPr>
                <w:sz w:val="24"/>
                <w:szCs w:val="24"/>
                <w:color w:val="auto"/>
              </w:rPr>
            </w:pPr>
          </w:p>
        </w:tc>
        <w:tc>
          <w:tcPr>
            <w:tcW w:w="33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920" w:type="dxa"/>
            <w:vAlign w:val="bottom"/>
          </w:tcPr>
          <w:p>
            <w:pPr>
              <w:spacing w:after="0"/>
              <w:rPr>
                <w:sz w:val="24"/>
                <w:szCs w:val="24"/>
                <w:color w:val="auto"/>
              </w:rPr>
            </w:pPr>
          </w:p>
        </w:tc>
      </w:tr>
      <w:tr>
        <w:trPr>
          <w:trHeight w:val="329"/>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3"/>
        </w:trPr>
        <w:tc>
          <w:tcPr>
            <w:tcW w:w="4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gridSpan w:val="3"/>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r>
      <w:tr>
        <w:trPr>
          <w:trHeight w:val="171"/>
        </w:trPr>
        <w:tc>
          <w:tcPr>
            <w:tcW w:w="4020" w:type="dxa"/>
            <w:vAlign w:val="bottom"/>
            <w:tcBorders>
              <w:left w:val="single" w:sz="8" w:color="auto"/>
              <w:bottom w:val="single" w:sz="8" w:color="auto"/>
            </w:tcBorders>
          </w:tcPr>
          <w:p>
            <w:pPr>
              <w:jc w:val="center"/>
              <w:ind w:left="489"/>
              <w:spacing w:after="0"/>
              <w:rPr>
                <w:sz w:val="20"/>
                <w:szCs w:val="20"/>
                <w:color w:val="auto"/>
              </w:rPr>
            </w:pPr>
            <w:r>
              <w:rPr>
                <w:rFonts w:ascii="Times New Roman" w:cs="Times New Roman" w:eastAsia="Times New Roman" w:hAnsi="Times New Roman"/>
                <w:sz w:val="14"/>
                <w:szCs w:val="14"/>
                <w:color w:val="auto"/>
              </w:rPr>
              <w:t>Title of each class</w:t>
            </w:r>
          </w:p>
        </w:tc>
        <w:tc>
          <w:tcPr>
            <w:tcW w:w="560" w:type="dxa"/>
            <w:vAlign w:val="bottom"/>
            <w:tcBorders>
              <w:bottom w:val="single" w:sz="8" w:color="auto"/>
              <w:right w:val="single" w:sz="8" w:color="auto"/>
            </w:tcBorders>
          </w:tcPr>
          <w:p>
            <w:pPr>
              <w:spacing w:after="0"/>
              <w:rPr>
                <w:sz w:val="14"/>
                <w:szCs w:val="14"/>
                <w:color w:val="auto"/>
              </w:rPr>
            </w:pPr>
          </w:p>
        </w:tc>
        <w:tc>
          <w:tcPr>
            <w:tcW w:w="216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Trading Symbol(s)</w:t>
            </w:r>
          </w:p>
        </w:tc>
        <w:tc>
          <w:tcPr>
            <w:tcW w:w="620" w:type="dxa"/>
            <w:vAlign w:val="bottom"/>
            <w:tcBorders>
              <w:bottom w:val="single" w:sz="8" w:color="auto"/>
            </w:tcBorders>
          </w:tcPr>
          <w:p>
            <w:pPr>
              <w:spacing w:after="0"/>
              <w:rPr>
                <w:sz w:val="14"/>
                <w:szCs w:val="14"/>
                <w:color w:val="auto"/>
              </w:rPr>
            </w:pPr>
          </w:p>
        </w:tc>
        <w:tc>
          <w:tcPr>
            <w:tcW w:w="3920" w:type="dxa"/>
            <w:vAlign w:val="bottom"/>
            <w:tcBorders>
              <w:bottom w:val="single" w:sz="8" w:color="auto"/>
              <w:right w:val="single" w:sz="8" w:color="auto"/>
            </w:tcBorders>
          </w:tcPr>
          <w:p>
            <w:pPr>
              <w:jc w:val="center"/>
              <w:ind w:right="58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1"/>
        </w:trPr>
        <w:tc>
          <w:tcPr>
            <w:tcW w:w="4020" w:type="dxa"/>
            <w:vAlign w:val="bottom"/>
            <w:tcBorders>
              <w:left w:val="single" w:sz="8" w:color="auto"/>
              <w:bottom w:val="single" w:sz="8" w:color="auto"/>
            </w:tcBorders>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Common Stock, $0.0001 par value per share</w:t>
            </w:r>
          </w:p>
        </w:tc>
        <w:tc>
          <w:tcPr>
            <w:tcW w:w="5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8"/>
              </w:rPr>
              <w:t>RNAC</w:t>
            </w:r>
          </w:p>
        </w:tc>
        <w:tc>
          <w:tcPr>
            <w:tcW w:w="620" w:type="dxa"/>
            <w:vAlign w:val="bottom"/>
            <w:tcBorders>
              <w:bottom w:val="single" w:sz="8" w:color="auto"/>
            </w:tcBorders>
          </w:tcPr>
          <w:p>
            <w:pPr>
              <w:spacing w:after="0"/>
              <w:rPr>
                <w:sz w:val="14"/>
                <w:szCs w:val="14"/>
                <w:color w:val="auto"/>
              </w:rPr>
            </w:pPr>
          </w:p>
        </w:tc>
        <w:tc>
          <w:tcPr>
            <w:tcW w:w="3920" w:type="dxa"/>
            <w:vAlign w:val="bottom"/>
            <w:tcBorders>
              <w:bottom w:val="single" w:sz="8" w:color="auto"/>
              <w:right w:val="single" w:sz="8" w:color="auto"/>
            </w:tcBorders>
          </w:tcPr>
          <w:p>
            <w:pPr>
              <w:jc w:val="center"/>
              <w:ind w:right="589"/>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202"/>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43"/>
        </w:trPr>
        <w:tc>
          <w:tcPr>
            <w:tcW w:w="4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gridSpan w:val="3"/>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r>
      <w:tr>
        <w:trPr>
          <w:trHeight w:val="171"/>
        </w:trPr>
        <w:tc>
          <w:tcPr>
            <w:tcW w:w="4020" w:type="dxa"/>
            <w:vAlign w:val="bottom"/>
            <w:tcBorders>
              <w:left w:val="single" w:sz="8" w:color="auto"/>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920" w:type="dxa"/>
            <w:vAlign w:val="bottom"/>
            <w:tcBorders>
              <w:bottom w:val="single" w:sz="8" w:color="auto"/>
              <w:right w:val="single" w:sz="8" w:color="auto"/>
            </w:tcBorders>
          </w:tcPr>
          <w:p>
            <w:pPr>
              <w:spacing w:after="0"/>
              <w:rPr>
                <w:sz w:val="14"/>
                <w:szCs w:val="14"/>
                <w:color w:val="auto"/>
              </w:rPr>
            </w:pPr>
          </w:p>
        </w:tc>
      </w:tr>
      <w:tr>
        <w:trPr>
          <w:trHeight w:val="171"/>
        </w:trPr>
        <w:tc>
          <w:tcPr>
            <w:tcW w:w="4020" w:type="dxa"/>
            <w:vAlign w:val="bottom"/>
            <w:tcBorders>
              <w:left w:val="single" w:sz="8" w:color="auto"/>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center"/>
              <w:ind w:right="660"/>
              <w:spacing w:after="0"/>
              <w:rPr>
                <w:sz w:val="20"/>
                <w:szCs w:val="20"/>
                <w:color w:val="auto"/>
              </w:rPr>
            </w:pPr>
            <w:r>
              <w:rPr>
                <w:rFonts w:ascii="Times New Roman" w:cs="Times New Roman" w:eastAsia="Times New Roman" w:hAnsi="Times New Roman"/>
                <w:sz w:val="14"/>
                <w:szCs w:val="14"/>
                <w:color w:val="auto"/>
              </w:rPr>
              <w:t>Contingent Value Rights</w:t>
            </w:r>
          </w:p>
        </w:tc>
        <w:tc>
          <w:tcPr>
            <w:tcW w:w="3920" w:type="dxa"/>
            <w:vAlign w:val="bottom"/>
            <w:tcBorders>
              <w:bottom w:val="single" w:sz="8" w:color="auto"/>
              <w:right w:val="single" w:sz="8" w:color="auto"/>
            </w:tcBorders>
          </w:tcPr>
          <w:p>
            <w:pPr>
              <w:spacing w:after="0"/>
              <w:rPr>
                <w:sz w:val="14"/>
                <w:szCs w:val="14"/>
                <w:color w:val="auto"/>
              </w:rPr>
            </w:pPr>
          </w:p>
        </w:tc>
      </w:tr>
    </w:tbl>
    <w:p>
      <w:pPr>
        <w:spacing w:after="0" w:line="187" w:lineRule="exact"/>
        <w:rPr>
          <w:sz w:val="24"/>
          <w:szCs w:val="24"/>
          <w:color w:val="auto"/>
        </w:rPr>
      </w:pPr>
    </w:p>
    <w:p>
      <w:pPr>
        <w:jc w:val="both"/>
        <w:ind w:firstLine="255"/>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1" w:lineRule="exact"/>
        <w:rPr>
          <w:sz w:val="24"/>
          <w:szCs w:val="24"/>
          <w:color w:val="auto"/>
        </w:rPr>
      </w:pPr>
    </w:p>
    <w:p>
      <w:pPr>
        <w:jc w:val="both"/>
        <w:ind w:firstLine="255"/>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1" w:lineRule="exact"/>
        <w:rPr>
          <w:sz w:val="24"/>
          <w:szCs w:val="24"/>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Large accelerated filer</w:t>
            </w:r>
          </w:p>
        </w:tc>
        <w:tc>
          <w:tcPr>
            <w:tcW w:w="3080" w:type="dxa"/>
            <w:vAlign w:val="bottom"/>
          </w:tcPr>
          <w:p>
            <w:pPr>
              <w:ind w:left="1360"/>
              <w:spacing w:after="0" w:line="131" w:lineRule="exact"/>
              <w:rPr>
                <w:sz w:val="20"/>
                <w:szCs w:val="20"/>
                <w:color w:val="auto"/>
              </w:rPr>
            </w:pPr>
            <w:r>
              <w:rPr>
                <w:rFonts w:ascii="MS PGothic" w:cs="MS PGothic" w:eastAsia="MS PGothic" w:hAnsi="MS PGothic"/>
                <w:sz w:val="13"/>
                <w:szCs w:val="13"/>
                <w:color w:val="auto"/>
              </w:rPr>
              <w:t>☐</w:t>
            </w:r>
          </w:p>
        </w:tc>
        <w:tc>
          <w:tcPr>
            <w:tcW w:w="4260" w:type="dxa"/>
            <w:vAlign w:val="bottom"/>
          </w:tcPr>
          <w:p>
            <w:pPr>
              <w:ind w:left="1640"/>
              <w:spacing w:after="0"/>
              <w:rPr>
                <w:sz w:val="20"/>
                <w:szCs w:val="20"/>
                <w:color w:val="auto"/>
              </w:rPr>
            </w:pPr>
            <w:r>
              <w:rPr>
                <w:rFonts w:ascii="Times New Roman" w:cs="Times New Roman" w:eastAsia="Times New Roman" w:hAnsi="Times New Roman"/>
                <w:sz w:val="13"/>
                <w:szCs w:val="13"/>
                <w:color w:val="auto"/>
              </w:rPr>
              <w:t>Accelerated filer</w:t>
            </w:r>
          </w:p>
        </w:tc>
        <w:tc>
          <w:tcPr>
            <w:tcW w:w="1440" w:type="dxa"/>
            <w:vAlign w:val="bottom"/>
          </w:tcPr>
          <w:p>
            <w:pPr>
              <w:ind w:left="1240"/>
              <w:spacing w:after="0" w:line="131" w:lineRule="exact"/>
              <w:rPr>
                <w:sz w:val="20"/>
                <w:szCs w:val="20"/>
                <w:color w:val="auto"/>
              </w:rPr>
            </w:pPr>
            <w:r>
              <w:rPr>
                <w:rFonts w:ascii="MS PGothic" w:cs="MS PGothic" w:eastAsia="MS PGothic" w:hAnsi="MS PGothic"/>
                <w:sz w:val="13"/>
                <w:szCs w:val="13"/>
                <w:color w:val="auto"/>
              </w:rPr>
              <w:t>☐</w:t>
            </w:r>
          </w:p>
        </w:tc>
      </w:tr>
      <w:tr>
        <w:trPr>
          <w:trHeight w:val="170"/>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Non-accelerated filer</w:t>
            </w:r>
          </w:p>
        </w:tc>
        <w:tc>
          <w:tcPr>
            <w:tcW w:w="3080" w:type="dxa"/>
            <w:vAlign w:val="bottom"/>
          </w:tcPr>
          <w:p>
            <w:pPr>
              <w:ind w:left="1360"/>
              <w:spacing w:after="0" w:line="131" w:lineRule="exact"/>
              <w:rPr>
                <w:sz w:val="20"/>
                <w:szCs w:val="20"/>
                <w:color w:val="auto"/>
              </w:rPr>
            </w:pPr>
            <w:r>
              <w:rPr>
                <w:rFonts w:ascii="MS PGothic" w:cs="MS PGothic" w:eastAsia="MS PGothic" w:hAnsi="MS PGothic"/>
                <w:sz w:val="13"/>
                <w:szCs w:val="13"/>
                <w:color w:val="auto"/>
              </w:rPr>
              <w:t>☑</w:t>
            </w:r>
          </w:p>
        </w:tc>
        <w:tc>
          <w:tcPr>
            <w:tcW w:w="4260" w:type="dxa"/>
            <w:vAlign w:val="bottom"/>
          </w:tcPr>
          <w:p>
            <w:pPr>
              <w:ind w:left="16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440" w:type="dxa"/>
            <w:vAlign w:val="bottom"/>
          </w:tcPr>
          <w:p>
            <w:pPr>
              <w:ind w:left="1240"/>
              <w:spacing w:after="0" w:line="131" w:lineRule="exact"/>
              <w:rPr>
                <w:sz w:val="20"/>
                <w:szCs w:val="20"/>
                <w:color w:val="auto"/>
              </w:rPr>
            </w:pPr>
            <w:r>
              <w:rPr>
                <w:rFonts w:ascii="MS PGothic" w:cs="MS PGothic" w:eastAsia="MS PGothic" w:hAnsi="MS PGothic"/>
                <w:sz w:val="13"/>
                <w:szCs w:val="13"/>
                <w:color w:val="auto"/>
              </w:rPr>
              <w:t>☑</w:t>
            </w:r>
          </w:p>
        </w:tc>
      </w:tr>
      <w:tr>
        <w:trPr>
          <w:trHeight w:val="214"/>
        </w:trPr>
        <w:tc>
          <w:tcPr>
            <w:tcW w:w="25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260" w:type="dxa"/>
            <w:vAlign w:val="bottom"/>
          </w:tcPr>
          <w:p>
            <w:pPr>
              <w:ind w:left="1640"/>
              <w:spacing w:after="0"/>
              <w:rPr>
                <w:sz w:val="20"/>
                <w:szCs w:val="20"/>
                <w:color w:val="auto"/>
              </w:rPr>
            </w:pPr>
            <w:r>
              <w:rPr>
                <w:rFonts w:ascii="Times New Roman" w:cs="Times New Roman" w:eastAsia="Times New Roman" w:hAnsi="Times New Roman"/>
                <w:sz w:val="13"/>
                <w:szCs w:val="13"/>
                <w:color w:val="auto"/>
              </w:rPr>
              <w:t>Emerging growth company</w:t>
            </w:r>
          </w:p>
        </w:tc>
        <w:tc>
          <w:tcPr>
            <w:tcW w:w="1440" w:type="dxa"/>
            <w:vAlign w:val="bottom"/>
          </w:tcPr>
          <w:p>
            <w:pPr>
              <w:ind w:left="1240"/>
              <w:spacing w:after="0" w:line="131" w:lineRule="exact"/>
              <w:rPr>
                <w:sz w:val="20"/>
                <w:szCs w:val="20"/>
                <w:color w:val="auto"/>
              </w:rPr>
            </w:pPr>
            <w:r>
              <w:rPr>
                <w:rFonts w:ascii="MS PGothic" w:cs="MS PGothic" w:eastAsia="MS PGothic" w:hAnsi="MS PGothic"/>
                <w:sz w:val="13"/>
                <w:szCs w:val="13"/>
                <w:color w:val="auto"/>
              </w:rPr>
              <w:t>☐</w:t>
            </w:r>
          </w:p>
        </w:tc>
      </w:tr>
      <w:tr>
        <w:trPr>
          <w:trHeight w:val="728"/>
        </w:trPr>
        <w:tc>
          <w:tcPr>
            <w:tcW w:w="250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45" w:right="319" w:bottom="1440" w:gutter="0" w:footer="0" w:header="0"/>
        </w:sectPr>
      </w:pPr>
    </w:p>
    <w:bookmarkStart w:id="1" w:name="page2"/>
    <w:bookmarkEnd w:id="1"/>
    <w:p>
      <w:pPr>
        <w:ind w:firstLine="255"/>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0" w:lineRule="exact"/>
        <w:rPr>
          <w:sz w:val="20"/>
          <w:szCs w:val="20"/>
          <w:color w:val="auto"/>
        </w:rPr>
      </w:pPr>
    </w:p>
    <w:p>
      <w:pPr>
        <w:ind w:left="260" w:right="3840"/>
        <w:spacing w:after="0" w:line="25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April 23, 2026, the registrant had 29,381,514 shares of common stock, par value $0.0001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95250</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8"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40" w:type="dxa"/>
            <w:vAlign w:val="bottom"/>
            <w:gridSpan w:val="8"/>
          </w:tcPr>
          <w:p>
            <w:pPr>
              <w:jc w:val="center"/>
              <w:ind w:right="442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57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0" w:type="dxa"/>
            <w:vAlign w:val="bottom"/>
            <w:gridSpan w:val="10"/>
          </w:tcPr>
          <w:p>
            <w:pPr>
              <w:jc w:val="center"/>
              <w:ind w:right="4260"/>
              <w:spacing w:after="0"/>
              <w:rPr>
                <w:sz w:val="20"/>
                <w:szCs w:val="20"/>
                <w:color w:val="auto"/>
              </w:rPr>
            </w:pPr>
            <w:r>
              <w:rPr>
                <w:rFonts w:ascii="Times New Roman" w:cs="Times New Roman" w:eastAsia="Times New Roman" w:hAnsi="Times New Roman"/>
                <w:sz w:val="14"/>
                <w:szCs w:val="14"/>
                <w:color w:val="0000FF"/>
                <w:w w:val="99"/>
              </w:rPr>
              <w:t>PART I. FINANCIAL INFORMATION</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3"/>
        </w:trPr>
        <w:tc>
          <w:tcPr>
            <w:tcW w:w="2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1.</w:t>
            </w:r>
          </w:p>
        </w:tc>
        <w:tc>
          <w:tcPr>
            <w:tcW w:w="580" w:type="dxa"/>
            <w:vAlign w:val="bottom"/>
            <w:gridSpan w:val="2"/>
          </w:tcPr>
          <w:p>
            <w:pPr>
              <w:spacing w:after="0"/>
              <w:rPr>
                <w:sz w:val="24"/>
                <w:szCs w:val="24"/>
                <w:color w:val="auto"/>
              </w:rPr>
            </w:pPr>
          </w:p>
        </w:tc>
        <w:tc>
          <w:tcPr>
            <w:tcW w:w="34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c>
          <w:tcPr>
            <w:tcW w:w="2260" w:type="dxa"/>
            <w:vAlign w:val="bottom"/>
            <w:tcBorders>
              <w:top w:val="single" w:sz="8" w:color="0000FF"/>
            </w:tcBorders>
            <w:gridSpan w:val="6"/>
          </w:tcPr>
          <w:p>
            <w:pPr>
              <w:spacing w:after="0"/>
              <w:rPr>
                <w:sz w:val="24"/>
                <w:szCs w:val="24"/>
                <w:color w:val="auto"/>
              </w:rPr>
            </w:pPr>
          </w:p>
        </w:tc>
        <w:tc>
          <w:tcPr>
            <w:tcW w:w="4300" w:type="dxa"/>
            <w:vAlign w:val="bottom"/>
            <w:gridSpan w:val="3"/>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0000FF"/>
              </w:rPr>
              <w:t>5</w:t>
            </w: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2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Consolidated Balance Sheets as of March 31, 2026 and December 31, 2025</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0000FF"/>
              </w:rPr>
              <w:t>5</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78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Consolidated Statements of Operations and Comprehensive Loss for the Three Months ended March 31, 2026 and 2025</w:t>
            </w:r>
          </w:p>
        </w:tc>
        <w:tc>
          <w:tcPr>
            <w:tcW w:w="3240" w:type="dxa"/>
            <w:vAlign w:val="bottom"/>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0000FF"/>
              </w:rPr>
              <w:t>6</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58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Consolidated Statements of Changes in Stockholders’ Deficit for the Three Months ended March 31, 2026 and 2025</w:t>
            </w:r>
          </w:p>
        </w:tc>
        <w:tc>
          <w:tcPr>
            <w:tcW w:w="2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0000FF"/>
              </w:rPr>
              <w:t>7</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36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Three Months ended March 31, 2026 and 2025</w:t>
            </w:r>
          </w:p>
        </w:tc>
        <w:tc>
          <w:tcPr>
            <w:tcW w:w="1220" w:type="dxa"/>
            <w:vAlign w:val="bottom"/>
            <w:gridSpan w:val="3"/>
          </w:tcPr>
          <w:p>
            <w:pPr>
              <w:spacing w:after="0"/>
              <w:rPr>
                <w:sz w:val="13"/>
                <w:szCs w:val="13"/>
                <w:color w:val="auto"/>
              </w:rPr>
            </w:pPr>
          </w:p>
        </w:tc>
        <w:tc>
          <w:tcPr>
            <w:tcW w:w="3440" w:type="dxa"/>
            <w:vAlign w:val="bottom"/>
            <w:gridSpan w:val="2"/>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0000FF"/>
              </w:rPr>
              <w:t>9</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36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4660" w:type="dxa"/>
            <w:vAlign w:val="bottom"/>
            <w:gridSpan w:val="5"/>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0000FF"/>
                <w:w w:val="85"/>
              </w:rPr>
              <w:t>10</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2.</w:t>
            </w:r>
          </w:p>
        </w:tc>
        <w:tc>
          <w:tcPr>
            <w:tcW w:w="580" w:type="dxa"/>
            <w:vAlign w:val="bottom"/>
            <w:gridSpan w:val="2"/>
          </w:tcPr>
          <w:p>
            <w:pPr>
              <w:spacing w:after="0"/>
              <w:rPr>
                <w:sz w:val="13"/>
                <w:szCs w:val="13"/>
                <w:color w:val="auto"/>
              </w:rPr>
            </w:pPr>
          </w:p>
        </w:tc>
        <w:tc>
          <w:tcPr>
            <w:tcW w:w="506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960" w:type="dxa"/>
            <w:vAlign w:val="bottom"/>
            <w:gridSpan w:val="6"/>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0000FF"/>
                <w:w w:val="85"/>
              </w:rPr>
              <w:t>23</w:t>
            </w: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3.</w:t>
            </w:r>
          </w:p>
        </w:tc>
        <w:tc>
          <w:tcPr>
            <w:tcW w:w="580" w:type="dxa"/>
            <w:vAlign w:val="bottom"/>
            <w:gridSpan w:val="2"/>
          </w:tcPr>
          <w:p>
            <w:pPr>
              <w:spacing w:after="0"/>
              <w:rPr>
                <w:sz w:val="13"/>
                <w:szCs w:val="13"/>
                <w:color w:val="auto"/>
              </w:rPr>
            </w:pPr>
          </w:p>
        </w:tc>
        <w:tc>
          <w:tcPr>
            <w:tcW w:w="34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w w:val="99"/>
              </w:rPr>
              <w:t>Quantitative and Qualitative Disclosures About Market Risk</w:t>
            </w:r>
          </w:p>
        </w:tc>
        <w:tc>
          <w:tcPr>
            <w:tcW w:w="1640" w:type="dxa"/>
            <w:vAlign w:val="bottom"/>
            <w:gridSpan w:val="4"/>
          </w:tcPr>
          <w:p>
            <w:pPr>
              <w:spacing w:after="0"/>
              <w:rPr>
                <w:sz w:val="13"/>
                <w:szCs w:val="13"/>
                <w:color w:val="auto"/>
              </w:rPr>
            </w:pPr>
          </w:p>
        </w:tc>
        <w:tc>
          <w:tcPr>
            <w:tcW w:w="4960" w:type="dxa"/>
            <w:vAlign w:val="bottom"/>
            <w:gridSpan w:val="6"/>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0000FF"/>
                <w:w w:val="85"/>
              </w:rPr>
              <w:t>31</w:t>
            </w: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4.</w:t>
            </w:r>
          </w:p>
        </w:tc>
        <w:tc>
          <w:tcPr>
            <w:tcW w:w="580" w:type="dxa"/>
            <w:vAlign w:val="bottom"/>
            <w:gridSpan w:val="2"/>
          </w:tcPr>
          <w:p>
            <w:pPr>
              <w:spacing w:after="0"/>
              <w:rPr>
                <w:sz w:val="13"/>
                <w:szCs w:val="13"/>
                <w:color w:val="auto"/>
              </w:rPr>
            </w:pPr>
          </w:p>
        </w:tc>
        <w:tc>
          <w:tcPr>
            <w:tcW w:w="34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6600" w:type="dxa"/>
            <w:vAlign w:val="bottom"/>
            <w:gridSpan w:val="10"/>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0000FF"/>
                <w:w w:val="85"/>
              </w:rPr>
              <w:t>31</w:t>
            </w:r>
          </w:p>
        </w:tc>
      </w:tr>
      <w:tr>
        <w:trPr>
          <w:trHeight w:val="373"/>
        </w:trPr>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40" w:type="dxa"/>
            <w:vAlign w:val="bottom"/>
            <w:gridSpan w:val="8"/>
          </w:tcPr>
          <w:p>
            <w:pPr>
              <w:jc w:val="center"/>
              <w:ind w:right="4420"/>
              <w:spacing w:after="0"/>
              <w:rPr>
                <w:sz w:val="20"/>
                <w:szCs w:val="20"/>
                <w:color w:val="auto"/>
              </w:rPr>
            </w:pPr>
            <w:r>
              <w:rPr>
                <w:rFonts w:ascii="Times New Roman" w:cs="Times New Roman" w:eastAsia="Times New Roman" w:hAnsi="Times New Roman"/>
                <w:sz w:val="14"/>
                <w:szCs w:val="14"/>
                <w:color w:val="0000FF"/>
                <w:w w:val="99"/>
              </w:rPr>
              <w:t>PART II. OTHER INFORMATION</w:t>
            </w:r>
          </w:p>
        </w:tc>
        <w:tc>
          <w:tcPr>
            <w:tcW w:w="1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r>
      <w:tr>
        <w:trPr>
          <w:trHeight w:val="373"/>
        </w:trPr>
        <w:tc>
          <w:tcPr>
            <w:tcW w:w="2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1.</w:t>
            </w:r>
          </w:p>
        </w:tc>
        <w:tc>
          <w:tcPr>
            <w:tcW w:w="580" w:type="dxa"/>
            <w:vAlign w:val="bottom"/>
            <w:gridSpan w:val="2"/>
          </w:tcPr>
          <w:p>
            <w:pPr>
              <w:spacing w:after="0"/>
              <w:rPr>
                <w:sz w:val="24"/>
                <w:szCs w:val="24"/>
                <w:color w:val="auto"/>
              </w:rPr>
            </w:pPr>
          </w:p>
        </w:tc>
        <w:tc>
          <w:tcPr>
            <w:tcW w:w="358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2020" w:type="dxa"/>
            <w:vAlign w:val="bottom"/>
            <w:tcBorders>
              <w:top w:val="single" w:sz="8" w:color="0000FF"/>
            </w:tcBorders>
            <w:gridSpan w:val="4"/>
          </w:tcPr>
          <w:p>
            <w:pPr>
              <w:spacing w:after="0"/>
              <w:rPr>
                <w:sz w:val="24"/>
                <w:szCs w:val="24"/>
                <w:color w:val="auto"/>
              </w:rPr>
            </w:pPr>
          </w:p>
        </w:tc>
        <w:tc>
          <w:tcPr>
            <w:tcW w:w="4420" w:type="dxa"/>
            <w:vAlign w:val="bottom"/>
            <w:gridSpan w:val="4"/>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0000FF"/>
                <w:w w:val="85"/>
              </w:rPr>
              <w:t>32</w:t>
            </w: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600" w:type="dxa"/>
            <w:vAlign w:val="bottom"/>
            <w:gridSpan w:val="10"/>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1A.</w:t>
            </w:r>
          </w:p>
        </w:tc>
        <w:tc>
          <w:tcPr>
            <w:tcW w:w="440" w:type="dxa"/>
            <w:vAlign w:val="bottom"/>
          </w:tcPr>
          <w:p>
            <w:pPr>
              <w:spacing w:after="0"/>
              <w:rPr>
                <w:sz w:val="13"/>
                <w:szCs w:val="13"/>
                <w:color w:val="auto"/>
              </w:rPr>
            </w:pPr>
          </w:p>
        </w:tc>
        <w:tc>
          <w:tcPr>
            <w:tcW w:w="1002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0000FF"/>
                <w:w w:val="85"/>
              </w:rPr>
              <w:t>32</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600" w:type="dxa"/>
            <w:vAlign w:val="bottom"/>
            <w:gridSpan w:val="10"/>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2.</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w w:val="99"/>
              </w:rPr>
              <w:t>Unregistered Sales of Equity Securities and Use of Proceeds</w:t>
            </w:r>
          </w:p>
        </w:tc>
        <w:tc>
          <w:tcPr>
            <w:tcW w:w="6600" w:type="dxa"/>
            <w:vAlign w:val="bottom"/>
            <w:gridSpan w:val="10"/>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0000FF"/>
                <w:w w:val="85"/>
              </w:rPr>
              <w:t>32</w:t>
            </w: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1600" w:type="dxa"/>
            <w:vAlign w:val="bottom"/>
            <w:tcBorders>
              <w:left w:val="single" w:sz="8" w:color="0000FF"/>
            </w:tcBorders>
            <w:gridSpan w:val="2"/>
            <w:shd w:val="clear" w:color="auto" w:fill="0000FF"/>
          </w:tcPr>
          <w:p>
            <w:pPr>
              <w:spacing w:after="0" w:line="20" w:lineRule="exact"/>
              <w:rPr>
                <w:sz w:val="1"/>
                <w:szCs w:val="1"/>
                <w:color w:val="auto"/>
              </w:rPr>
            </w:pPr>
          </w:p>
        </w:tc>
        <w:tc>
          <w:tcPr>
            <w:tcW w:w="6600" w:type="dxa"/>
            <w:vAlign w:val="bottom"/>
            <w:gridSpan w:val="10"/>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3.</w:t>
            </w:r>
          </w:p>
        </w:tc>
        <w:tc>
          <w:tcPr>
            <w:tcW w:w="580" w:type="dxa"/>
            <w:vAlign w:val="bottom"/>
            <w:gridSpan w:val="2"/>
          </w:tcPr>
          <w:p>
            <w:pPr>
              <w:spacing w:after="0"/>
              <w:rPr>
                <w:sz w:val="13"/>
                <w:szCs w:val="13"/>
                <w:color w:val="auto"/>
              </w:rPr>
            </w:pPr>
          </w:p>
        </w:tc>
        <w:tc>
          <w:tcPr>
            <w:tcW w:w="34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6600" w:type="dxa"/>
            <w:vAlign w:val="bottom"/>
            <w:gridSpan w:val="10"/>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0000FF"/>
                <w:w w:val="85"/>
              </w:rPr>
              <w:t>32</w:t>
            </w: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8200" w:type="dxa"/>
            <w:vAlign w:val="bottom"/>
            <w:gridSpan w:val="1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4.</w:t>
            </w:r>
          </w:p>
        </w:tc>
        <w:tc>
          <w:tcPr>
            <w:tcW w:w="580" w:type="dxa"/>
            <w:vAlign w:val="bottom"/>
            <w:gridSpan w:val="2"/>
          </w:tcPr>
          <w:p>
            <w:pPr>
              <w:spacing w:after="0"/>
              <w:rPr>
                <w:sz w:val="13"/>
                <w:szCs w:val="13"/>
                <w:color w:val="auto"/>
              </w:rPr>
            </w:pPr>
          </w:p>
        </w:tc>
        <w:tc>
          <w:tcPr>
            <w:tcW w:w="18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8200" w:type="dxa"/>
            <w:vAlign w:val="bottom"/>
            <w:gridSpan w:val="12"/>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0000FF"/>
                <w:w w:val="85"/>
              </w:rPr>
              <w:t>32</w:t>
            </w:r>
          </w:p>
        </w:tc>
      </w:tr>
      <w:tr>
        <w:trPr>
          <w:trHeight w:val="160"/>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5.</w:t>
            </w:r>
          </w:p>
        </w:tc>
        <w:tc>
          <w:tcPr>
            <w:tcW w:w="580" w:type="dxa"/>
            <w:vAlign w:val="bottom"/>
            <w:tcBorders>
              <w:top w:val="single" w:sz="8" w:color="0000FF"/>
            </w:tcBorders>
            <w:gridSpan w:val="2"/>
          </w:tcPr>
          <w:p>
            <w:pPr>
              <w:spacing w:after="0"/>
              <w:rPr>
                <w:sz w:val="13"/>
                <w:szCs w:val="13"/>
                <w:color w:val="auto"/>
              </w:rPr>
            </w:pPr>
          </w:p>
        </w:tc>
        <w:tc>
          <w:tcPr>
            <w:tcW w:w="13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8640" w:type="dxa"/>
            <w:vAlign w:val="bottom"/>
            <w:gridSpan w:val="13"/>
          </w:tcPr>
          <w:p>
            <w:pPr>
              <w:spacing w:after="0"/>
              <w:rPr>
                <w:sz w:val="13"/>
                <w:szCs w:val="13"/>
                <w:color w:val="auto"/>
              </w:rPr>
            </w:pPr>
          </w:p>
        </w:tc>
        <w:tc>
          <w:tcPr>
            <w:tcW w:w="260" w:type="dxa"/>
            <w:vAlign w:val="bottom"/>
            <w:tcBorders>
              <w:top w:val="single" w:sz="8" w:color="0000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0000FF"/>
                <w:w w:val="85"/>
              </w:rPr>
              <w:t>32</w:t>
            </w: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000" w:type="dxa"/>
            <w:vAlign w:val="bottom"/>
            <w:gridSpan w:val="14"/>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6.</w:t>
            </w:r>
          </w:p>
        </w:tc>
        <w:tc>
          <w:tcPr>
            <w:tcW w:w="580" w:type="dxa"/>
            <w:vAlign w:val="bottom"/>
            <w:gridSpan w:val="2"/>
          </w:tcPr>
          <w:p>
            <w:pPr>
              <w:spacing w:after="0"/>
              <w:rPr>
                <w:sz w:val="13"/>
                <w:szCs w:val="13"/>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Exhibits</w:t>
            </w:r>
          </w:p>
        </w:tc>
        <w:tc>
          <w:tcPr>
            <w:tcW w:w="9000" w:type="dxa"/>
            <w:vAlign w:val="bottom"/>
            <w:gridSpan w:val="14"/>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0000FF"/>
                <w:w w:val="85"/>
              </w:rPr>
              <w:t>33</w:t>
            </w: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20" w:type="dxa"/>
            <w:vAlign w:val="bottom"/>
            <w:gridSpan w:val="16"/>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8"/>
              </w:rPr>
              <w:t>Signatures</w:t>
            </w:r>
          </w:p>
        </w:tc>
        <w:tc>
          <w:tcPr>
            <w:tcW w:w="9420" w:type="dxa"/>
            <w:vAlign w:val="bottom"/>
            <w:gridSpan w:val="16"/>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59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60" w:type="dxa"/>
            <w:vAlign w:val="bottom"/>
            <w:gridSpan w:val="12"/>
          </w:tcPr>
          <w:p>
            <w:pPr>
              <w:ind w:left="4740"/>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4"/>
        </w:trPr>
        <w:tc>
          <w:tcPr>
            <w:tcW w:w="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2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91" w:right="319" w:bottom="1440" w:gutter="0" w:footer="0" w:header="0"/>
        </w:sectPr>
      </w:pPr>
    </w:p>
    <w:bookmarkStart w:id="3" w:name="page4"/>
    <w:bookmarkEnd w:id="3"/>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3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This Quarterly Report on Form 10-Q, or the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the impact of future pandemics or similar events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0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103"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results of operations and financial position, business strategy, and the length of time that we believe our existing cash resources will fund our operations;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market size and our potential growth opportunities;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preclinical and clinical development activities;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third-parties, including contract research organizations in the conduct of our pre-clinical studies and clinical trials;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and safety profile of our product candidates;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therapeutic benefits and economic value of our product candidates;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results of preclinical studies and clinical trials;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impairment of our goodwill and indefinite lived intangible assets;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impact of macroeconomic conditions, including inflation, increasing interest rates, volatile market conditions and current or potential bank failures;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global events, including the ongoing conflicts between Russia and Ukraine, the ongoing conflict in the Middle East and geopolitical tensions with China;</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political uncertainty on our product development;</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and timing of potential regulatory designations, approvals and commercialization of our product candidates;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prevent or minimize the effects of litigation and other contingencies;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status as a development-stage company and our expectation to incur losses in the future, and the possibility that we never achieve or maintain profitability;</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uncertainties with respect to our ability to access future capital;</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maximize the value of our pipeline of product candidates;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unproven approach to therapeutic intervention;</w:t>
      </w:r>
    </w:p>
    <w:p>
      <w:pPr>
        <w:spacing w:after="0" w:line="34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 w:name="page5"/>
    <w:bookmarkEnd w:id="4"/>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enroll patients in clinical trials, timely and successfully complete those trials and receive necessary regulatory approvals;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grow our manufacturing capabilities and resources;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manufacture our product candidates, which in some cases are manufactured on a patient-by-patient basis;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receive or manufacture sufficient quantities of our product candidates;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our existing or future collaborations or licenses and to seek new collaborations, licenses or partnerships;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and enforce our intellectual property rights;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and foreign regulatory requirements, including U.S. Food and Drug Administration, or FDA, regulation of our product candidates;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retain key executives and retain qualified personnel;</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future payouts under the contingent value right, or CVR, issued to our holders of record as of the close of business on December 4, 2023;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monetize any of our legacy assets.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Moreover, we operate in an evolving environment. New risks and uncertainties may emerge from time to time, and it is not possible for management to predict all risk and uncertainties.</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606"/>
        </w:trPr>
        <w:tc>
          <w:tcPr>
            <w:tcW w:w="26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6880" w:type="dxa"/>
            <w:vAlign w:val="bottom"/>
          </w:tcPr>
          <w:p>
            <w:pPr>
              <w:jc w:val="center"/>
              <w:ind w:left="2069"/>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5"/>
        </w:trPr>
        <w:tc>
          <w:tcPr>
            <w:tcW w:w="260" w:type="dxa"/>
            <w:vAlign w:val="bottom"/>
          </w:tcPr>
          <w:p>
            <w:pPr>
              <w:spacing w:after="0"/>
              <w:rPr>
                <w:sz w:val="22"/>
                <w:szCs w:val="22"/>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 Financial Statements (unaudited)</w:t>
            </w: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81"/>
        </w:trPr>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80" w:type="dxa"/>
            <w:vAlign w:val="bottom"/>
          </w:tcPr>
          <w:p>
            <w:pPr>
              <w:jc w:val="center"/>
              <w:ind w:left="2089"/>
              <w:spacing w:after="0"/>
              <w:rPr>
                <w:sz w:val="20"/>
                <w:szCs w:val="20"/>
                <w:color w:val="auto"/>
              </w:rPr>
            </w:pPr>
            <w:r>
              <w:rPr>
                <w:rFonts w:ascii="Times New Roman" w:cs="Times New Roman" w:eastAsia="Times New Roman" w:hAnsi="Times New Roman"/>
                <w:sz w:val="14"/>
                <w:szCs w:val="14"/>
                <w:b w:val="1"/>
                <w:bCs w:val="1"/>
                <w:color w:val="auto"/>
              </w:rPr>
              <w:t>Cartesian Therapeutics, Inc. and Subsidiaries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0"/>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80" w:type="dxa"/>
            <w:vAlign w:val="bottom"/>
          </w:tcPr>
          <w:p>
            <w:pPr>
              <w:jc w:val="center"/>
              <w:ind w:left="206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6"/>
        </w:trPr>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80" w:type="dxa"/>
            <w:vAlign w:val="bottom"/>
          </w:tcPr>
          <w:p>
            <w:pPr>
              <w:jc w:val="center"/>
              <w:ind w:left="2069"/>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 and par value)</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7"/>
                <w:szCs w:val="17"/>
                <w:color w:val="auto"/>
              </w:rPr>
            </w:pPr>
          </w:p>
        </w:tc>
        <w:tc>
          <w:tcPr>
            <w:tcW w:w="13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26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68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1"/>
        </w:trPr>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80"/>
        </w:trPr>
        <w:tc>
          <w:tcPr>
            <w:tcW w:w="81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8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118,641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125,139</w:t>
            </w:r>
          </w:p>
        </w:tc>
      </w:tr>
      <w:tr>
        <w:trPr>
          <w:trHeight w:val="180"/>
        </w:trPr>
        <w:tc>
          <w:tcPr>
            <w:tcW w:w="8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r>
      <w:tr>
        <w:trPr>
          <w:trHeight w:val="180"/>
        </w:trPr>
        <w:tc>
          <w:tcPr>
            <w:tcW w:w="8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w:t>
            </w:r>
          </w:p>
        </w:tc>
      </w:tr>
      <w:tr>
        <w:trPr>
          <w:trHeight w:val="171"/>
        </w:trPr>
        <w:tc>
          <w:tcPr>
            <w:tcW w:w="81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122,039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129,276</w:t>
            </w:r>
          </w:p>
        </w:tc>
      </w:tr>
      <w:tr>
        <w:trPr>
          <w:trHeight w:val="202"/>
        </w:trPr>
        <w:tc>
          <w:tcPr>
            <w:tcW w:w="8140" w:type="dxa"/>
            <w:vAlign w:val="bottom"/>
            <w:gridSpan w:val="3"/>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80"/>
        </w:trPr>
        <w:tc>
          <w:tcPr>
            <w:tcW w:w="81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12,185</w:t>
            </w:r>
          </w:p>
        </w:tc>
      </w:tr>
      <w:tr>
        <w:trPr>
          <w:trHeight w:val="180"/>
        </w:trPr>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 net</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5,601</w:t>
            </w:r>
          </w:p>
        </w:tc>
      </w:tr>
      <w:tr>
        <w:trPr>
          <w:trHeight w:val="180"/>
        </w:trPr>
        <w:tc>
          <w:tcPr>
            <w:tcW w:w="81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In-process research and development asset</w:t>
            </w: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93,900</w:t>
            </w:r>
          </w:p>
        </w:tc>
      </w:tr>
      <w:tr>
        <w:trPr>
          <w:trHeight w:val="180"/>
        </w:trPr>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48,163</w:t>
            </w:r>
          </w:p>
        </w:tc>
      </w:tr>
      <w:tr>
        <w:trPr>
          <w:trHeight w:val="180"/>
        </w:trPr>
        <w:tc>
          <w:tcPr>
            <w:tcW w:w="81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w:t>
            </w:r>
          </w:p>
        </w:tc>
      </w:tr>
      <w:tr>
        <w:trPr>
          <w:trHeight w:val="180"/>
        </w:trPr>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prepaid expenses and other assets</w:t>
            </w:r>
          </w:p>
        </w:tc>
        <w:tc>
          <w:tcPr>
            <w:tcW w:w="2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5,551</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5,551</w:t>
            </w:r>
          </w:p>
        </w:tc>
      </w:tr>
      <w:tr>
        <w:trPr>
          <w:trHeight w:val="171"/>
        </w:trPr>
        <w:tc>
          <w:tcPr>
            <w:tcW w:w="260" w:type="dxa"/>
            <w:vAlign w:val="bottom"/>
          </w:tcPr>
          <w:p>
            <w:pPr>
              <w:spacing w:after="0"/>
              <w:rPr>
                <w:sz w:val="14"/>
                <w:szCs w:val="14"/>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288,391</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296,411</w:t>
            </w:r>
          </w:p>
        </w:tc>
      </w:tr>
      <w:tr>
        <w:trPr>
          <w:trHeight w:val="20"/>
        </w:trPr>
        <w:tc>
          <w:tcPr>
            <w:tcW w:w="2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3"/>
        </w:trPr>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80"/>
        </w:trPr>
        <w:tc>
          <w:tcPr>
            <w:tcW w:w="8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0"/>
        </w:trPr>
        <w:tc>
          <w:tcPr>
            <w:tcW w:w="81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w:t>
            </w:r>
          </w:p>
        </w:tc>
      </w:tr>
      <w:tr>
        <w:trPr>
          <w:trHeight w:val="180"/>
        </w:trPr>
        <w:tc>
          <w:tcPr>
            <w:tcW w:w="81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9,498</w:t>
            </w:r>
          </w:p>
        </w:tc>
      </w:tr>
      <w:tr>
        <w:trPr>
          <w:trHeight w:val="180"/>
        </w:trPr>
        <w:tc>
          <w:tcPr>
            <w:tcW w:w="814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4"/>
                <w:szCs w:val="14"/>
                <w:color w:val="auto"/>
              </w:rPr>
              <w:t>Lease liabilities</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4,151</w:t>
            </w:r>
          </w:p>
        </w:tc>
      </w:tr>
      <w:tr>
        <w:trPr>
          <w:trHeight w:val="171"/>
        </w:trPr>
        <w:tc>
          <w:tcPr>
            <w:tcW w:w="8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14,937</w:t>
            </w:r>
          </w:p>
        </w:tc>
      </w:tr>
      <w:tr>
        <w:trPr>
          <w:trHeight w:val="202"/>
        </w:trPr>
        <w:tc>
          <w:tcPr>
            <w:tcW w:w="814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80"/>
        </w:trPr>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 net of current portion</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8,525</w:t>
            </w:r>
          </w:p>
        </w:tc>
      </w:tr>
      <w:tr>
        <w:trPr>
          <w:trHeight w:val="180"/>
        </w:trPr>
        <w:tc>
          <w:tcPr>
            <w:tcW w:w="81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 liability</w:t>
            </w: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80"/>
        </w:trPr>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405,900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392,100</w:t>
            </w:r>
          </w:p>
        </w:tc>
      </w:tr>
      <w:tr>
        <w:trPr>
          <w:trHeight w:val="180"/>
        </w:trPr>
        <w:tc>
          <w:tcPr>
            <w:tcW w:w="8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6,948</w:t>
            </w:r>
          </w:p>
        </w:tc>
      </w:tr>
      <w:tr>
        <w:trPr>
          <w:trHeight w:val="171"/>
        </w:trPr>
        <w:tc>
          <w:tcPr>
            <w:tcW w:w="26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436,509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422,651</w:t>
            </w:r>
          </w:p>
        </w:tc>
      </w:tr>
      <w:tr>
        <w:trPr>
          <w:trHeight w:val="160"/>
        </w:trPr>
        <w:tc>
          <w:tcPr>
            <w:tcW w:w="81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02"/>
        </w:trPr>
        <w:tc>
          <w:tcPr>
            <w:tcW w:w="8140" w:type="dxa"/>
            <w:vAlign w:val="bottom"/>
            <w:gridSpan w:val="3"/>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80"/>
        </w:trPr>
        <w:tc>
          <w:tcPr>
            <w:tcW w:w="81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Stockholders’ deficit:</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38"/>
        </w:trPr>
        <w:tc>
          <w:tcPr>
            <w:tcW w:w="8140" w:type="dxa"/>
            <w:vAlign w:val="bottom"/>
            <w:gridSpan w:val="3"/>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Series A Preferred Stock, $0.0001 par value; 134,904.563 shares authorized as of March 31, 2026 and December 31, 2025; 120,790.402 shares</w:t>
            </w:r>
          </w:p>
        </w:tc>
        <w:tc>
          <w:tcPr>
            <w:tcW w:w="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191"/>
        </w:trPr>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 and outstanding as of March 31, 2026 and December 31, 2025</w:t>
            </w: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8"/>
        </w:trPr>
        <w:tc>
          <w:tcPr>
            <w:tcW w:w="814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color w:val="auto"/>
              </w:rPr>
              <w:t>Series B Preferred Stock, $0.0001 par value; 437,927 shares authorized as of March 31, 2026 and December 31, 2025; 437,927 shares issued</w:t>
            </w: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91"/>
        </w:trPr>
        <w:tc>
          <w:tcPr>
            <w:tcW w:w="81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and outstanding as of March 31, 2026 and December 31, 2025</w:t>
            </w:r>
          </w:p>
        </w:tc>
        <w:tc>
          <w:tcPr>
            <w:tcW w:w="2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8"/>
        </w:trPr>
        <w:tc>
          <w:tcPr>
            <w:tcW w:w="8140" w:type="dxa"/>
            <w:vAlign w:val="bottom"/>
            <w:gridSpan w:val="3"/>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Preferred stock, $0.0001 par value; 9,427,168.437 shares authorized as of March 31, 2026 and December 31, 2025; no shares issued and</w:t>
            </w: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91"/>
        </w:trPr>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March 31, 2026 and December 31, 2025</w:t>
            </w: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8"/>
        </w:trPr>
        <w:tc>
          <w:tcPr>
            <w:tcW w:w="814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color w:val="auto"/>
              </w:rPr>
              <w:t>Common stock, $0.0001 par value; 350,000,000 shares authorized as of March 31, 2026 and December 31, 2025; 28,544,728 and 26,011,106</w:t>
            </w: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91"/>
        </w:trPr>
        <w:tc>
          <w:tcPr>
            <w:tcW w:w="81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shares issued and outstanding as of March 31, 2026 and December 31, 2025, respectively</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1"/>
        </w:trPr>
        <w:tc>
          <w:tcPr>
            <w:tcW w:w="8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718,017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700,706</w:t>
            </w:r>
          </w:p>
        </w:tc>
      </w:tr>
      <w:tr>
        <w:trPr>
          <w:trHeight w:val="180"/>
        </w:trPr>
        <w:tc>
          <w:tcPr>
            <w:tcW w:w="8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(861,555)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(822,373)</w:t>
            </w:r>
          </w:p>
        </w:tc>
      </w:tr>
      <w:tr>
        <w:trPr>
          <w:trHeight w:val="180"/>
        </w:trPr>
        <w:tc>
          <w:tcPr>
            <w:tcW w:w="8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(4,576)</w:t>
            </w:r>
          </w:p>
        </w:tc>
      </w:tr>
      <w:tr>
        <w:trPr>
          <w:trHeight w:val="171"/>
        </w:trPr>
        <w:tc>
          <w:tcPr>
            <w:tcW w:w="81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(148,118)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(126,240)</w:t>
            </w:r>
          </w:p>
        </w:tc>
      </w:tr>
      <w:tr>
        <w:trPr>
          <w:trHeight w:val="196"/>
        </w:trPr>
        <w:tc>
          <w:tcPr>
            <w:tcW w:w="260" w:type="dxa"/>
            <w:vAlign w:val="bottom"/>
            <w:tcBorders>
              <w:bottom w:val="single" w:sz="8" w:color="CCEEFF"/>
            </w:tcBorders>
            <w:shd w:val="clear" w:color="auto" w:fill="CCEEFF"/>
          </w:tcPr>
          <w:p>
            <w:pPr>
              <w:spacing w:after="0"/>
              <w:rPr>
                <w:sz w:val="16"/>
                <w:szCs w:val="16"/>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deficit</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288,391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296,411</w:t>
            </w: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p>
    <w:p>
      <w:pPr>
        <w:spacing w:after="0" w:line="3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547"/>
        </w:trPr>
        <w:tc>
          <w:tcPr>
            <w:tcW w:w="26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6880" w:type="dxa"/>
            <w:vAlign w:val="bottom"/>
          </w:tcPr>
          <w:p>
            <w:pPr>
              <w:jc w:val="center"/>
              <w:ind w:left="2089"/>
              <w:spacing w:after="0"/>
              <w:rPr>
                <w:sz w:val="20"/>
                <w:szCs w:val="20"/>
                <w:color w:val="auto"/>
              </w:rPr>
            </w:pPr>
            <w:r>
              <w:rPr>
                <w:rFonts w:ascii="Times New Roman" w:cs="Times New Roman" w:eastAsia="Times New Roman" w:hAnsi="Times New Roman"/>
                <w:sz w:val="14"/>
                <w:szCs w:val="14"/>
                <w:b w:val="1"/>
                <w:bCs w:val="1"/>
                <w:color w:val="auto"/>
              </w:rPr>
              <w:t>Cartesian Therapeutics, Inc. and Subsidiaries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80" w:type="dxa"/>
            <w:vAlign w:val="bottom"/>
          </w:tcPr>
          <w:p>
            <w:pPr>
              <w:jc w:val="center"/>
              <w:ind w:left="206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6"/>
        </w:trPr>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8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and per share data)</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478"/>
        </w:trPr>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1"/>
        </w:trPr>
        <w:tc>
          <w:tcPr>
            <w:tcW w:w="2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68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0"/>
        </w:trPr>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80"/>
        </w:trPr>
        <w:tc>
          <w:tcPr>
            <w:tcW w:w="81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Collaboration and license</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80"/>
        </w:trPr>
        <w:tc>
          <w:tcPr>
            <w:tcW w:w="81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Grant</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r>
      <w:tr>
        <w:trPr>
          <w:trHeight w:val="171"/>
        </w:trPr>
        <w:tc>
          <w:tcPr>
            <w:tcW w:w="81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r>
      <w:tr>
        <w:trPr>
          <w:trHeight w:val="202"/>
        </w:trPr>
        <w:tc>
          <w:tcPr>
            <w:tcW w:w="8140" w:type="dxa"/>
            <w:vAlign w:val="bottom"/>
            <w:gridSpan w:val="3"/>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80"/>
        </w:trPr>
        <w:tc>
          <w:tcPr>
            <w:tcW w:w="8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81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14,674</w:t>
            </w:r>
          </w:p>
        </w:tc>
      </w:tr>
      <w:tr>
        <w:trPr>
          <w:trHeight w:val="180"/>
        </w:trPr>
        <w:tc>
          <w:tcPr>
            <w:tcW w:w="814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8,315</w:t>
            </w:r>
          </w:p>
        </w:tc>
      </w:tr>
      <w:tr>
        <w:trPr>
          <w:trHeight w:val="171"/>
        </w:trPr>
        <w:tc>
          <w:tcPr>
            <w:tcW w:w="8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26,577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22,989</w:t>
            </w:r>
          </w:p>
        </w:tc>
      </w:tr>
      <w:tr>
        <w:trPr>
          <w:trHeight w:val="202"/>
        </w:trPr>
        <w:tc>
          <w:tcPr>
            <w:tcW w:w="814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80"/>
        </w:trPr>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(21,889)</w:t>
            </w:r>
          </w:p>
        </w:tc>
      </w:tr>
      <w:tr>
        <w:trPr>
          <w:trHeight w:val="202"/>
        </w:trPr>
        <w:tc>
          <w:tcPr>
            <w:tcW w:w="814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80"/>
        </w:trPr>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81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Interest income</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w:t>
            </w:r>
          </w:p>
        </w:tc>
      </w:tr>
      <w:tr>
        <w:trPr>
          <w:trHeight w:val="180"/>
        </w:trPr>
        <w:tc>
          <w:tcPr>
            <w:tcW w:w="81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Gain on change in fair value of warrant liabilities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w:t>
            </w:r>
          </w:p>
        </w:tc>
      </w:tr>
      <w:tr>
        <w:trPr>
          <w:trHeight w:val="180"/>
        </w:trPr>
        <w:tc>
          <w:tcPr>
            <w:tcW w:w="81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(Loss) gain on change in fair value of contingent value right liability</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180"/>
        </w:trPr>
        <w:tc>
          <w:tcPr>
            <w:tcW w:w="81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expense, net</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1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Total other (expense) income, net</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w:t>
            </w:r>
          </w:p>
        </w:tc>
      </w:tr>
      <w:tr>
        <w:trPr>
          <w:trHeight w:val="202"/>
        </w:trPr>
        <w:tc>
          <w:tcPr>
            <w:tcW w:w="8140" w:type="dxa"/>
            <w:vAlign w:val="bottom"/>
            <w:gridSpan w:val="3"/>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r>
      <w:tr>
        <w:trPr>
          <w:trHeight w:val="171"/>
        </w:trPr>
        <w:tc>
          <w:tcPr>
            <w:tcW w:w="8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(39,182)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(17,710)</w:t>
            </w:r>
          </w:p>
        </w:tc>
      </w:tr>
      <w:tr>
        <w:trPr>
          <w:trHeight w:val="192"/>
        </w:trPr>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0"/>
        </w:trPr>
        <w:tc>
          <w:tcPr>
            <w:tcW w:w="8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(loss) income:</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8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71"/>
        </w:trPr>
        <w:tc>
          <w:tcPr>
            <w:tcW w:w="8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loss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(39,189)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(17,678)</w:t>
            </w:r>
          </w:p>
        </w:tc>
      </w:tr>
      <w:tr>
        <w:trPr>
          <w:trHeight w:val="20"/>
        </w:trPr>
        <w:tc>
          <w:tcPr>
            <w:tcW w:w="2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3"/>
        </w:trPr>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8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(39,182)</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(17,710)</w:t>
            </w:r>
          </w:p>
        </w:tc>
      </w:tr>
      <w:tr>
        <w:trPr>
          <w:trHeight w:val="212"/>
        </w:trPr>
        <w:tc>
          <w:tcPr>
            <w:tcW w:w="8140" w:type="dxa"/>
            <w:vAlign w:val="bottom"/>
            <w:gridSpan w:val="3"/>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80"/>
        </w:trPr>
        <w:tc>
          <w:tcPr>
            <w:tcW w:w="8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 allocable to common stockholders:</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8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 and diluted</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(0.68)</w:t>
            </w:r>
          </w:p>
        </w:tc>
      </w:tr>
      <w:tr>
        <w:trPr>
          <w:trHeight w:val="180"/>
        </w:trPr>
        <w:tc>
          <w:tcPr>
            <w:tcW w:w="8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common shares outstanding:</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8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 and diluted</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26,855,158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25,902,650</w:t>
            </w:r>
          </w:p>
        </w:tc>
      </w:tr>
    </w:tbl>
    <w:p>
      <w:pPr>
        <w:spacing w:after="0" w:line="1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p>
    <w:p>
      <w:pPr>
        <w:spacing w:after="0" w:line="3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7" w:name="page8"/>
    <w:bookmarkEnd w:id="7"/>
    <w:p>
      <w:pPr>
        <w:ind w:left="2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Cartesian Therapeutics, Inc. and Subsidiaries</w:t>
      </w:r>
    </w:p>
    <w:p>
      <w:pPr>
        <w:spacing w:after="0" w:line="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Stockholders’ Deficit</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ectPr>
          <w:pgSz w:w="11900" w:h="16838" w:orient="portrait"/>
          <w:cols w:equalWidth="0" w:num="1">
            <w:col w:w="11260"/>
          </w:cols>
          <w:pgMar w:left="320" w:top="125" w:right="319" w:bottom="1440" w:gutter="0" w:footer="0" w:header="0"/>
        </w:sectPr>
      </w:pP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15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Series A</w:t>
            </w: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Series B</w:t>
            </w:r>
          </w:p>
        </w:tc>
        <w:tc>
          <w:tcPr>
            <w:tcW w:w="0" w:type="dxa"/>
            <w:vAlign w:val="bottom"/>
          </w:tcPr>
          <w:p>
            <w:pPr>
              <w:spacing w:after="0"/>
              <w:rPr>
                <w:sz w:val="1"/>
                <w:szCs w:val="1"/>
                <w:color w:val="auto"/>
              </w:rPr>
            </w:pPr>
          </w:p>
        </w:tc>
      </w:tr>
      <w:tr>
        <w:trPr>
          <w:trHeight w:val="202"/>
        </w:trPr>
        <w:tc>
          <w:tcPr>
            <w:tcW w:w="3160" w:type="dxa"/>
            <w:vAlign w:val="bottom"/>
          </w:tcPr>
          <w:p>
            <w:pPr>
              <w:spacing w:after="0"/>
              <w:rPr>
                <w:sz w:val="17"/>
                <w:szCs w:val="17"/>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60" w:type="dxa"/>
            <w:vAlign w:val="bottom"/>
          </w:tcPr>
          <w:p>
            <w:pPr>
              <w:spacing w:after="0"/>
              <w:rPr>
                <w:sz w:val="17"/>
                <w:szCs w:val="17"/>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81"/>
        </w:trPr>
        <w:tc>
          <w:tcPr>
            <w:tcW w:w="3160" w:type="dxa"/>
            <w:vAlign w:val="bottom"/>
          </w:tcPr>
          <w:p>
            <w:pPr>
              <w:spacing w:after="0"/>
              <w:rPr>
                <w:sz w:val="15"/>
                <w:szCs w:val="15"/>
                <w:color w:val="auto"/>
              </w:rPr>
            </w:pPr>
          </w:p>
        </w:tc>
        <w:tc>
          <w:tcPr>
            <w:tcW w:w="7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50"/>
        </w:trPr>
        <w:tc>
          <w:tcPr>
            <w:tcW w:w="3160" w:type="dxa"/>
            <w:vAlign w:val="bottom"/>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7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w w:val="99"/>
              </w:rPr>
              <w:t>120,790.402</w:t>
            </w:r>
          </w:p>
        </w:tc>
        <w:tc>
          <w:tcPr>
            <w:tcW w:w="10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ind w:left="420"/>
              <w:spacing w:after="0" w:line="150"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437,927</w:t>
            </w:r>
          </w:p>
        </w:tc>
        <w:tc>
          <w:tcPr>
            <w:tcW w:w="12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ind w:left="420"/>
              <w:spacing w:after="0" w:line="150"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160" w:type="dxa"/>
            <w:vAlign w:val="bottom"/>
            <w:vMerge w:val="continue"/>
          </w:tcPr>
          <w:p>
            <w:pPr>
              <w:spacing w:after="0"/>
              <w:rPr>
                <w:sz w:val="13"/>
                <w:szCs w:val="13"/>
                <w:color w:val="auto"/>
              </w:rPr>
            </w:pPr>
          </w:p>
        </w:tc>
        <w:tc>
          <w:tcPr>
            <w:tcW w:w="76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ind w:left="4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70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ind w:left="4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Issuance of common stock upon vesting of restricted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stock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Issuance of common stock through at the market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offering, net of commissions and expenses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120,790.402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437,927</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-1158240</wp:posOffset>
            </wp:positionV>
            <wp:extent cx="7161530" cy="121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-908685</wp:posOffset>
            </wp:positionV>
            <wp:extent cx="7161530" cy="208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20891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-491490</wp:posOffset>
            </wp:positionV>
            <wp:extent cx="7161530"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-262255</wp:posOffset>
            </wp:positionV>
            <wp:extent cx="7161530"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440" w:type="dxa"/>
            <w:vAlign w:val="bottom"/>
            <w:gridSpan w:val="3"/>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vMerge w:val="restart"/>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ind w:right="280"/>
              <w:spacing w:after="0" w:line="138"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40" w:type="dxa"/>
            <w:vAlign w:val="bottom"/>
            <w:tcBorders>
              <w:bottom w:val="single" w:sz="8" w:color="auto"/>
            </w:tcBorders>
            <w:gridSpan w:val="3"/>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82"/>
        </w:trPr>
        <w:tc>
          <w:tcPr>
            <w:tcW w:w="7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6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7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50"/>
        </w:trPr>
        <w:tc>
          <w:tcPr>
            <w:tcW w:w="70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26,011,106</w:t>
            </w:r>
          </w:p>
        </w:tc>
        <w:tc>
          <w:tcPr>
            <w:tcW w:w="12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700,706</w:t>
            </w: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0"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(822,373)</w:t>
            </w: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(4,576)</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0"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(126,240)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93,632</w:t>
            </w: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325"/>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169,278</w:t>
            </w:r>
          </w:p>
        </w:tc>
        <w:tc>
          <w:tcPr>
            <w:tcW w:w="12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5"/>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2,270,712</w:t>
            </w:r>
          </w:p>
        </w:tc>
        <w:tc>
          <w:tcPr>
            <w:tcW w:w="12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14,584</w:t>
            </w:r>
          </w:p>
        </w:tc>
        <w:tc>
          <w:tcPr>
            <w:tcW w:w="0" w:type="dxa"/>
            <w:vAlign w:val="bottom"/>
          </w:tcPr>
          <w:p>
            <w:pPr>
              <w:spacing w:after="0"/>
              <w:rPr>
                <w:sz w:val="1"/>
                <w:szCs w:val="1"/>
                <w:color w:val="auto"/>
              </w:rPr>
            </w:pPr>
          </w:p>
        </w:tc>
      </w:tr>
      <w:tr>
        <w:trPr>
          <w:trHeight w:val="180"/>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0" w:type="dxa"/>
            <w:vAlign w:val="bottom"/>
          </w:tcPr>
          <w:p>
            <w:pPr>
              <w:spacing w:after="0"/>
              <w:rPr>
                <w:sz w:val="1"/>
                <w:szCs w:val="1"/>
                <w:color w:val="auto"/>
              </w:rPr>
            </w:pPr>
          </w:p>
        </w:tc>
      </w:tr>
      <w:tr>
        <w:trPr>
          <w:trHeight w:val="180"/>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4"/>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(39,182)</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(39,182)</w:t>
            </w:r>
          </w:p>
        </w:tc>
        <w:tc>
          <w:tcPr>
            <w:tcW w:w="0" w:type="dxa"/>
            <w:vAlign w:val="bottom"/>
          </w:tcPr>
          <w:p>
            <w:pPr>
              <w:spacing w:after="0"/>
              <w:rPr>
                <w:sz w:val="1"/>
                <w:szCs w:val="1"/>
                <w:color w:val="auto"/>
              </w:rPr>
            </w:pPr>
          </w:p>
        </w:tc>
      </w:tr>
      <w:tr>
        <w:trPr>
          <w:trHeight w:val="171"/>
        </w:trPr>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28,544,728</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718,017</w:t>
            </w: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(861,555)</w:t>
            </w:r>
          </w:p>
        </w:tc>
        <w:tc>
          <w:tcPr>
            <w:tcW w:w="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(4,583)</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(148,118)</w:t>
            </w:r>
          </w:p>
        </w:tc>
        <w:tc>
          <w:tcPr>
            <w:tcW w:w="0" w:type="dxa"/>
            <w:vAlign w:val="bottom"/>
          </w:tcPr>
          <w:p>
            <w:pPr>
              <w:spacing w:after="0"/>
              <w:rPr>
                <w:sz w:val="1"/>
                <w:szCs w:val="1"/>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ectPr>
          <w:pgSz w:w="11900" w:h="16838" w:orient="portrait"/>
          <w:cols w:equalWidth="0" w:num="2">
            <w:col w:w="6120" w:space="80"/>
            <w:col w:w="5060"/>
          </w:cols>
          <w:pgMar w:left="320" w:top="125" w:right="319" w:bottom="1440" w:gutter="0" w:footer="0" w:header="0"/>
          <w:type w:val="continuous"/>
        </w:sectPr>
      </w:pPr>
    </w:p>
    <w:p>
      <w:pPr>
        <w:jc w:val="center"/>
        <w:ind w:right="-239"/>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unaudited consolidated financial statements.</w:t>
      </w:r>
    </w:p>
    <w:p>
      <w:pPr>
        <w:spacing w:after="0" w:line="24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137160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7"/>
        </w:trPr>
        <w:tc>
          <w:tcPr>
            <w:tcW w:w="26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40" w:type="dxa"/>
            <w:vAlign w:val="bottom"/>
            <w:gridSpan w:val="10"/>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Cartesian Therapeutics, Inc. and Subsidiaries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40" w:type="dxa"/>
            <w:vAlign w:val="bottom"/>
            <w:gridSpan w:val="11"/>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Stockholders’ Deficit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340" w:type="dxa"/>
            <w:vAlign w:val="bottom"/>
            <w:gridSpan w:val="10"/>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6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vMerge w:val="restart"/>
          </w:tcPr>
          <w:p>
            <w:pPr>
              <w:spacing w:after="0"/>
              <w:rPr>
                <w:sz w:val="10"/>
                <w:szCs w:val="10"/>
                <w:color w:val="auto"/>
              </w:rPr>
            </w:pPr>
          </w:p>
        </w:tc>
        <w:tc>
          <w:tcPr>
            <w:tcW w:w="1460" w:type="dxa"/>
            <w:vAlign w:val="bottom"/>
            <w:gridSpan w:val="3"/>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vMerge w:val="restart"/>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center"/>
              <w:ind w:right="280"/>
              <w:spacing w:after="0" w:line="117"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60" w:type="dxa"/>
            <w:vAlign w:val="bottom"/>
            <w:tcBorders>
              <w:bottom w:val="single" w:sz="8" w:color="auto"/>
            </w:tcBorders>
            <w:gridSpan w:val="2"/>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60" w:type="dxa"/>
            <w:vAlign w:val="bottom"/>
            <w:tcBorders>
              <w:bottom w:val="single" w:sz="8" w:color="auto"/>
            </w:tcBorders>
            <w:gridSpan w:val="3"/>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90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76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7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75"/>
        </w:trPr>
        <w:tc>
          <w:tcPr>
            <w:tcW w:w="3120" w:type="dxa"/>
            <w:vAlign w:val="bottom"/>
            <w:tcBorders>
              <w:top w:val="single" w:sz="8" w:color="CCEEFF"/>
              <w:bottom w:val="single" w:sz="8" w:color="CCEEFF"/>
            </w:tcBorders>
            <w:gridSpan w:val="3"/>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76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w w:val="99"/>
              </w:rPr>
              <w:t>120,790.402</w:t>
            </w:r>
          </w:p>
        </w:tc>
        <w:tc>
          <w:tcPr>
            <w:tcW w:w="500" w:type="dxa"/>
            <w:vAlign w:val="bottom"/>
            <w:tcBorders>
              <w:top w:val="single" w:sz="8" w:color="auto"/>
              <w:bottom w:val="single" w:sz="8" w:color="auto"/>
            </w:tcBorders>
            <w:shd w:val="clear" w:color="auto" w:fill="CCEEFF"/>
          </w:tcPr>
          <w:p>
            <w:pPr>
              <w:jc w:val="right"/>
              <w:ind w:right="329"/>
              <w:spacing w:after="0" w:line="150"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shd w:val="clear" w:color="auto" w:fill="CCEEFF"/>
          </w:tcPr>
          <w:p>
            <w:pPr>
              <w:ind w:left="40"/>
              <w:spacing w:after="0" w:line="150"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437,927</w:t>
            </w:r>
          </w:p>
        </w:tc>
        <w:tc>
          <w:tcPr>
            <w:tcW w:w="1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ind w:left="420"/>
              <w:spacing w:after="0" w:line="150"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25,767,369</w:t>
            </w:r>
          </w:p>
        </w:tc>
        <w:tc>
          <w:tcPr>
            <w:tcW w:w="1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3</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689,887</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(692,071)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ind w:left="300"/>
              <w:spacing w:after="0" w:line="150" w:lineRule="exact"/>
              <w:rPr>
                <w:sz w:val="20"/>
                <w:szCs w:val="20"/>
                <w:color w:val="auto"/>
              </w:rPr>
            </w:pPr>
            <w:r>
              <w:rPr>
                <w:rFonts w:ascii="Times New Roman" w:cs="Times New Roman" w:eastAsia="Times New Roman" w:hAnsi="Times New Roman"/>
                <w:sz w:val="14"/>
                <w:szCs w:val="14"/>
                <w:color w:val="auto"/>
                <w:w w:val="97"/>
              </w:rPr>
              <w:t>(4,621)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(6,802)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20" w:type="dxa"/>
            <w:vAlign w:val="bottom"/>
            <w:tcBorders>
              <w:top w:val="single" w:sz="8" w:color="CCEEFF"/>
            </w:tcBorders>
            <w:gridSpan w:val="3"/>
            <w:vMerge w:val="continue"/>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ind w:left="40"/>
              <w:spacing w:after="0" w:line="143"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420"/>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55,690</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183</w:t>
            </w: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540"/>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80"/>
        </w:trPr>
        <w:tc>
          <w:tcPr>
            <w:tcW w:w="3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vested restricted stock units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113,042</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0" w:type="dxa"/>
            <w:vAlign w:val="bottom"/>
          </w:tcPr>
          <w:p>
            <w:pPr>
              <w:spacing w:after="0"/>
              <w:rPr>
                <w:sz w:val="1"/>
                <w:szCs w:val="1"/>
                <w:color w:val="auto"/>
              </w:rPr>
            </w:pPr>
          </w:p>
        </w:tc>
      </w:tr>
      <w:tr>
        <w:trPr>
          <w:trHeight w:val="180"/>
        </w:trPr>
        <w:tc>
          <w:tcPr>
            <w:tcW w:w="3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0"/>
        </w:trPr>
        <w:tc>
          <w:tcPr>
            <w:tcW w:w="3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(17,710)</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120,790.402</w:t>
            </w:r>
          </w:p>
        </w:tc>
        <w:tc>
          <w:tcPr>
            <w:tcW w:w="50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437,927</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25,936,101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692,578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(709,781)</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97"/>
              </w:rPr>
              <w:t>(4,589)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(21,789)</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r>
        <w:rPr>
          <w:rFonts w:ascii="Times New Roman" w:cs="Times New Roman" w:eastAsia="Times New Roman" w:hAnsi="Times New Roman"/>
          <w:sz w:val="14"/>
          <w:szCs w:val="14"/>
          <w:color w:val="auto"/>
        </w:rPr>
        <w:t>.</w:t>
      </w:r>
    </w:p>
    <w:p>
      <w:pPr>
        <w:spacing w:after="0" w:line="3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7"/>
        </w:trPr>
        <w:tc>
          <w:tcPr>
            <w:tcW w:w="24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3000" w:type="dxa"/>
            <w:vAlign w:val="bottom"/>
          </w:tcPr>
          <w:p>
            <w:pPr>
              <w:spacing w:after="0"/>
              <w:rPr>
                <w:sz w:val="24"/>
                <w:szCs w:val="24"/>
                <w:color w:val="auto"/>
              </w:rPr>
            </w:pPr>
          </w:p>
        </w:tc>
        <w:tc>
          <w:tcPr>
            <w:tcW w:w="4820" w:type="dxa"/>
            <w:vAlign w:val="bottom"/>
            <w:gridSpan w:val="2"/>
          </w:tcPr>
          <w:p>
            <w:pPr>
              <w:jc w:val="right"/>
              <w:ind w:right="1869"/>
              <w:spacing w:after="0"/>
              <w:rPr>
                <w:sz w:val="20"/>
                <w:szCs w:val="20"/>
                <w:color w:val="auto"/>
              </w:rPr>
            </w:pPr>
            <w:r>
              <w:rPr>
                <w:rFonts w:ascii="Times New Roman" w:cs="Times New Roman" w:eastAsia="Times New Roman" w:hAnsi="Times New Roman"/>
                <w:sz w:val="14"/>
                <w:szCs w:val="14"/>
                <w:b w:val="1"/>
                <w:bCs w:val="1"/>
                <w:color w:val="auto"/>
              </w:rPr>
              <w:t>Cartesian Therapeutics, Inc. and Subsidiaries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820" w:type="dxa"/>
            <w:vAlign w:val="bottom"/>
            <w:gridSpan w:val="2"/>
          </w:tcPr>
          <w:p>
            <w:pPr>
              <w:jc w:val="right"/>
              <w:ind w:right="204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820" w:type="dxa"/>
            <w:vAlign w:val="bottom"/>
            <w:gridSpan w:val="2"/>
          </w:tcPr>
          <w:p>
            <w:pPr>
              <w:jc w:val="right"/>
              <w:ind w:right="2509"/>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3000" w:type="dxa"/>
            <w:vAlign w:val="bottom"/>
            <w:tcBorders>
              <w:bottom w:val="single" w:sz="8" w:color="CCEEFF"/>
            </w:tcBorders>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8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loss</w:t>
            </w:r>
          </w:p>
        </w:tc>
        <w:tc>
          <w:tcPr>
            <w:tcW w:w="4820" w:type="dxa"/>
            <w:vAlign w:val="bottom"/>
            <w:gridSpan w:val="2"/>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(39,182)</w:t>
            </w:r>
          </w:p>
        </w:tc>
        <w:tc>
          <w:tcPr>
            <w:tcW w:w="100" w:type="dxa"/>
            <w:vAlign w:val="bottom"/>
          </w:tcPr>
          <w:p>
            <w:pPr>
              <w:spacing w:after="0"/>
              <w:rPr>
                <w:sz w:val="15"/>
                <w:szCs w:val="15"/>
                <w:color w:val="auto"/>
              </w:rPr>
            </w:pPr>
          </w:p>
        </w:tc>
        <w:tc>
          <w:tcPr>
            <w:tcW w:w="98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(17,710)</w:t>
            </w:r>
          </w:p>
        </w:tc>
        <w:tc>
          <w:tcPr>
            <w:tcW w:w="0" w:type="dxa"/>
            <w:vAlign w:val="bottom"/>
          </w:tcPr>
          <w:p>
            <w:pPr>
              <w:spacing w:after="0"/>
              <w:rPr>
                <w:sz w:val="1"/>
                <w:szCs w:val="1"/>
                <w:color w:val="auto"/>
              </w:rPr>
            </w:pPr>
          </w:p>
        </w:tc>
      </w:tr>
      <w:tr>
        <w:trPr>
          <w:trHeight w:val="180"/>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38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0" w:type="dxa"/>
            <w:vAlign w:val="bottom"/>
          </w:tcPr>
          <w:p>
            <w:pPr>
              <w:spacing w:after="0"/>
              <w:rPr>
                <w:sz w:val="1"/>
                <w:szCs w:val="1"/>
                <w:color w:val="auto"/>
              </w:rPr>
            </w:pPr>
          </w:p>
        </w:tc>
      </w:tr>
      <w:tr>
        <w:trPr>
          <w:trHeight w:val="180"/>
        </w:trPr>
        <w:tc>
          <w:tcPr>
            <w:tcW w:w="4240" w:type="dxa"/>
            <w:vAlign w:val="bottom"/>
            <w:gridSpan w:val="3"/>
            <w:shd w:val="clear" w:color="auto" w:fill="CCEEFF"/>
          </w:tcPr>
          <w:p>
            <w:pPr>
              <w:ind w:left="100"/>
              <w:spacing w:after="0" w:line="161" w:lineRule="exact"/>
              <w:rPr>
                <w:sz w:val="20"/>
                <w:szCs w:val="20"/>
                <w:color w:val="auto"/>
              </w:rPr>
            </w:pPr>
            <w:r>
              <w:rPr>
                <w:rFonts w:ascii="Times New Roman" w:cs="Times New Roman" w:eastAsia="Times New Roman" w:hAnsi="Times New Roman"/>
                <w:sz w:val="14"/>
                <w:szCs w:val="14"/>
                <w:color w:val="auto"/>
              </w:rPr>
              <w:t>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lease expense</w:t>
            </w:r>
          </w:p>
        </w:tc>
        <w:tc>
          <w:tcPr>
            <w:tcW w:w="38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80"/>
        </w:trPr>
        <w:tc>
          <w:tcPr>
            <w:tcW w:w="4240" w:type="dxa"/>
            <w:vAlign w:val="bottom"/>
            <w:gridSpan w:val="3"/>
          </w:tcPr>
          <w:p>
            <w:pPr>
              <w:ind w:left="100"/>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3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0" w:type="dxa"/>
            <w:vAlign w:val="bottom"/>
          </w:tcPr>
          <w:p>
            <w:pPr>
              <w:spacing w:after="0"/>
              <w:rPr>
                <w:sz w:val="1"/>
                <w:szCs w:val="1"/>
                <w:color w:val="auto"/>
              </w:rPr>
            </w:pPr>
          </w:p>
        </w:tc>
      </w:tr>
      <w:tr>
        <w:trPr>
          <w:trHeight w:val="180"/>
        </w:trPr>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Gain on change in warrant liability</w:t>
            </w:r>
          </w:p>
        </w:tc>
        <w:tc>
          <w:tcPr>
            <w:tcW w:w="38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0" w:type="dxa"/>
            <w:vAlign w:val="bottom"/>
          </w:tcPr>
          <w:p>
            <w:pPr>
              <w:spacing w:after="0"/>
              <w:rPr>
                <w:sz w:val="1"/>
                <w:szCs w:val="1"/>
                <w:color w:val="auto"/>
              </w:rPr>
            </w:pPr>
          </w:p>
        </w:tc>
      </w:tr>
      <w:tr>
        <w:trPr>
          <w:trHeight w:val="180"/>
        </w:trPr>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Loss (gain) on change in fair value of CVR liability</w:t>
            </w:r>
          </w:p>
        </w:tc>
        <w:tc>
          <w:tcPr>
            <w:tcW w:w="3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13,800</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180"/>
        </w:trPr>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8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3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0" w:type="dxa"/>
            <w:vAlign w:val="bottom"/>
          </w:tcPr>
          <w:p>
            <w:pPr>
              <w:spacing w:after="0"/>
              <w:rPr>
                <w:sz w:val="1"/>
                <w:szCs w:val="1"/>
                <w:color w:val="auto"/>
              </w:rPr>
            </w:pPr>
          </w:p>
        </w:tc>
      </w:tr>
      <w:tr>
        <w:trPr>
          <w:trHeight w:val="180"/>
        </w:trPr>
        <w:tc>
          <w:tcPr>
            <w:tcW w:w="4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8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(5,830)</w:t>
            </w:r>
          </w:p>
        </w:tc>
        <w:tc>
          <w:tcPr>
            <w:tcW w:w="0" w:type="dxa"/>
            <w:vAlign w:val="bottom"/>
          </w:tcPr>
          <w:p>
            <w:pPr>
              <w:spacing w:after="0"/>
              <w:rPr>
                <w:sz w:val="1"/>
                <w:szCs w:val="1"/>
                <w:color w:val="auto"/>
              </w:rPr>
            </w:pPr>
          </w:p>
        </w:tc>
      </w:tr>
      <w:tr>
        <w:trPr>
          <w:trHeight w:val="180"/>
        </w:trPr>
        <w:tc>
          <w:tcPr>
            <w:tcW w:w="42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3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0" w:type="dxa"/>
            <w:vAlign w:val="bottom"/>
          </w:tcPr>
          <w:p>
            <w:pPr>
              <w:spacing w:after="0"/>
              <w:rPr>
                <w:sz w:val="1"/>
                <w:szCs w:val="1"/>
                <w:color w:val="auto"/>
              </w:rPr>
            </w:pPr>
          </w:p>
        </w:tc>
      </w:tr>
      <w:tr>
        <w:trPr>
          <w:trHeight w:val="180"/>
        </w:trPr>
        <w:tc>
          <w:tcPr>
            <w:tcW w:w="4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86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40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(23,108)</w:t>
            </w:r>
          </w:p>
        </w:tc>
        <w:tc>
          <w:tcPr>
            <w:tcW w:w="0" w:type="dxa"/>
            <w:vAlign w:val="bottom"/>
          </w:tcPr>
          <w:p>
            <w:pPr>
              <w:spacing w:after="0"/>
              <w:rPr>
                <w:sz w:val="1"/>
                <w:szCs w:val="1"/>
                <w:color w:val="auto"/>
              </w:rPr>
            </w:pPr>
          </w:p>
        </w:tc>
      </w:tr>
      <w:tr>
        <w:trPr>
          <w:trHeight w:val="180"/>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8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8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0" w:type="dxa"/>
            <w:vAlign w:val="bottom"/>
          </w:tcPr>
          <w:p>
            <w:pPr>
              <w:spacing w:after="0"/>
              <w:rPr>
                <w:sz w:val="1"/>
                <w:szCs w:val="1"/>
                <w:color w:val="auto"/>
              </w:rPr>
            </w:pPr>
          </w:p>
        </w:tc>
      </w:tr>
      <w:tr>
        <w:trPr>
          <w:trHeight w:val="171"/>
        </w:trPr>
        <w:tc>
          <w:tcPr>
            <w:tcW w:w="240" w:type="dxa"/>
            <w:vAlign w:val="bottom"/>
            <w:shd w:val="clear" w:color="auto" w:fill="CCEEFF"/>
          </w:tcPr>
          <w:p>
            <w:pPr>
              <w:spacing w:after="0"/>
              <w:rPr>
                <w:sz w:val="14"/>
                <w:szCs w:val="14"/>
                <w:color w:val="auto"/>
              </w:rPr>
            </w:pPr>
          </w:p>
        </w:tc>
        <w:tc>
          <w:tcPr>
            <w:tcW w:w="4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8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0" w:type="dxa"/>
            <w:vAlign w:val="bottom"/>
          </w:tcPr>
          <w:p>
            <w:pPr>
              <w:spacing w:after="0"/>
              <w:rPr>
                <w:sz w:val="1"/>
                <w:szCs w:val="1"/>
                <w:color w:val="auto"/>
              </w:rPr>
            </w:pPr>
          </w:p>
        </w:tc>
      </w:tr>
      <w:tr>
        <w:trPr>
          <w:trHeight w:val="180"/>
        </w:trPr>
        <w:tc>
          <w:tcPr>
            <w:tcW w:w="4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offering costs</w:t>
            </w:r>
          </w:p>
        </w:tc>
        <w:tc>
          <w:tcPr>
            <w:tcW w:w="38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180"/>
        </w:trPr>
        <w:tc>
          <w:tcPr>
            <w:tcW w:w="4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80"/>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at the market offering, net of commissions and expenses</w:t>
            </w:r>
          </w:p>
        </w:tc>
        <w:tc>
          <w:tcPr>
            <w:tcW w:w="38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Distribution of Contingent Value Rights</w:t>
            </w:r>
          </w:p>
        </w:tc>
        <w:tc>
          <w:tcPr>
            <w:tcW w:w="3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(7,754)</w:t>
            </w:r>
          </w:p>
        </w:tc>
        <w:tc>
          <w:tcPr>
            <w:tcW w:w="0" w:type="dxa"/>
            <w:vAlign w:val="bottom"/>
          </w:tcPr>
          <w:p>
            <w:pPr>
              <w:spacing w:after="0"/>
              <w:rPr>
                <w:sz w:val="1"/>
                <w:szCs w:val="1"/>
                <w:color w:val="auto"/>
              </w:rPr>
            </w:pPr>
          </w:p>
        </w:tc>
      </w:tr>
      <w:tr>
        <w:trPr>
          <w:trHeight w:val="171"/>
        </w:trPr>
        <w:tc>
          <w:tcPr>
            <w:tcW w:w="240" w:type="dxa"/>
            <w:vAlign w:val="bottom"/>
            <w:tcBorders>
              <w:top w:val="single" w:sz="8" w:color="CCEEFF"/>
            </w:tcBorders>
            <w:shd w:val="clear" w:color="auto" w:fill="CCEEFF"/>
          </w:tcPr>
          <w:p>
            <w:pPr>
              <w:spacing w:after="0"/>
              <w:rPr>
                <w:sz w:val="14"/>
                <w:szCs w:val="14"/>
                <w:color w:val="auto"/>
              </w:rPr>
            </w:pPr>
          </w:p>
        </w:tc>
        <w:tc>
          <w:tcPr>
            <w:tcW w:w="4000" w:type="dxa"/>
            <w:vAlign w:val="bottom"/>
            <w:tcBorders>
              <w:top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86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15,671</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(8,025)</w:t>
            </w:r>
          </w:p>
        </w:tc>
        <w:tc>
          <w:tcPr>
            <w:tcW w:w="0" w:type="dxa"/>
            <w:vAlign w:val="bottom"/>
          </w:tcPr>
          <w:p>
            <w:pPr>
              <w:spacing w:after="0"/>
              <w:rPr>
                <w:sz w:val="1"/>
                <w:szCs w:val="1"/>
                <w:color w:val="auto"/>
              </w:rPr>
            </w:pPr>
          </w:p>
        </w:tc>
      </w:tr>
      <w:tr>
        <w:trPr>
          <w:trHeight w:val="171"/>
        </w:trPr>
        <w:tc>
          <w:tcPr>
            <w:tcW w:w="42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38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71"/>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38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(6,498)</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(32,176)</w:t>
            </w:r>
          </w:p>
        </w:tc>
        <w:tc>
          <w:tcPr>
            <w:tcW w:w="0" w:type="dxa"/>
            <w:vAlign w:val="bottom"/>
          </w:tcPr>
          <w:p>
            <w:pPr>
              <w:spacing w:after="0"/>
              <w:rPr>
                <w:sz w:val="1"/>
                <w:szCs w:val="1"/>
                <w:color w:val="auto"/>
              </w:rPr>
            </w:pPr>
          </w:p>
        </w:tc>
      </w:tr>
      <w:tr>
        <w:trPr>
          <w:trHeight w:val="180"/>
        </w:trPr>
        <w:tc>
          <w:tcPr>
            <w:tcW w:w="42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38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126,874</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214,279</w:t>
            </w:r>
          </w:p>
        </w:tc>
        <w:tc>
          <w:tcPr>
            <w:tcW w:w="0" w:type="dxa"/>
            <w:vAlign w:val="bottom"/>
          </w:tcPr>
          <w:p>
            <w:pPr>
              <w:spacing w:after="0"/>
              <w:rPr>
                <w:sz w:val="1"/>
                <w:szCs w:val="1"/>
                <w:color w:val="auto"/>
              </w:rPr>
            </w:pPr>
          </w:p>
        </w:tc>
      </w:tr>
      <w:tr>
        <w:trPr>
          <w:trHeight w:val="175"/>
        </w:trPr>
        <w:tc>
          <w:tcPr>
            <w:tcW w:w="4240" w:type="dxa"/>
            <w:vAlign w:val="bottom"/>
            <w:tcBorders>
              <w:bottom w:val="single" w:sz="8" w:color="CCEEFF"/>
            </w:tcBorders>
            <w:gridSpan w:val="3"/>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38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80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120,376</w:t>
            </w: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2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182,103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3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240" w:type="dxa"/>
            <w:vAlign w:val="bottom"/>
            <w:gridSpan w:val="3"/>
            <w:vMerge w:val="continue"/>
          </w:tcPr>
          <w:p>
            <w:pPr>
              <w:spacing w:after="0"/>
              <w:rPr>
                <w:sz w:val="10"/>
                <w:szCs w:val="10"/>
                <w:color w:val="auto"/>
              </w:rPr>
            </w:pPr>
          </w:p>
        </w:tc>
        <w:tc>
          <w:tcPr>
            <w:tcW w:w="38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of property and equipment not yet paid</w:t>
            </w:r>
          </w:p>
        </w:tc>
        <w:tc>
          <w:tcPr>
            <w:tcW w:w="4820" w:type="dxa"/>
            <w:vAlign w:val="bottom"/>
            <w:gridSpan w:val="2"/>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0" w:type="dxa"/>
            <w:vAlign w:val="bottom"/>
          </w:tcPr>
          <w:p>
            <w:pPr>
              <w:spacing w:after="0"/>
              <w:rPr>
                <w:sz w:val="1"/>
                <w:szCs w:val="1"/>
                <w:color w:val="auto"/>
              </w:rPr>
            </w:pPr>
          </w:p>
        </w:tc>
      </w:tr>
      <w:tr>
        <w:trPr>
          <w:trHeight w:val="184"/>
        </w:trPr>
        <w:tc>
          <w:tcPr>
            <w:tcW w:w="4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Equity offering costs in accrued liabilities</w:t>
            </w:r>
          </w:p>
        </w:tc>
        <w:tc>
          <w:tcPr>
            <w:tcW w:w="4820" w:type="dxa"/>
            <w:vAlign w:val="bottom"/>
            <w:gridSpan w:val="2"/>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Pr>
          <w:p>
            <w:pPr>
              <w:spacing w:after="0"/>
              <w:rPr>
                <w:sz w:val="16"/>
                <w:szCs w:val="16"/>
                <w:color w:val="auto"/>
              </w:rPr>
            </w:pPr>
          </w:p>
        </w:tc>
        <w:tc>
          <w:tcPr>
            <w:tcW w:w="98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unaudited consolidated financial statements</w:t>
      </w:r>
      <w:r>
        <w:rPr>
          <w:rFonts w:ascii="Times New Roman" w:cs="Times New Roman" w:eastAsia="Times New Roman" w:hAnsi="Times New Roman"/>
          <w:sz w:val="13"/>
          <w:szCs w:val="13"/>
          <w:color w:val="auto"/>
        </w:rPr>
        <w:t>.</w:t>
      </w:r>
    </w:p>
    <w:p>
      <w:pPr>
        <w:spacing w:after="0" w:line="33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137160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0" w:name="page11"/>
    <w:bookmarkEnd w:id="10"/>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8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b w:val="1"/>
          <w:bCs w:val="1"/>
          <w:color w:val="auto"/>
        </w:rPr>
        <w:t xml:space="preserve">Cartesian Therapeutics, Inc. </w:t>
      </w:r>
      <w:r>
        <w:rPr>
          <w:rFonts w:ascii="Times New Roman" w:cs="Times New Roman" w:eastAsia="Times New Roman" w:hAnsi="Times New Roman"/>
          <w:sz w:val="14"/>
          <w:szCs w:val="14"/>
          <w:b w:val="1"/>
          <w:bCs w:val="1"/>
          <w:color w:val="auto"/>
        </w:rPr>
        <w:t>and Subsidiaries</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Description of the Business</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Cartesian Therapeutics, Inc., or the Company, </w:t>
      </w:r>
      <w:r>
        <w:rPr>
          <w:rFonts w:ascii="Times New Roman" w:cs="Times New Roman" w:eastAsia="Times New Roman" w:hAnsi="Times New Roman"/>
          <w:sz w:val="14"/>
          <w:szCs w:val="14"/>
          <w:color w:val="231F20"/>
        </w:rPr>
        <w:t>was</w:t>
      </w:r>
      <w:r>
        <w:rPr>
          <w:rFonts w:ascii="Times New Roman" w:cs="Times New Roman" w:eastAsia="Times New Roman" w:hAnsi="Times New Roman"/>
          <w:sz w:val="14"/>
          <w:szCs w:val="14"/>
          <w:color w:val="auto"/>
        </w:rPr>
        <w:t xml:space="preserve"> incorporated in Delaware on December 10, 2007, and is headquartered in Frederick, Maryland. The Company is a late clinical-stage biotechnology company </w:t>
      </w:r>
      <w:r>
        <w:rPr>
          <w:rFonts w:ascii="Times New Roman" w:cs="Times New Roman" w:eastAsia="Times New Roman" w:hAnsi="Times New Roman"/>
          <w:sz w:val="14"/>
          <w:szCs w:val="14"/>
          <w:color w:val="231F20"/>
        </w:rPr>
        <w:t>pioneering cell therapy for the treatment of autoimmune diseases. The Company leverages its proprietary technology and manufacturing platform to introduce mRNA into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cells to provide a therapeutic effect to patients suffering from a variety of autoimmune conditions. Unlike DNA, mRNA degrades naturally over time without integrating into the cell’s genetic material. The Company’s cell therapies are designed to be dosed repeatedly like conventional drugs, administered in an outpatient setting and given without pre-treatment chemotherapy, which is required with many conventional cell therapies.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Company’s Product Candidates</w:t>
      </w:r>
    </w:p>
    <w:p>
      <w:pPr>
        <w:spacing w:after="0" w:line="138"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The Company aims to provide a personalized approach to treating patients that begins with the collection of a patient’s cells, which are then used to manufacture the Company’s cell therapy product candidates. Once a patient’s cells have expanded in the Company’s process, mRNA is introduced to deliver a chimeric antigen receptor into the cell. Once the manufacturing process is complete, the product candidate is sent back to the treating physician where they administer six weekly infusions of the Company’s cell therapy candidate to the patient. The Company’s product candidates are specifically designed to target and destroy the pathogenic, self-reactive cells that are the underlying cause of the autoimmune disease, with the goal of creating a precision immune reset for the patient.</w:t>
      </w:r>
    </w:p>
    <w:p>
      <w:pPr>
        <w:spacing w:after="0" w:line="10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Descartes-08, the Company’s lead cell therapy product candidate, is an autologous chimeric antigen receptor T-cell therapy, or CAR-T, product targeting B-cell maturation antigen, or BCMA, in clinical development for the treatment of generalized myasthenia gravis, or MG, and myositis, specifically, moderate to severe multi-refractory dermatomyositis and antisynthetase syndrome. In contrast to conventional DNA-based CAR T-cell therapies, the Company’s CAR-T administration is designed to not require preconditioning chemotherapy, to be administered in the outpatient setting and does not carry the risk of genomic integration associated with cancerous transformation. Descartes-08 has been granted Orphan Drug Designation and Regenerative Medicine Advanced Therapy Designation by the U.S. Food and Drug Administration, or FDA, for the treatment of MG, and Rare Pediatric Disease Designation for the treatment of juvenile dermatomyositis.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Management’s Plan</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of March 31, 2026, the Company had an accumulated deficit of $861.6 million. The Company anticipates operating losses to continue for the foreseeable future due to, among other things, costs related to research and development of its product candidates and its administrative organization. The future success of the Company is dependent on its ability to develop its product candidates and ultimately upon its ability to attain and sustain profitable operations. The successful development of product candidates requires substantial working capital, which may not be available to the Company on favorable terms or at all.</w:t>
      </w:r>
    </w:p>
    <w:p>
      <w:pPr>
        <w:spacing w:after="0" w:line="9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March 31, 2026, the Company’s cash, cash equivalents, and restricted cash were $120.4 million, of which $1.7 million was restricted cash related to lease commitments. The Company believes the cash, cash equivalents and restricted cash as of March 31, 2026 will enable it to fund its current planned operations for at least the next 12 months.</w:t>
      </w:r>
    </w:p>
    <w:p>
      <w:pPr>
        <w:spacing w:after="0" w:line="8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Further, the liability associated with the CVR Agreement (as defined below) will be settled solely through cash flow received under the Company’s License and Development Agreement, or as so amended, the Sobi License, with Swedish Orphan Biovitrum AB (publ.), or Sobi, and any other Gross Proceeds (as defined in the CVR Agreement) net of certain agreed deductions. Under the CVR Agreement, 100% of all milestone payments, royalties and other amounts paid to the Company or controlled entities under the Sobi License, and any other Gross Proceeds will be distributed, net of specified deductions, to holders of the CVRs. There is no obligation to the Company to fund any amount related to the CVR liability. See Note 5, “Fair Value Measurements”.</w:t>
      </w:r>
    </w:p>
    <w:p>
      <w:pPr>
        <w:spacing w:after="0" w:line="9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If the Company is unable to obtain additional funding on a timely basis, it may be forced to significantly curtail, delay, or discontinue one or more of its planned research or development programs or be unable to expand its operations or otherwise capitalize on its commercialization of its product candidates.</w:t>
      </w:r>
    </w:p>
    <w:p>
      <w:pPr>
        <w:spacing w:after="0" w:line="80" w:lineRule="exact"/>
        <w:rPr>
          <w:sz w:val="20"/>
          <w:szCs w:val="20"/>
          <w:color w:val="auto"/>
        </w:rPr>
      </w:pPr>
    </w:p>
    <w:p>
      <w:pPr>
        <w:ind w:right="8480" w:firstLine="5"/>
        <w:spacing w:after="0" w:line="444" w:lineRule="auto"/>
        <w:tabs>
          <w:tab w:leader="none" w:pos="141"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 Basis of presentation and consolidation</w:t>
      </w:r>
    </w:p>
    <w:p>
      <w:pPr>
        <w:spacing w:after="0" w:line="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the Company and its wholly owned subsidiaries, Selecta (RUS), LLC, or Selecta (RUS), a Russian limited liability corporation, and Cartesian Bio, LLC, a Delaware limited liability</w:t>
      </w:r>
    </w:p>
    <w:p>
      <w:pPr>
        <w:spacing w:after="0" w:line="2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company, which is a variable interest entity for which the Company is the primary beneficiary and have been prepared in conformity with accounting principles generally accepted in the United States of America, or U.S. GAAP. Any reference in these notes to applicable guidance is meant to refer to the authoritative United States generally accepted accounting principles as found in the relevant Accounting Standards Codification, or ASC and Accounting Standards Update, or ASU, of the Financial Accounting Standards Board, or FASB. All significant intercompany accounts and transactions have been eliminated.</w:t>
      </w:r>
    </w:p>
    <w:p>
      <w:pPr>
        <w:spacing w:after="0" w:line="9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accompanying unaudited consolidated financial statements for the three months ended March 31, 2026 and 2025 have been prepared by the Company pursuant to the rules and regulations of the Securities and Exchange Commission, or the SEC, for interim financial statements. Certain information and footnote disclosures normally included in financial statements prepared in accordance with U.S. GAAP have been condensed or omitted pursuant to such rules and regulations. These consolidated financial statements should be read in conjunction with the Company’s audited consolidated financial statements and the notes thereto for the year ended December 31, 2025 included in the Company’s Annual Report on Form 10-K that was filed with the SEC on March 9, 2026.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March 31, 2026, the consolidated results of operations for the three months ended March 31, 2026, and cash flows for the three months ended March 31, 2026. Such adjustments are of a normal and recurring nature. The results of operations for the three months ended March 31, 2026 are not necessarily indicative of the results of operations that may be expected for the year ending December 31,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accounting policies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disclosed its significant accounting policies in Note 2, “Summary of Significant Accounting Policies” included in the Company’s Annual Report on Form 10-K for the year ended December 31, 2025. There have been no material changes to the Company’s significant accounting policies during the three months ended March 31, 2026.</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Not Yet Adopted</w:t>
      </w:r>
    </w:p>
    <w:p>
      <w:pPr>
        <w:spacing w:after="0" w:line="136"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 Reporting- Comprehensive Income- Expense Disaggregation Disclosures</w:t>
      </w:r>
      <w:r>
        <w:rPr>
          <w:rFonts w:ascii="Times New Roman" w:cs="Times New Roman" w:eastAsia="Times New Roman" w:hAnsi="Times New Roman"/>
          <w:sz w:val="14"/>
          <w:szCs w:val="14"/>
          <w:color w:val="auto"/>
        </w:rPr>
        <w:t xml:space="preserve"> (ASU 2024-03), which requires public companies to disclose, in interim and annual reporting periods, additional information about certain expenses in notes to financial statements, including purchases of inventory, employee compensation, depreciation, amortization of intangible assets, and selling expenses. This guidance will be effective for the annual period beginning the year ended December 31, 2027 and for interim periods beginning January 1, 2028, with early adoption permitted. The Company is currently evaluating the impact of the standard’s adoption on its consolidated financial statements and related disclosures.</w:t>
      </w:r>
    </w:p>
    <w:p>
      <w:pPr>
        <w:spacing w:after="0" w:line="9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In December 2025, the FASB issued ASU 2025-10, </w:t>
      </w:r>
      <w:r>
        <w:rPr>
          <w:rFonts w:ascii="Times New Roman" w:cs="Times New Roman" w:eastAsia="Times New Roman" w:hAnsi="Times New Roman"/>
          <w:sz w:val="14"/>
          <w:szCs w:val="14"/>
          <w:i w:val="1"/>
          <w:iCs w:val="1"/>
          <w:color w:val="auto"/>
        </w:rPr>
        <w:t>Government Grants (Topic 832): Accounting for Government Grants Received by Business Entities</w:t>
      </w:r>
      <w:r>
        <w:rPr>
          <w:rFonts w:ascii="Times New Roman" w:cs="Times New Roman" w:eastAsia="Times New Roman" w:hAnsi="Times New Roman"/>
          <w:sz w:val="14"/>
          <w:szCs w:val="14"/>
          <w:color w:val="auto"/>
        </w:rPr>
        <w:t xml:space="preserve"> (ASU 2025-10), which establishes authoritative guidance on the recognition, measurement, presentation, and disclosure of government grants. Under ASU 2025-10, government grants are recognized when it is probable that the entity will both comply with the conditions of the grant and the grant will be received. The ASU provides specific accounting models for grants related to assets and grants related to income, including options to recognize government grants as deferred income or as a reduction of the asset’s cost basis. The ASU also requires enhanced disclosures regarding the nature of government grants, significant terms and conditions, accounting policies applied, and amounts recognized in the financial statements. ASU 2025-10 is effective for fiscal years beginning after December 15, 2028, including interim periods within those fiscal years, with early adoption permitted. The Company is currently evaluating the impact of adopting ASU 2025-10 on its consolidated financial statements and related disclosures.</w:t>
      </w:r>
    </w:p>
    <w:p>
      <w:pPr>
        <w:spacing w:after="0" w:line="100"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 xml:space="preserve">In December 2025, the FASB issued ASU 2025-11, </w:t>
      </w:r>
      <w:r>
        <w:rPr>
          <w:rFonts w:ascii="Times New Roman" w:cs="Times New Roman" w:eastAsia="Times New Roman" w:hAnsi="Times New Roman"/>
          <w:sz w:val="14"/>
          <w:szCs w:val="14"/>
          <w:i w:val="1"/>
          <w:iCs w:val="1"/>
          <w:color w:val="auto"/>
        </w:rPr>
        <w:t>Interim Reporting (Topic 270): Narrow-Scope Improvements</w:t>
      </w:r>
      <w:r>
        <w:rPr>
          <w:rFonts w:ascii="Times New Roman" w:cs="Times New Roman" w:eastAsia="Times New Roman" w:hAnsi="Times New Roman"/>
          <w:sz w:val="14"/>
          <w:szCs w:val="14"/>
          <w:color w:val="auto"/>
        </w:rPr>
        <w:t xml:space="preserve"> (ASU 2025-11),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adopting ASU 2025-11 on its consolidated financial statements and related disclosures.</w:t>
      </w:r>
    </w:p>
    <w:p>
      <w:pPr>
        <w:spacing w:after="0" w:line="3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Goodwill and Indefinite-Lived Intangible Assets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March 31, 2026, the Company has goodwill of approximately $48.2 million and an indefinite-lived intangible asset of $93.9 million related to Descartes-08 for MG.</w:t>
      </w:r>
    </w:p>
    <w:p>
      <w:pPr>
        <w:spacing w:after="0" w:line="136"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There were no changes to the carrying value of the Company’s goodwill or in-process research and development asset related to Descartes-08 for MG during the three months ended March 31, 2026 and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Net Loss Per Share Allocable to Common Stockholders</w:t>
      </w:r>
    </w:p>
    <w:p>
      <w:pPr>
        <w:spacing w:after="0" w:line="138"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sets forth the computation of basic and diluted net loss per share allocable to common stockholders for the three months ended March 31, 2026 and 2025 (in thousands, except share and per-share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1"/>
        </w:trPr>
        <w:tc>
          <w:tcPr>
            <w:tcW w:w="85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0"/>
        </w:trPr>
        <w:tc>
          <w:tcPr>
            <w:tcW w:w="8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(39,182)</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(17,710)</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8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Weighted-average common shares outstanding - basic and diluted</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26,855,158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25,902,650</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 allocable to common stockholders:</w:t>
            </w: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r>
      <w:tr>
        <w:trPr>
          <w:trHeight w:val="171"/>
        </w:trPr>
        <w:tc>
          <w:tcPr>
            <w:tcW w:w="8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Basic and diluted</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(0.68)</w:t>
            </w: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represents the potential dilutive shares of common stock excluded from the computation of the diluted net loss per share allocable to common stockholders for all periods presented, as the effect would have been anti-dilutive: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4240" w:type="dxa"/>
            <w:vAlign w:val="bottom"/>
            <w:tcBorders>
              <w:bottom w:val="single" w:sz="8" w:color="CCEEFF"/>
            </w:tcBorders>
          </w:tcPr>
          <w:p>
            <w:pPr>
              <w:spacing w:after="0"/>
              <w:rPr>
                <w:sz w:val="14"/>
                <w:szCs w:val="14"/>
                <w:color w:val="auto"/>
              </w:rPr>
            </w:pPr>
          </w:p>
        </w:tc>
        <w:tc>
          <w:tcPr>
            <w:tcW w:w="43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options and restricted stock units</w:t>
            </w:r>
          </w:p>
        </w:tc>
        <w:tc>
          <w:tcPr>
            <w:tcW w:w="43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4,278,679</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3,047,628</w:t>
            </w:r>
          </w:p>
        </w:tc>
        <w:tc>
          <w:tcPr>
            <w:tcW w:w="0" w:type="dxa"/>
            <w:vAlign w:val="bottom"/>
          </w:tcPr>
          <w:p>
            <w:pPr>
              <w:spacing w:after="0"/>
              <w:rPr>
                <w:sz w:val="1"/>
                <w:szCs w:val="1"/>
                <w:color w:val="auto"/>
              </w:rPr>
            </w:pP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 to purchase common stock</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692,272</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692,523</w:t>
            </w: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4,026,346</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4,026,346</w:t>
            </w:r>
          </w:p>
        </w:tc>
        <w:tc>
          <w:tcPr>
            <w:tcW w:w="0" w:type="dxa"/>
            <w:vAlign w:val="bottom"/>
          </w:tcPr>
          <w:p>
            <w:pPr>
              <w:spacing w:after="0"/>
              <w:rPr>
                <w:sz w:val="1"/>
                <w:szCs w:val="1"/>
                <w:color w:val="auto"/>
              </w:rPr>
            </w:pP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B Preferred Stock</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437,927</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437,927</w:t>
            </w: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432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9,435,224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8,204,424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bottom w:val="single" w:sz="8" w:color="CCEEFF"/>
            </w:tcBorders>
            <w:vMerge w:val="restart"/>
          </w:tcPr>
          <w:p>
            <w:pPr>
              <w:jc w:val="right"/>
              <w:ind w:right="2649"/>
              <w:spacing w:after="0"/>
              <w:rPr>
                <w:sz w:val="20"/>
                <w:szCs w:val="20"/>
                <w:color w:val="auto"/>
              </w:rPr>
            </w:pPr>
            <w:r>
              <w:rPr>
                <w:rFonts w:ascii="Times New Roman" w:cs="Times New Roman" w:eastAsia="Times New Roman" w:hAnsi="Times New Roman"/>
                <w:sz w:val="14"/>
                <w:szCs w:val="14"/>
                <w:color w:val="auto"/>
              </w:rPr>
              <w:t>12</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424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240" w:type="dxa"/>
            <w:vAlign w:val="bottom"/>
            <w:tcBorders>
              <w:bottom w:val="single" w:sz="8" w:color="9A9A9A"/>
            </w:tcBorders>
          </w:tcPr>
          <w:p>
            <w:pPr>
              <w:spacing w:after="0"/>
              <w:rPr>
                <w:sz w:val="18"/>
                <w:szCs w:val="18"/>
                <w:color w:val="auto"/>
              </w:rPr>
            </w:pPr>
          </w:p>
        </w:tc>
        <w:tc>
          <w:tcPr>
            <w:tcW w:w="432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Fair Value Measurements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present the Company’s assets and liabilities that are measured at fair value on a recurring basis as of March 31, 2026 and December 31, 2025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7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0"/>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r>
      <w:tr>
        <w:trPr>
          <w:trHeight w:val="180"/>
        </w:trPr>
        <w:tc>
          <w:tcPr>
            <w:tcW w:w="5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117,674</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117,674</w:t>
            </w:r>
          </w:p>
        </w:tc>
        <w:tc>
          <w:tcPr>
            <w:tcW w:w="80" w:type="dxa"/>
            <w:vAlign w:val="bottom"/>
          </w:tcPr>
          <w:p>
            <w:pPr>
              <w:spacing w:after="0"/>
              <w:rPr>
                <w:sz w:val="15"/>
                <w:szCs w:val="15"/>
                <w:color w:val="auto"/>
              </w:rPr>
            </w:pPr>
          </w:p>
        </w:tc>
        <w:tc>
          <w:tcPr>
            <w:tcW w:w="10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5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Warrant liability</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0"/>
        </w:trPr>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405,900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405,900</w:t>
            </w:r>
          </w:p>
        </w:tc>
      </w:tr>
      <w:tr>
        <w:trPr>
          <w:trHeight w:val="171"/>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405,947</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405,947</w:t>
            </w:r>
          </w:p>
        </w:tc>
      </w:tr>
      <w:tr>
        <w:trPr>
          <w:trHeight w:val="20"/>
        </w:trPr>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7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0"/>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r>
      <w:tr>
        <w:trPr>
          <w:trHeight w:val="180"/>
        </w:trPr>
        <w:tc>
          <w:tcPr>
            <w:tcW w:w="5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122,724</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122,724</w:t>
            </w:r>
          </w:p>
        </w:tc>
        <w:tc>
          <w:tcPr>
            <w:tcW w:w="80" w:type="dxa"/>
            <w:vAlign w:val="bottom"/>
          </w:tcPr>
          <w:p>
            <w:pPr>
              <w:spacing w:after="0"/>
              <w:rPr>
                <w:sz w:val="15"/>
                <w:szCs w:val="15"/>
                <w:color w:val="auto"/>
              </w:rPr>
            </w:pPr>
          </w:p>
        </w:tc>
        <w:tc>
          <w:tcPr>
            <w:tcW w:w="10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122,724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122,724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5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Warrant liability</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80"/>
        </w:trPr>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392,100</w:t>
            </w:r>
          </w:p>
        </w:tc>
      </w:tr>
      <w:tr>
        <w:trPr>
          <w:trHeight w:val="171"/>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392,241</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392,241</w:t>
            </w:r>
          </w:p>
        </w:tc>
      </w:tr>
      <w:tr>
        <w:trPr>
          <w:trHeight w:val="20"/>
        </w:trPr>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were no transfers within the fair value hierarchy during the three months ended March 31, 2026 or the year ended December 31, 2025.</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Cash, Cash Equivalents, and Restricted Cash</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March 31, 2026 and December 31, 2025, money market funds were classified as cash and cash equivalents on the accompanying consolidated balance sheets as they mature within 90 days from the date of purchase.</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March 31, 2026, the Company had restricted cash balances relating to secured letters of credit in connection with its real estate leases. The Company’s consolidated statements of cash flows include the following as of March 31, 2026 and 2025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71"/>
        </w:trPr>
        <w:tc>
          <w:tcPr>
            <w:tcW w:w="85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118,641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180,434</w:t>
            </w:r>
          </w:p>
        </w:tc>
      </w:tr>
      <w:tr>
        <w:trPr>
          <w:trHeight w:val="18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8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w:t>
            </w:r>
          </w:p>
        </w:tc>
      </w:tr>
      <w:tr>
        <w:trPr>
          <w:trHeight w:val="196"/>
        </w:trPr>
        <w:tc>
          <w:tcPr>
            <w:tcW w:w="8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80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120,376</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182,103</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Warrants to Purchase Common Stock</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April 2022, the Company issued warrants in connection with an underwritten offering,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w:t>
      </w:r>
    </w:p>
    <w:p>
      <w:pPr>
        <w:spacing w:after="0" w:line="9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recorded the fair value of the 2022 Warrants upon issuance using the Black-Scholes valuation model and is required to revalue the 2022 Warrants at each reporting date, with any changes in fair value recorded in the statements of operations and comprehensive loss. The valuation of the 2022 Warrants is classified as Level 3 of the fair value hierarchy due to the need to use assumptions in the valuation that are both significant to the fair value measurement and unobservable,</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including the stock price volatility and the expected life of the 2022 Warrants. Generally, increases (decreases) in the fair value of the underlying stock and estimated term would result in a directionally similar impact to the fair value measurement.</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estimated fair value of the 2022 Warrants was determined using the following inputs to the Black-Scholes simulation valuation:</w:t>
      </w:r>
    </w:p>
    <w:p>
      <w:pPr>
        <w:spacing w:after="0" w:line="136"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fair value of the underlying stock. The Company estimates the fair value of the common stock based on the closing stock price at the end of each reporting period.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Risk-free interest rate. The risk-free interest rate is based on the U.S. Treasury at the valuation date commensurate with the expected remaining life assumption.</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rate. The dividend rate is based on the historical rate, which the Company anticipates will remain at zero.</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life. The expected life of the 2022 Warrants is assumed to be equivalent to their remaining contractual term which expires on April 11, 2027.</w:t>
      </w:r>
    </w:p>
    <w:p>
      <w:pPr>
        <w:spacing w:after="0" w:line="136"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The Company estimates stock price volatility based on the Company’s historical volatility for a period of time commensurate with the expected remaining life of the 2022 Warrants.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 summary of the Black-Scholes pricing model assumptions used to record the fair value of the 2022 Warrants liability is as follows:</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29"/>
        </w:trPr>
        <w:tc>
          <w:tcPr>
            <w:tcW w:w="8360" w:type="dxa"/>
            <w:vAlign w:val="bottom"/>
          </w:tcPr>
          <w:p>
            <w:pPr>
              <w:spacing w:after="0"/>
              <w:rPr>
                <w:sz w:val="24"/>
                <w:szCs w:val="24"/>
                <w:color w:val="auto"/>
              </w:rPr>
            </w:pP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71"/>
        </w:trPr>
        <w:tc>
          <w:tcPr>
            <w:tcW w:w="8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r>
      <w:tr>
        <w:trPr>
          <w:trHeight w:val="18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5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14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1.28</w:t>
            </w:r>
          </w:p>
        </w:tc>
      </w:tr>
      <w:tr>
        <w:trPr>
          <w:trHeight w:val="184"/>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89.14%</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87.36%</w:t>
            </w:r>
          </w:p>
        </w:tc>
      </w:tr>
    </w:tbl>
    <w:p>
      <w:pPr>
        <w:spacing w:after="0" w:line="14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reflects a roll-forward of fair value for the Company’s Level 3 warrant liabilities (see Note 9, “Equity” to these unaudited consolidated financial statements) for the three months ended March 31, 2026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Warrant Liability</w:t>
            </w:r>
          </w:p>
        </w:tc>
      </w:tr>
      <w:tr>
        <w:trPr>
          <w:trHeight w:val="171"/>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80"/>
        </w:trPr>
        <w:tc>
          <w:tcPr>
            <w:tcW w:w="9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Change in fair value</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96"/>
        </w:trPr>
        <w:tc>
          <w:tcPr>
            <w:tcW w:w="9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March 31, 2026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Contingent Value Right</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December 2023, the Company entered into a contingent value rights agreement, or the CVR Agreement, pursuant to which each holder of common stock or a 2022 Warrant in December 2023 was distributed a CVR by the Company. Each CVR entitles its holder to distributions of milestone and royalty payments under the Sobi License, net of deductions. See Note 6, “Fair Value Measurements” to the consolidated financial statements included in the Company’s Annual Report on Form 10-K for the year ended December 31, 2025 for further discussion of the terms related to the CVR Agreement.</w:t>
      </w:r>
    </w:p>
    <w:p>
      <w:pPr>
        <w:spacing w:after="0" w:line="9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CVRs represent financial instruments that are accounted for under the fair value option election in ASC 825, Financial Instruments, or ASC 825. Under the fair value option election, the CVRs are initially measured at the aggregate estimated fair value of the CVRs and will be subsequently remeasured at estimated fair value on a recurring basis at each reporting period date. The estimated fair value of the CVR liability was determined using a Monte Carlo simulation model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loss. The liability value is based on significant inputs not observable in the market such as estimated cash flows, estimated probabilities of success, and expected volatility of future revenues, which represent a Level 3 measurement within the fair value hierarchy. The significant inputs used to estimate the fair value of the CVR liability, which represented a financial instrument being accounted for under the fair value option, were as follows:</w:t>
      </w:r>
    </w:p>
    <w:p>
      <w:pPr>
        <w:spacing w:after="0" w:line="3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595"/>
        </w:trPr>
        <w:tc>
          <w:tcPr>
            <w:tcW w:w="26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7100" w:type="dxa"/>
            <w:vAlign w:val="bottom"/>
          </w:tcPr>
          <w:p>
            <w:pPr>
              <w:spacing w:after="0"/>
              <w:rPr>
                <w:sz w:val="24"/>
                <w:szCs w:val="24"/>
                <w:color w:val="auto"/>
              </w:rPr>
            </w:pP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71"/>
        </w:trPr>
        <w:tc>
          <w:tcPr>
            <w:tcW w:w="83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cash flow dates</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2026 - 2038</w:t>
            </w: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2026 - 2037</w:t>
            </w:r>
          </w:p>
        </w:tc>
      </w:tr>
      <w:tr>
        <w:trPr>
          <w:trHeight w:val="180"/>
        </w:trPr>
        <w:tc>
          <w:tcPr>
            <w:tcW w:w="8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Estimated probability of success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 - 100.0%</w:t>
            </w: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 - 100.0%</w:t>
            </w:r>
          </w:p>
        </w:tc>
      </w:tr>
      <w:tr>
        <w:trPr>
          <w:trHeight w:val="180"/>
        </w:trPr>
        <w:tc>
          <w:tcPr>
            <w:tcW w:w="8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 of future revenues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r>
    </w:tbl>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reflects a roll-forward of fair value for the Company’s Level 3 CVR liability for the three months ended March 31, 2026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CVR Liability</w:t>
            </w:r>
          </w:p>
        </w:tc>
        <w:tc>
          <w:tcPr>
            <w:tcW w:w="0" w:type="dxa"/>
            <w:vAlign w:val="bottom"/>
          </w:tcPr>
          <w:p>
            <w:pPr>
              <w:spacing w:after="0"/>
              <w:rPr>
                <w:sz w:val="1"/>
                <w:szCs w:val="1"/>
                <w:color w:val="auto"/>
              </w:rPr>
            </w:pPr>
          </w:p>
        </w:tc>
      </w:tr>
      <w:tr>
        <w:trPr>
          <w:trHeight w:val="17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2025</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392,100</w:t>
            </w:r>
          </w:p>
        </w:tc>
        <w:tc>
          <w:tcPr>
            <w:tcW w:w="0" w:type="dxa"/>
            <w:vAlign w:val="bottom"/>
          </w:tcPr>
          <w:p>
            <w:pPr>
              <w:spacing w:after="0"/>
              <w:rPr>
                <w:sz w:val="1"/>
                <w:szCs w:val="1"/>
                <w:color w:val="auto"/>
              </w:rPr>
            </w:pPr>
          </w:p>
        </w:tc>
      </w:tr>
      <w:tr>
        <w:trPr>
          <w:trHeight w:val="180"/>
        </w:trPr>
        <w:tc>
          <w:tcPr>
            <w:tcW w:w="8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Change in fair value</w:t>
            </w:r>
          </w:p>
        </w:tc>
        <w:tc>
          <w:tcPr>
            <w:tcW w:w="14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13,800</w:t>
            </w:r>
          </w:p>
        </w:tc>
        <w:tc>
          <w:tcPr>
            <w:tcW w:w="0" w:type="dxa"/>
            <w:vAlign w:val="bottom"/>
          </w:tcPr>
          <w:p>
            <w:pPr>
              <w:spacing w:after="0"/>
              <w:rPr>
                <w:sz w:val="1"/>
                <w:szCs w:val="1"/>
                <w:color w:val="auto"/>
              </w:rPr>
            </w:pPr>
          </w:p>
        </w:tc>
      </w:tr>
      <w:tr>
        <w:trPr>
          <w:trHeight w:val="196"/>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March 31, 2026</w:t>
            </w: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405,900</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6. Property and Equipment</w:t>
            </w: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8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Property and equipment consists of the following (in thousands):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8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24"/>
                <w:szCs w:val="24"/>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0" w:type="dxa"/>
            <w:vAlign w:val="bottom"/>
          </w:tcPr>
          <w:p>
            <w:pPr>
              <w:spacing w:after="0"/>
              <w:rPr>
                <w:sz w:val="1"/>
                <w:szCs w:val="1"/>
                <w:color w:val="auto"/>
              </w:rPr>
            </w:pPr>
          </w:p>
        </w:tc>
      </w:tr>
      <w:tr>
        <w:trPr>
          <w:trHeight w:val="171"/>
        </w:trPr>
        <w:tc>
          <w:tcPr>
            <w:tcW w:w="8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8,419</w:t>
            </w:r>
          </w:p>
        </w:tc>
        <w:tc>
          <w:tcPr>
            <w:tcW w:w="0" w:type="dxa"/>
            <w:vAlign w:val="bottom"/>
          </w:tcPr>
          <w:p>
            <w:pPr>
              <w:spacing w:after="0"/>
              <w:rPr>
                <w:sz w:val="1"/>
                <w:szCs w:val="1"/>
                <w:color w:val="auto"/>
              </w:rPr>
            </w:pP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0" w:type="dxa"/>
            <w:vAlign w:val="bottom"/>
          </w:tcPr>
          <w:p>
            <w:pPr>
              <w:spacing w:after="0"/>
              <w:rPr>
                <w:sz w:val="1"/>
                <w:szCs w:val="1"/>
                <w:color w:val="auto"/>
              </w:rPr>
            </w:pP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4,177</w:t>
            </w:r>
          </w:p>
        </w:tc>
        <w:tc>
          <w:tcPr>
            <w:tcW w:w="0" w:type="dxa"/>
            <w:vAlign w:val="bottom"/>
          </w:tcPr>
          <w:p>
            <w:pPr>
              <w:spacing w:after="0"/>
              <w:rPr>
                <w:sz w:val="1"/>
                <w:szCs w:val="1"/>
                <w:color w:val="auto"/>
              </w:rPr>
            </w:pP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equipment</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8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Construction in process</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0" w:type="dxa"/>
            <w:vAlign w:val="bottom"/>
          </w:tcPr>
          <w:p>
            <w:pPr>
              <w:spacing w:after="0"/>
              <w:rPr>
                <w:sz w:val="1"/>
                <w:szCs w:val="1"/>
                <w:color w:val="auto"/>
              </w:rPr>
            </w:pPr>
          </w:p>
        </w:tc>
      </w:tr>
      <w:tr>
        <w:trPr>
          <w:trHeight w:val="171"/>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16,918</w:t>
            </w:r>
          </w:p>
        </w:tc>
        <w:tc>
          <w:tcPr>
            <w:tcW w:w="0" w:type="dxa"/>
            <w:vAlign w:val="bottom"/>
          </w:tcPr>
          <w:p>
            <w:pPr>
              <w:spacing w:after="0"/>
              <w:rPr>
                <w:sz w:val="1"/>
                <w:szCs w:val="1"/>
                <w:color w:val="auto"/>
              </w:rPr>
            </w:pPr>
          </w:p>
        </w:tc>
      </w:tr>
      <w:tr>
        <w:trPr>
          <w:trHeight w:val="18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(4,733)</w:t>
            </w:r>
          </w:p>
        </w:tc>
        <w:tc>
          <w:tcPr>
            <w:tcW w:w="0" w:type="dxa"/>
            <w:vAlign w:val="bottom"/>
          </w:tcPr>
          <w:p>
            <w:pPr>
              <w:spacing w:after="0"/>
              <w:rPr>
                <w:sz w:val="1"/>
                <w:szCs w:val="1"/>
                <w:color w:val="auto"/>
              </w:rPr>
            </w:pPr>
          </w:p>
        </w:tc>
      </w:tr>
      <w:tr>
        <w:trPr>
          <w:trHeight w:val="196"/>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12,185</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4"/>
                <w:szCs w:val="14"/>
                <w:color w:val="auto"/>
              </w:rPr>
              <w:t>Depreciation expense was $0.6 million for each of the three months ended March 31, 2026 and 2025, respectively.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8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7. Accrued Expenses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expenses consist of the following (in thousands):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8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24"/>
                <w:szCs w:val="24"/>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0" w:type="dxa"/>
            <w:vAlign w:val="bottom"/>
          </w:tcPr>
          <w:p>
            <w:pPr>
              <w:spacing w:after="0"/>
              <w:rPr>
                <w:sz w:val="1"/>
                <w:szCs w:val="1"/>
                <w:color w:val="auto"/>
              </w:rPr>
            </w:pPr>
          </w:p>
        </w:tc>
      </w:tr>
      <w:tr>
        <w:trPr>
          <w:trHeight w:val="171"/>
        </w:trPr>
        <w:tc>
          <w:tcPr>
            <w:tcW w:w="8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and employee related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3,985</w:t>
            </w:r>
          </w:p>
        </w:tc>
        <w:tc>
          <w:tcPr>
            <w:tcW w:w="0" w:type="dxa"/>
            <w:vAlign w:val="bottom"/>
          </w:tcPr>
          <w:p>
            <w:pPr>
              <w:spacing w:after="0"/>
              <w:rPr>
                <w:sz w:val="1"/>
                <w:szCs w:val="1"/>
                <w:color w:val="auto"/>
              </w:rPr>
            </w:pP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Collaboration and licensing</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patent fees</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research and development costs</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0" w:type="dxa"/>
            <w:vAlign w:val="bottom"/>
          </w:tcPr>
          <w:p>
            <w:pPr>
              <w:spacing w:after="0"/>
              <w:rPr>
                <w:sz w:val="1"/>
                <w:szCs w:val="1"/>
                <w:color w:val="auto"/>
              </w:rPr>
            </w:pP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professional and consulting services</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w:t>
            </w:r>
          </w:p>
        </w:tc>
        <w:tc>
          <w:tcPr>
            <w:tcW w:w="0" w:type="dxa"/>
            <w:vAlign w:val="bottom"/>
          </w:tcPr>
          <w:p>
            <w:pPr>
              <w:spacing w:after="0"/>
              <w:rPr>
                <w:sz w:val="1"/>
                <w:szCs w:val="1"/>
                <w:color w:val="auto"/>
              </w:rPr>
            </w:pP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equity offering costs</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171"/>
        </w:trPr>
        <w:tc>
          <w:tcPr>
            <w:tcW w:w="8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expenses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10,161</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9,498</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Leases</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maintains operating leases for manufacturing, laboratory and office space located in Maryland and Massachusetts. In Frederick, Maryland, the Company occupies over 35,000 total square feet of integrated space under a lease agreement, or the Frederick Lease Agreement, and subsequent amendments entered into between February 2024 and June 2025, or the Amended Frederick Lease Agreement. The Amended Fredrick Lease Agreement is set to expire in 2031, carries an aggregate annual base rent of approximately $1.4 million and is subject to annual increases in accordance with the terms of the</w:t>
      </w:r>
    </w:p>
    <w:p>
      <w:pPr>
        <w:spacing w:after="0" w:line="3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6" w:name="page17"/>
    <w:bookmarkEnd w:id="16"/>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Amended Frederick Lease Agreement. See Note 9, “Leases” to the consolidated financial statements included in the Company’s Annual Report on Form 10-K for the year ended December 31, 2025 for further discussion of the Company’s leases.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 the three months ended March 31, 2026 and 2025, the components of lease costs were as follows (in thousands):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8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71"/>
        </w:trPr>
        <w:tc>
          <w:tcPr>
            <w:tcW w:w="83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583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0" w:type="dxa"/>
            <w:vAlign w:val="bottom"/>
          </w:tcPr>
          <w:p>
            <w:pPr>
              <w:spacing w:after="0"/>
              <w:rPr>
                <w:sz w:val="1"/>
                <w:szCs w:val="1"/>
                <w:color w:val="auto"/>
              </w:rPr>
            </w:pPr>
          </w:p>
        </w:tc>
      </w:tr>
      <w:tr>
        <w:trPr>
          <w:trHeight w:val="18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2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lease cost</w:t>
            </w:r>
          </w:p>
        </w:tc>
        <w:tc>
          <w:tcPr>
            <w:tcW w:w="2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1,018</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The maturity of the Company’s operating lease liabilities as of March 31, 2026 were as follows (in thousands):</w:t>
            </w: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8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83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17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 (remainder)</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w:t>
            </w:r>
          </w:p>
        </w:tc>
        <w:tc>
          <w:tcPr>
            <w:tcW w:w="0" w:type="dxa"/>
            <w:vAlign w:val="bottom"/>
          </w:tcPr>
          <w:p>
            <w:pPr>
              <w:spacing w:after="0"/>
              <w:rPr>
                <w:sz w:val="1"/>
                <w:szCs w:val="1"/>
                <w:color w:val="auto"/>
              </w:rPr>
            </w:pPr>
          </w:p>
        </w:tc>
      </w:tr>
      <w:tr>
        <w:trPr>
          <w:trHeight w:val="18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4,554</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w:t>
            </w:r>
          </w:p>
        </w:tc>
        <w:tc>
          <w:tcPr>
            <w:tcW w:w="0" w:type="dxa"/>
            <w:vAlign w:val="bottom"/>
          </w:tcPr>
          <w:p>
            <w:pPr>
              <w:spacing w:after="0"/>
              <w:rPr>
                <w:sz w:val="1"/>
                <w:szCs w:val="1"/>
                <w:color w:val="auto"/>
              </w:rPr>
            </w:pPr>
          </w:p>
        </w:tc>
      </w:tr>
      <w:tr>
        <w:trPr>
          <w:trHeight w:val="18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0" w:type="dxa"/>
            <w:vAlign w:val="bottom"/>
          </w:tcPr>
          <w:p>
            <w:pPr>
              <w:spacing w:after="0"/>
              <w:rPr>
                <w:sz w:val="1"/>
                <w:szCs w:val="1"/>
                <w:color w:val="auto"/>
              </w:rPr>
            </w:pPr>
          </w:p>
        </w:tc>
      </w:tr>
      <w:tr>
        <w:trPr>
          <w:trHeight w:val="18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0" w:type="dxa"/>
            <w:vAlign w:val="bottom"/>
          </w:tcPr>
          <w:p>
            <w:pPr>
              <w:spacing w:after="0"/>
              <w:rPr>
                <w:sz w:val="1"/>
                <w:szCs w:val="1"/>
                <w:color w:val="auto"/>
              </w:rPr>
            </w:pPr>
          </w:p>
        </w:tc>
      </w:tr>
      <w:tr>
        <w:trPr>
          <w:trHeight w:val="171"/>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future minimum lease payments</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14,815</w:t>
            </w:r>
          </w:p>
        </w:tc>
        <w:tc>
          <w:tcPr>
            <w:tcW w:w="0" w:type="dxa"/>
            <w:vAlign w:val="bottom"/>
          </w:tcPr>
          <w:p>
            <w:pPr>
              <w:spacing w:after="0"/>
              <w:rPr>
                <w:sz w:val="1"/>
                <w:szCs w:val="1"/>
                <w:color w:val="auto"/>
              </w:rPr>
            </w:pPr>
          </w:p>
        </w:tc>
      </w:tr>
      <w:tr>
        <w:trPr>
          <w:trHeight w:val="18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(2,960)</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4"/>
                <w:szCs w:val="14"/>
                <w:color w:val="auto"/>
              </w:rPr>
              <w:t>Other information related to operating leases was as follows:</w:t>
            </w: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8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8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 (in thousands)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18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 years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years</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changes in the Company’s right-of-use assets and lease liabilities for the three months ended March 31, 2026 and 2025 are reflected in the non-cash lease expense and accrued expenses and other liabilities, respectively, in the consolidated statements of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Equity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Financings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“At the Market” Sales Agreement</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December 13, 2024, the Company entered into a Sales Agreement, or the Sales Agreement, with Leerink Partners LLC to sell shares of the Company’s common stock, from time to time, through an “at the market” equity offering program under which Leerink Partners LLC will act as sales agent. The shares of common stock sold pursuant to the Sales Agreement will be issued pursuant to the Company’s shelf registration statement on Form S-3 (File No. 333-283803), filed on December 13, 2024 with the SEC and related prospectus supplement, filed on January 8, 2025 with the SEC, for aggregate gross sales proceeds of up to $100.0 million.</w:t>
      </w:r>
    </w:p>
    <w:p>
      <w:pPr>
        <w:spacing w:after="0" w:line="9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2026, the Company sold 2,270,712 shares of its common stock pursuant to the Sales Agreement for net proceeds of approximately $14.6 million after commissions and expenses. There were no shares sold pursuant to the Sales Agreement during the three months ended March 31, 2025.</w:t>
      </w:r>
    </w:p>
    <w:p>
      <w:pPr>
        <w:spacing w:after="0" w:line="2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During the three months ended March 31, 2026, there were no warrants issued, exercised, or cancelled. The following is a summary of the Company’s warrants as of March 31, 2026: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1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760" w:type="dxa"/>
            <w:vAlign w:val="bottom"/>
          </w:tcPr>
          <w:p>
            <w:pPr>
              <w:spacing w:after="0"/>
              <w:rPr>
                <w:sz w:val="11"/>
                <w:szCs w:val="11"/>
                <w:color w:val="auto"/>
              </w:rPr>
            </w:pPr>
          </w:p>
        </w:tc>
        <w:tc>
          <w:tcPr>
            <w:tcW w:w="140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4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Liability classified</w:t>
            </w:r>
          </w:p>
        </w:tc>
        <w:tc>
          <w:tcPr>
            <w:tcW w:w="14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1220" w:type="dxa"/>
            <w:vAlign w:val="bottom"/>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1"/>
        </w:trPr>
        <w:tc>
          <w:tcPr>
            <w:tcW w:w="5760" w:type="dxa"/>
            <w:vAlign w:val="bottom"/>
          </w:tcPr>
          <w:p>
            <w:pPr>
              <w:spacing w:after="0"/>
              <w:rPr>
                <w:sz w:val="16"/>
                <w:szCs w:val="16"/>
                <w:color w:val="auto"/>
              </w:rPr>
            </w:pP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classified</w:t>
            </w:r>
          </w:p>
        </w:tc>
        <w:tc>
          <w:tcPr>
            <w:tcW w:w="140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6"/>
        </w:trPr>
        <w:tc>
          <w:tcPr>
            <w:tcW w:w="5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March 31, 2026</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685,712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692,272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46.76</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See Note 11, “Equity” to the consolidated financial statements included in the Company’s Annual Report on Form 10-K for the year ended December 31, 2025 for further discussion of the terms related to the Company’s warrants.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March 31, 2026, the Company had 120,790.402 shares of Series A Preferred Stock and 437,927 shares of Series B Preferred Stock issued and outstanding, respectively, which are convertible into 4,464,273 shares of common stock.</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Reserved Shares</w:t>
            </w:r>
          </w:p>
        </w:tc>
        <w:tc>
          <w:tcPr>
            <w:tcW w:w="1320" w:type="dxa"/>
            <w:vAlign w:val="bottom"/>
          </w:tcPr>
          <w:p>
            <w:pPr>
              <w:spacing w:after="0"/>
              <w:rPr>
                <w:sz w:val="16"/>
                <w:szCs w:val="16"/>
                <w:color w:val="auto"/>
              </w:rPr>
            </w:pPr>
          </w:p>
        </w:tc>
      </w:tr>
      <w:tr>
        <w:trPr>
          <w:trHeight w:val="297"/>
        </w:trPr>
        <w:tc>
          <w:tcPr>
            <w:tcW w:w="9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Company has authorized shares of common stock for future issuance as of March 31, 2026 as follows:</w:t>
            </w:r>
          </w:p>
        </w:tc>
        <w:tc>
          <w:tcPr>
            <w:tcW w:w="1320" w:type="dxa"/>
            <w:vAlign w:val="bottom"/>
          </w:tcPr>
          <w:p>
            <w:pPr>
              <w:spacing w:after="0"/>
              <w:rPr>
                <w:sz w:val="24"/>
                <w:szCs w:val="24"/>
                <w:color w:val="auto"/>
              </w:rPr>
            </w:pPr>
          </w:p>
        </w:tc>
      </w:tr>
      <w:tr>
        <w:trPr>
          <w:trHeight w:val="329"/>
        </w:trPr>
        <w:tc>
          <w:tcPr>
            <w:tcW w:w="996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171"/>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692,272</w:t>
            </w:r>
          </w:p>
        </w:tc>
      </w:tr>
      <w:tr>
        <w:trPr>
          <w:trHeight w:val="180"/>
        </w:trPr>
        <w:tc>
          <w:tcPr>
            <w:tcW w:w="9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available for future stock incentive awards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3,641,284</w:t>
            </w:r>
          </w:p>
        </w:tc>
      </w:tr>
      <w:tr>
        <w:trPr>
          <w:trHeight w:val="180"/>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stock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736,272</w:t>
            </w:r>
          </w:p>
        </w:tc>
      </w:tr>
      <w:tr>
        <w:trPr>
          <w:trHeight w:val="180"/>
        </w:trPr>
        <w:tc>
          <w:tcPr>
            <w:tcW w:w="9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common stock options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3,542,407</w:t>
            </w:r>
          </w:p>
        </w:tc>
      </w:tr>
      <w:tr>
        <w:trPr>
          <w:trHeight w:val="180"/>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4,026,346</w:t>
            </w:r>
          </w:p>
        </w:tc>
      </w:tr>
      <w:tr>
        <w:trPr>
          <w:trHeight w:val="180"/>
        </w:trPr>
        <w:tc>
          <w:tcPr>
            <w:tcW w:w="9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Series B Preferred Stock</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437,927</w:t>
            </w:r>
          </w:p>
        </w:tc>
      </w:tr>
      <w:tr>
        <w:trPr>
          <w:trHeight w:val="196"/>
        </w:trPr>
        <w:tc>
          <w:tcPr>
            <w:tcW w:w="9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13,076,508</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Stock Incentive Plans</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June 2016, the Company’s stockholders approved the 2016 Incentive Award Plan, or the 2016 Plan, which initially authorized 40,341 shares of common stock for future issuance under the 2016 Plan. Pursuant to the terms of the 2016 Plan, the Board of Directors is authorized to grant awards with respect to common stock, and may delegate to a committee of one or more members of the Board of Directors or executive officers of the Company the authority to grant options and restricted stock units. The Board of Directors established a Stock Option Committee which is authorized to grant awards to certain employees and consultants subject to conditions and limitations within the 2016 Plan. In January 2026, the number of shares of common stock that may be issued under the 2016 Plan was increased by 1,040,444. As of March 31, 2026, 3,044,044 shares remain available for future issuance under the 2016 Plan.</w:t>
      </w:r>
    </w:p>
    <w:p>
      <w:pPr>
        <w:spacing w:after="0" w:line="10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September 2018, the Company’s 2018 Employment Inducement Incentive Award Plan, or the 2018 Inducement Incentive Award Plan, was adopted by the Board of Directors without stockholder approval pursuant to Rule 5635(c)(4) of the Nasdaq Stock Market LLC listing rules, which initially authorized 39,166 shares of its common stock for issuance. As of March 31, 2026, there are 502,296 shares available for future grant under the 2018 Inducement Incentive Award Plan.</w:t>
      </w:r>
    </w:p>
    <w:p>
      <w:pPr>
        <w:spacing w:after="0" w:line="9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November 2023, the Company assumed the 2016 Stock Incentive Plan, or the Old Cartesian Plan, of the then private company that merged with the Company in November 2023, or Old Cartesian. . The Old Cartesian Plan permits the granting of options or restricted stock to employees, officers, directors, consultants and advisors to the Company. The unvested common stock options and Series A Preferred Stock options assumed by the Company generally vest over a four-year period. Additionally, the stock options granted have a contractual term of ten years and only full shares can be exercised as per the individual award agreements. As of March 31, 2026, there are 49,149 shares available for future grant under the Old Cartesian Plan.</w:t>
      </w:r>
    </w:p>
    <w:p>
      <w:pPr>
        <w:spacing w:after="0" w:line="9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outstanding stock options to purchase Old Cartesian common stock were converted into stock options to purchase 776,865 shares of common stock and 14,112.299 shares of Series A Preferred Stock of the Company. The replacement awards that were issued as a part of the assumption of the Old Cartesian Plan resulted in $2.6 million attributed to post-combination</w:t>
      </w:r>
    </w:p>
    <w:p>
      <w:pPr>
        <w:spacing w:after="0" w:line="2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service to be recognized as stock-based compensation expense over the remaining terms of the replacement awards, of which $0.1 million and $0.2 million was recognized during the three months ended March 31, 2026 and 2025, respectively as research and development expense in the consolidated statements of operations and comprehensive loss.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 Expense</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Stock-based compensation expense by classification included within the consolidated statements of operations and comprehensive loss, was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2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Borders>
              <w:bottom w:val="single" w:sz="8" w:color="auto"/>
            </w:tcBorders>
          </w:tcPr>
          <w:p>
            <w:pPr>
              <w:spacing w:after="0"/>
              <w:rPr>
                <w:sz w:val="16"/>
                <w:szCs w:val="16"/>
                <w:color w:val="auto"/>
              </w:rPr>
            </w:pPr>
          </w:p>
        </w:tc>
      </w:tr>
      <w:tr>
        <w:trPr>
          <w:trHeight w:val="171"/>
        </w:trPr>
        <w:tc>
          <w:tcPr>
            <w:tcW w:w="85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4"/>
                <w:szCs w:val="14"/>
                <w:color w:val="auto"/>
              </w:rPr>
            </w:pPr>
          </w:p>
        </w:tc>
      </w:tr>
      <w:tr>
        <w:trPr>
          <w:trHeight w:val="17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1,275</w:t>
            </w:r>
          </w:p>
        </w:tc>
      </w:tr>
      <w:tr>
        <w:trPr>
          <w:trHeight w:val="18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1,233</w:t>
            </w:r>
          </w:p>
        </w:tc>
      </w:tr>
      <w:tr>
        <w:trPr>
          <w:trHeight w:val="196"/>
        </w:trPr>
        <w:tc>
          <w:tcPr>
            <w:tcW w:w="8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2,508</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estimated grant date fair values of stock option awards granted under the 2016 Plan and the 2018 Inducement Incentive Award Plan were calculated using the Black-Scholes option pricing model based on the following weighted-average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r>
      <w:tr>
        <w:trPr>
          <w:trHeight w:val="171"/>
        </w:trPr>
        <w:tc>
          <w:tcPr>
            <w:tcW w:w="83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4"/>
                <w:szCs w:val="14"/>
                <w:color w:val="auto"/>
              </w:rPr>
            </w:pPr>
          </w:p>
        </w:tc>
      </w:tr>
      <w:tr>
        <w:trPr>
          <w:trHeight w:val="17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r>
      <w:tr>
        <w:trPr>
          <w:trHeight w:val="18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90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5"/>
                <w:szCs w:val="15"/>
                <w:color w:val="auto"/>
              </w:rPr>
            </w:pPr>
          </w:p>
        </w:tc>
        <w:tc>
          <w:tcPr>
            <w:tcW w:w="4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r>
      <w:tr>
        <w:trPr>
          <w:trHeight w:val="18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92.71%</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97.44%</w:t>
            </w:r>
          </w:p>
        </w:tc>
      </w:tr>
      <w:tr>
        <w:trPr>
          <w:trHeight w:val="18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fair value of common stock</w:t>
            </w:r>
          </w:p>
        </w:tc>
        <w:tc>
          <w:tcPr>
            <w:tcW w:w="90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6.81</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17.46</w:t>
            </w:r>
          </w:p>
        </w:tc>
      </w:tr>
    </w:tbl>
    <w:p>
      <w:pPr>
        <w:spacing w:after="0" w:line="17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expected term of the Company’s stock options granted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 Expected volatilities are based on the Company’s historical volatility.</w:t>
      </w:r>
    </w:p>
    <w:p>
      <w:pPr>
        <w:spacing w:after="0" w:line="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weighted-average grant date fair value of stock options granted during the three months ended March 31, 2026 and 2025 was $5.25 and $14.03, respectively.</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March 31, 2026, total unrecognized compensation expense related to unvested common stock options was $15.5 million, which is expected to be recognized over a weighted average period of 3.0 years.</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stock option activity under the 2016 Plan, the 2018 Inducement Incentive Award Plan, and the Old Cartesian Plan for options for common stock:</w:t>
      </w:r>
    </w:p>
    <w:p>
      <w:pPr>
        <w:spacing w:after="0" w:line="34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3"/>
        </w:trPr>
        <w:tc>
          <w:tcPr>
            <w:tcW w:w="26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4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Common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30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0" w:type="dxa"/>
            <w:vAlign w:val="bottom"/>
          </w:tcPr>
          <w:p>
            <w:pPr>
              <w:spacing w:after="0"/>
              <w:rPr>
                <w:sz w:val="1"/>
                <w:szCs w:val="1"/>
                <w:color w:val="auto"/>
              </w:rPr>
            </w:pPr>
          </w:p>
        </w:tc>
      </w:tr>
      <w:tr>
        <w:trPr>
          <w:trHeight w:val="171"/>
        </w:trPr>
        <w:tc>
          <w:tcPr>
            <w:tcW w:w="57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2,463,747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0" w:type="dxa"/>
            <w:vAlign w:val="bottom"/>
          </w:tcPr>
          <w:p>
            <w:pPr>
              <w:spacing w:after="0"/>
              <w:rPr>
                <w:sz w:val="1"/>
                <w:szCs w:val="1"/>
                <w:color w:val="auto"/>
              </w:rPr>
            </w:pPr>
          </w:p>
        </w:tc>
      </w:tr>
      <w:tr>
        <w:trPr>
          <w:trHeight w:val="180"/>
        </w:trPr>
        <w:tc>
          <w:tcPr>
            <w:tcW w:w="57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1,304,450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Exercised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(86,132)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4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(139,658)</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March 31, 2026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3,542,407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gridSpan w:val="3"/>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at March 31, 2026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1,204,110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0" w:type="dxa"/>
            <w:vAlign w:val="bottom"/>
          </w:tcPr>
          <w:p>
            <w:pPr>
              <w:spacing w:after="0"/>
              <w:rPr>
                <w:sz w:val="1"/>
                <w:szCs w:val="1"/>
                <w:color w:val="auto"/>
              </w:rPr>
            </w:pPr>
          </w:p>
        </w:tc>
      </w:tr>
      <w:tr>
        <w:trPr>
          <w:trHeight w:val="184"/>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at March 31, 2026</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3,139,038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tcPr>
          <w:p>
            <w:pPr>
              <w:spacing w:after="0"/>
              <w:rPr>
                <w:sz w:val="16"/>
                <w:szCs w:val="16"/>
                <w:color w:val="auto"/>
              </w:rPr>
            </w:pP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Units</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the three months ended March 31, 2026, the Company granted 420,650 restricted stock unit awards with a weighted-average fair value of $6.76 per share based on the closing price of the Company’s common stock on the date of grant under the 2016 Plan, which generally vest over a four-year term. Forfeitures are estimated at the time of grant and are adjusted, if necessary, in subsequent periods if actual forfeitures differ from those estimates. The Company has estimated a forfeiture rate of 10% for restricted stock unit awards based on historical experience.</w:t>
      </w:r>
    </w:p>
    <w:p>
      <w:pPr>
        <w:spacing w:after="0" w:line="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Unrecognized compensation expense related to the restricted stock units was $6.4 million as of March 31, 2026, which is expected to be recognized over a weighted-average period of 3.1 years.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The following table summarizes the Company’s restricted stock units under the 2016 Plan and the Old Cartesian Plan:</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8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38"/>
        </w:trPr>
        <w:tc>
          <w:tcPr>
            <w:tcW w:w="8500" w:type="dxa"/>
            <w:vAlign w:val="bottom"/>
          </w:tcPr>
          <w:p>
            <w:pPr>
              <w:spacing w:after="0"/>
              <w:rPr>
                <w:sz w:val="11"/>
                <w:szCs w:val="11"/>
                <w:color w:val="auto"/>
              </w:rPr>
            </w:pPr>
          </w:p>
        </w:tc>
        <w:tc>
          <w:tcPr>
            <w:tcW w:w="1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1"/>
                <w:szCs w:val="11"/>
                <w:color w:val="auto"/>
              </w:rPr>
            </w:pPr>
          </w:p>
        </w:tc>
        <w:tc>
          <w:tcPr>
            <w:tcW w:w="1240" w:type="dxa"/>
            <w:vAlign w:val="bottom"/>
          </w:tcPr>
          <w:p>
            <w:pPr>
              <w:jc w:val="center"/>
              <w:ind w:right="29"/>
              <w:spacing w:after="0" w:line="13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1"/>
        </w:trPr>
        <w:tc>
          <w:tcPr>
            <w:tcW w:w="85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7"/>
              </w:rPr>
              <w:t>Fair Value ($)</w:t>
            </w:r>
          </w:p>
        </w:tc>
        <w:tc>
          <w:tcPr>
            <w:tcW w:w="0" w:type="dxa"/>
            <w:vAlign w:val="bottom"/>
          </w:tcPr>
          <w:p>
            <w:pPr>
              <w:spacing w:after="0"/>
              <w:rPr>
                <w:sz w:val="1"/>
                <w:szCs w:val="1"/>
                <w:color w:val="auto"/>
              </w:rPr>
            </w:pPr>
          </w:p>
        </w:tc>
      </w:tr>
      <w:tr>
        <w:trPr>
          <w:trHeight w:val="171"/>
        </w:trPr>
        <w:tc>
          <w:tcPr>
            <w:tcW w:w="8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2025</w:t>
            </w:r>
          </w:p>
        </w:tc>
        <w:tc>
          <w:tcPr>
            <w:tcW w:w="13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522,498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18.44</w:t>
            </w:r>
          </w:p>
        </w:tc>
        <w:tc>
          <w:tcPr>
            <w:tcW w:w="0" w:type="dxa"/>
            <w:vAlign w:val="bottom"/>
          </w:tcPr>
          <w:p>
            <w:pPr>
              <w:spacing w:after="0"/>
              <w:rPr>
                <w:sz w:val="1"/>
                <w:szCs w:val="1"/>
                <w:color w:val="auto"/>
              </w:rPr>
            </w:pPr>
          </w:p>
        </w:tc>
      </w:tr>
      <w:tr>
        <w:trPr>
          <w:trHeight w:val="180"/>
        </w:trPr>
        <w:tc>
          <w:tcPr>
            <w:tcW w:w="8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Granted</w:t>
            </w: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420,650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6.76</w:t>
            </w:r>
          </w:p>
        </w:tc>
        <w:tc>
          <w:tcPr>
            <w:tcW w:w="0" w:type="dxa"/>
            <w:vAlign w:val="bottom"/>
          </w:tcPr>
          <w:p>
            <w:pPr>
              <w:spacing w:after="0"/>
              <w:rPr>
                <w:sz w:val="1"/>
                <w:szCs w:val="1"/>
                <w:color w:val="auto"/>
              </w:rPr>
            </w:pPr>
          </w:p>
        </w:tc>
      </w:tr>
      <w:tr>
        <w:trPr>
          <w:trHeight w:val="180"/>
        </w:trPr>
        <w:tc>
          <w:tcPr>
            <w:tcW w:w="8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(169,278)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18.59</w:t>
            </w:r>
          </w:p>
        </w:tc>
        <w:tc>
          <w:tcPr>
            <w:tcW w:w="0" w:type="dxa"/>
            <w:vAlign w:val="bottom"/>
          </w:tcPr>
          <w:p>
            <w:pPr>
              <w:spacing w:after="0"/>
              <w:rPr>
                <w:sz w:val="1"/>
                <w:szCs w:val="1"/>
                <w:color w:val="auto"/>
              </w:rPr>
            </w:pPr>
          </w:p>
        </w:tc>
      </w:tr>
      <w:tr>
        <w:trPr>
          <w:trHeight w:val="180"/>
        </w:trPr>
        <w:tc>
          <w:tcPr>
            <w:tcW w:w="85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(37,598)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16.61</w:t>
            </w:r>
          </w:p>
        </w:tc>
        <w:tc>
          <w:tcPr>
            <w:tcW w:w="0" w:type="dxa"/>
            <w:vAlign w:val="bottom"/>
          </w:tcPr>
          <w:p>
            <w:pPr>
              <w:spacing w:after="0"/>
              <w:rPr>
                <w:sz w:val="1"/>
                <w:szCs w:val="1"/>
                <w:color w:val="auto"/>
              </w:rPr>
            </w:pPr>
          </w:p>
        </w:tc>
      </w:tr>
      <w:tr>
        <w:trPr>
          <w:trHeight w:val="196"/>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March 31, 2026</w:t>
            </w:r>
          </w:p>
        </w:tc>
        <w:tc>
          <w:tcPr>
            <w:tcW w:w="13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736,272</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11.82</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Revenue Arrangements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Collaboration and license revenue</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Swedish Orphan Biovitrum AB (publ.)</w:t>
      </w:r>
    </w:p>
    <w:p>
      <w:pPr>
        <w:spacing w:after="0" w:line="13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June 2020, the Company and Sobi entered into the Sobi License, which was subsequently amended in October 2023. Pursuant to the Sobi License, the Company agreed to grant Sobi an exclusive, worldwide (except as to Greater China) license to develop, manufacture and commercialize the Nanoecapsulated Sirolimus plus Pegadricase, or NASP, formerly known as SEL-212, drug candidate , which is currently in development for the treatment of chronic refractory gout. The NASP drug candidate is a pharmaceutical composition containing a combination of a pegylated uricase known as SEL-037, or the Compound, and nanoparticle-encapsulated form of rapamycin, known as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NASP, and tiered royalty payments ranging from the low double digits on the lowest sales tier to the high teens on the highest sales tier. A more detailed description of the Sobi License and the Company’s evaluation of this agreement under ASC 606 can be found in Note 13, “Revenue Arrangements” to the consolidated financial statements in the Company’s Annual Report on Form 10-K for the year ended December 31, 2025. Any proceeds received from milestone payments or royalties relating to the Sobi License would be required to be distributed to holders of CVRs, net of certain deductions.</w:t>
      </w:r>
    </w:p>
    <w:p>
      <w:pPr>
        <w:spacing w:after="0" w:line="3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0" w:name="page21"/>
    <w:bookmarkEnd w:id="20"/>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9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June 28, 2024, Sobi initiated a rolling biologics license application to the FDA for NASP for the potential treatment of chronic refractory gout which resulted in the achievement of a development milestone and a $30.0 million payment obligation from Sobi to the Company. As a result, the development milestone was no longer constrained and $30.0 million was recognized as revenue during the year ended December 31, 2024 as there were no remaining performance obligations under the Sobi License. The proceeds from the achievement of the development milestone were received from Sobi in July 2024 and were included, net of deductions as specified in the CVR Agreement, in the distribution to holders of the CVRs in March 2025.</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Grant revenue</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National Institute of Neurological Disorders and Stroke of the National Institutes of Health</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June 2024, the Company received funding approval from the National Institute of Neurological Disorders and Stroke of the National Institutes of Health, or NINDS, for an award of $1.5 million granted for the budget period, which ran from June 2024 through May 2025. In June 2025, the Company received funding approval from NINDS for an additional award of $1.5 million granted for the budget period that runs from June 2025 through May 2026. The funding was provided by NINDS to further the Company’s use of RNA-based CAR-T cells to combat autoantibody-associated autoimmune disorders. Grant funding is to be used solely for manufacturing of RNA-based CAR-T cells and analysis of samples to inform mechanism of action. The award period runs through May 31, 2026. The Company will recognize grant revenue when expenses reimbursable under the grant have been incurred.</w:t>
      </w:r>
    </w:p>
    <w:p>
      <w:pPr>
        <w:spacing w:after="0" w:line="10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March 31, 2026 and December 31, 2025, the Company recorded a receivable of $0.1 million and $0.9 million, respectively, that is subject to reimbursement by NINDS. The Company recognized grant revenue of $0.1 million and $0.7 million during the three months ended March 31, 2026 and 2025,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Transaction Price Allocated to Future Performance Obligations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Remaining performance obligations represent the transaction price of contracts for which work has not been performed, or has been partially performed. As of March 31, 2026 and December 31, 2025, there were no unsatisfied performance obligations from contracts with customers.</w:t>
      </w:r>
    </w:p>
    <w:p>
      <w:pPr>
        <w:spacing w:after="0" w:line="80" w:lineRule="exact"/>
        <w:rPr>
          <w:sz w:val="20"/>
          <w:szCs w:val="20"/>
          <w:color w:val="auto"/>
        </w:rPr>
      </w:pPr>
    </w:p>
    <w:p>
      <w:pPr>
        <w:ind w:right="8720" w:firstLine="5"/>
        <w:spacing w:after="0" w:line="444" w:lineRule="auto"/>
        <w:tabs>
          <w:tab w:leader="none" w:pos="212"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Collaboration and License Agreements Biogen MA, Inc.</w:t>
      </w:r>
    </w:p>
    <w:p>
      <w:pPr>
        <w:spacing w:after="0" w:line="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September 8, 2023, the Company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The Company is not obligated to pay Biogen any expenses, fees, or royalties.</w:t>
      </w:r>
    </w:p>
    <w:p>
      <w:pPr>
        <w:spacing w:after="0" w:line="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may terminate the Biogen Agreement for any reason or no reason, and Biogen may terminate the agreement after a notice-and-cure period of 30 days if the Company fails to pay a fee owed to Biogen or for any other material breach of the agreement. The Biogen Agreement will otherwise expire when all claims of all issued patents within the patents and patent applications licensed to the Company under the Biogen Agreement have expired or been finally rendered revoked, invalid or unenforceable by a decision of a court or government agency.</w:t>
      </w:r>
    </w:p>
    <w:p>
      <w:pPr>
        <w:spacing w:after="0" w:line="9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Biogen Agreement encompasses patents and patent applications in the PCT/US2010/026825 patent family, which was filed March 10, 2010. In general, all patents that issue in this family have an expected expiration date of March 10, 2030, subject to potential patent term adjustments and/or extensions. For the U.S. patents and applications in this family, U.S. Patent 9,034,324 was awarded 677 days of patent term adjustment, which would extend the expiration date of this patent to January 16, 2032, absent any challenges to the patent term. The other issued patent in this family was not awarded any patent term adjustment, so its expected expiration date is March 10, 2030.</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National Cancer Institute of the National Institutes of Health</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Effective September 16, 2019, the Company entered into a nonexclusive, worldwide license agreement, or the NCI Agreement, with the U.S. Department of Health and Human Services, represented by the National Cancer Institute of the National Institutes of Health, or NCI.</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Under the NCI Agreement, the Company was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w:t>
      </w:r>
    </w:p>
    <w:p>
      <w:pPr>
        <w:spacing w:after="0" w:line="2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treatment of MG pemphigus vulgaris, and immune thrombocytopenic purpura according to methods designated in the NCI Agreement.</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connection with the Company’s entry into the NCI Agreement, Old Cartesian paid to NCI a one-time $0.1 million license royalty payment. Under the NCI Agreement, the Company is further required to pay NCI a low five-digit annual royalty. The Company must also pay earned royalties on net sales in a low single-digit percentage and pay up to $0.8 million in benchmark royalties upon the Company’s achievement of designated benchmarks that are based on the commercial development plan agreed between the parties.</w:t>
      </w:r>
    </w:p>
    <w:p>
      <w:pPr>
        <w:spacing w:after="0" w:line="9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Under the NCI Agreement, the Company must use reasonable commercial efforts to bring licensed products and licensed processes to the point of Practical Application (as defined in the NCI Agreement). Upon the Company’s first commercial sale, the Company must use reasonable commercial efforts to make licensed products and licensed processes reasonably accessible to the United States public. After the Company’s first commercial sale, the Company must make reasonable quantities of licensed products or materials produced via licensed processes available to patient assistance programs and develop educational materials detailing the licensed products. Unless the Company obtains a waiver from NCI, the Company must have licensed products and licensed processes manufactured substantially in the United States. Prior to the first commercial sale, upon NCI’s request, the Company is obligated to provide NCI with commercially reasonable quantities of licensed products made through licensed processes to be used for in vitro research.</w:t>
      </w:r>
    </w:p>
    <w:p>
      <w:pPr>
        <w:spacing w:after="0" w:line="10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Additionally, the Company must use reasonable commercial efforts to submit a BLA with respect to a licensed product by the fourth quarter of 2026 and make a first commercial sale of a licensed product by the fourth quarter of 2028.</w:t>
      </w:r>
    </w:p>
    <w:p>
      <w:pPr>
        <w:spacing w:after="0" w:line="8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NCI Agreement terminates upon the expiration of the last to expire of the patent rights licensed thereunder, if not sooner terminated. The NCI Agreement encompasses patents and patent applications in the PCT/US2013/032029 patent family, which was filed March 15, 2013. In general, all patents that issue in this family have an expected expiration of March 15, 2033, subject to potential patent term adjustments and/or extensions. For the U.S. patents and applications in this family, only two patents were awarded patent term adjustments. U.S. Patent 9,765,342 was awarded 297 days of patent term adjustment, which would extend the expiration date of this patent to January 6, 2034, absent any challenges to the patent term. The other patent, U.S. Patent 10,876,123, was awarded three days of patent term adjustment, but this patent is subject to terminal disclaimers filed against other family members, so this patent will not extend beyond the March 15, 2033 date. The other issued patents in this family were not awarded any patent term adjustment, so the expected expiration date for these patents also remains March 15, 2033. There is also a pending patent application which, if issued, will expire on March 15, 2033, but could also be subject to patent term adjustment and to any potential future terminal disclaimers.</w:t>
      </w:r>
    </w:p>
    <w:p>
      <w:pPr>
        <w:spacing w:after="0" w:line="10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NCI has the right to terminate the NCI Agreement, after giving written notice and providing a cure period in accordance with its terms, if the Company is in default of a material obligation. The Company has the unilateral right to terminate the agreement in any country or territory by giving NCI 60 days’ written notice. The Company agreed to indemnify NCI against any liability arising out of the Company’s, sublicensees’ or third parties’ use of the licensed patent rights and licensed products or licensed processes developed in connection with the licensed patent rights.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Shenyang Sunshine Pharmaceutical Co., Ltd</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March 31, 2026.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Income Taxes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March 31, 2026, the Company has not recorded any U.S. federal or state income tax benefits for either the net losses the Company has incurred or its earned research and orphan drug credits, due to the uncertainty of realizing a benefit from those items in the future.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Commitments and Contingencies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March 31, 2026, the Company was not a party to any litigation that could have a material adverse effect on the Company’s business, financial position, results of operations or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permitted under Delaware law, the Company indemnifies its officers, directors, consultants and employees for certain events or occurrences that happen by reason of the relationship with, or position held at the Company. Through March 31,</w:t>
      </w:r>
    </w:p>
    <w:p>
      <w:pPr>
        <w:spacing w:after="0" w:line="2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2026,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8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Additionally, 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Segment Reporting</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selected financial information with respect to the Company’s single operating segment for the three months ended March 31, 2026 and 2025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2720" w:type="dxa"/>
            <w:vAlign w:val="bottom"/>
            <w:tcBorders>
              <w:bottom w:val="single" w:sz="8" w:color="auto"/>
            </w:tcBorders>
            <w:gridSpan w:val="5"/>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1"/>
        </w:trPr>
        <w:tc>
          <w:tcPr>
            <w:tcW w:w="85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0"/>
        </w:trPr>
        <w:tc>
          <w:tcPr>
            <w:tcW w:w="8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82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80"/>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Grant revenue</w:t>
            </w:r>
          </w:p>
        </w:tc>
        <w:tc>
          <w:tcPr>
            <w:tcW w:w="8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r>
      <w:tr>
        <w:trPr>
          <w:trHeight w:val="171"/>
        </w:trPr>
        <w:tc>
          <w:tcPr>
            <w:tcW w:w="8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revenue</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8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expenses:</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Descartes-08 for MG</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7,036</w:t>
            </w:r>
          </w:p>
        </w:tc>
      </w:tr>
      <w:tr>
        <w:trPr>
          <w:trHeight w:val="180"/>
        </w:trPr>
        <w:tc>
          <w:tcPr>
            <w:tcW w:w="8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Descartes-08 for dermatomyositis</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Early stage programs</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r>
      <w:tr>
        <w:trPr>
          <w:trHeight w:val="180"/>
        </w:trPr>
        <w:tc>
          <w:tcPr>
            <w:tcW w:w="8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and development employee expenses</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3,702</w:t>
            </w:r>
          </w:p>
        </w:tc>
      </w:tr>
      <w:tr>
        <w:trPr>
          <w:trHeight w:val="180"/>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 stock-based compensation expense</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w:t>
            </w:r>
          </w:p>
        </w:tc>
      </w:tr>
      <w:tr>
        <w:trPr>
          <w:trHeight w:val="180"/>
        </w:trPr>
        <w:tc>
          <w:tcPr>
            <w:tcW w:w="8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and development facilities and other expenses</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w:t>
            </w:r>
          </w:p>
        </w:tc>
      </w:tr>
      <w:tr>
        <w:trPr>
          <w:trHeight w:val="180"/>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8,315</w:t>
            </w:r>
          </w:p>
        </w:tc>
      </w:tr>
      <w:tr>
        <w:trPr>
          <w:trHeight w:val="180"/>
        </w:trPr>
        <w:tc>
          <w:tcPr>
            <w:tcW w:w="8560" w:type="dxa"/>
            <w:vAlign w:val="bottom"/>
            <w:tcBorders>
              <w:bottom w:val="single" w:sz="8" w:color="CCEEFF"/>
            </w:tcBorders>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Other expense (income), net </w:t>
            </w:r>
            <w:r>
              <w:rPr>
                <w:rFonts w:ascii="Times New Roman" w:cs="Times New Roman" w:eastAsia="Times New Roman" w:hAnsi="Times New Roman"/>
                <w:sz w:val="18"/>
                <w:szCs w:val="18"/>
                <w:color w:val="auto"/>
                <w:vertAlign w:val="superscript"/>
              </w:rPr>
              <w:t>(1)</w:t>
            </w: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12,683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(4,179)</w:t>
            </w:r>
          </w:p>
        </w:tc>
      </w:tr>
      <w:tr>
        <w:trPr>
          <w:trHeight w:val="196"/>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(39,182)</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(17,710)</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5" w:lineRule="exact"/>
        <w:rPr>
          <w:sz w:val="20"/>
          <w:szCs w:val="20"/>
          <w:color w:val="auto"/>
        </w:rPr>
      </w:pPr>
    </w:p>
    <w:p>
      <w:pPr>
        <w:ind w:left="160" w:hanging="141"/>
        <w:spacing w:after="0"/>
        <w:tabs>
          <w:tab w:leader="none" w:pos="16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interest income; gain on change in fair value of warrant liabilities; (loss) gain on change in fair value of contingent value right liability; and other expense, net.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Subsequent Events</w:t>
      </w:r>
    </w:p>
    <w:p>
      <w:pPr>
        <w:spacing w:after="0" w:line="138"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Company has evaluated subsequent events through the date on which the consolidated financial statements were issued. The Company has concluded that no subsequent events have occurred that require disclosure.</w:t>
      </w:r>
    </w:p>
    <w:p>
      <w:pPr>
        <w:spacing w:after="0" w:line="2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36"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and with our audited financial statements and the notes thereto included in our Annual Report on Form 10-K for the year ended December 31, 2025, which we filed with the Securities and Exchange Commission, or the SEC, on March 9, 2026. In addition, you should read the “Risk Factors” and “Information Regarding Forward-Looking Statements” sections of this Quarterly Report and our Annual Report on Form 10-K for the year ended December 31, 2025 for a discussion of important factors that could cause actual results to differ materially from the results described in or implied by the forward-looking statements contained in the following discussion and analysis.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are a late clinical-stage biotechnology company pioneering cell therapy for the treatment of autoimmune diseases. We leverage our proprietary technology and manufacturing platform to introduce mRNA into cells to provide a therapeutic effect to patients suffering from a variety of autoimmune conditions. Unlike DNA, mRNA degrades naturally over time without integrating into the cell’s genetic material. Our cell therapies are designed to be dosed repeatedly like conventional drugs, administered in an outpatient setting, and given without pre-treatment chemotherapy, which is required with many conventional cell therapies.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Operations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To date, we have financed our operations primarily through public offerings and private placements of our securities, funding received from research grants, collaboration and license arrangements and a credit facility. We do not have any products approved for sale and have not generated any product sales.</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incurred net losses of $39.2 million and $17.7 million for the three months ended March 31, 2026 and 2025, respectively. As of March 31, 2026, we had an accumulated deficit of $861.6 million. We expect to continue to incur significant expenses and operating losses for the foreseeable future as we:</w:t>
      </w:r>
    </w:p>
    <w:p>
      <w:pPr>
        <w:spacing w:after="0" w:line="82"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advance Descartes-08 for myasthenia gravis, or MG, through Phase 3 development;</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Descartes-08 for myositis into Phase 2 development;</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develop our preclinical and clinical-stage product candidates;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approvals for any product candidates that successfully complete clinical trials;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 including through licensing arrangements;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additional staff, including clinical, scientific and management personnel;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costs associated with continuing to operate as a public company.</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Until we can generate substantial product revenues, we expect to finance our cash needs through a combination of equity offerings, debt financings, and license and collaboration agreements.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9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believe that our existing cash, cash equivalents, and restricted cash as of March 31, 2026 will enable us to fund our operating expenses and capital expenditure requirements for at least the next 12 months. We have based this estimate on assumptions that may prove to be wrong, and we could use our capital resources sooner than we currently expect.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Collaboration and license revenue</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To date, we have not generated any revenue from product sales. Our revenue consists primarily of collaboration and license revenue, which includes amounts recognized related to upfront and milestone payments for research and development funding under collaboration and license agreements. We expect that any revenue we generate will fluctuate from quarter to quarter because of the timing and amounts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further</w:t>
      </w:r>
    </w:p>
    <w:p>
      <w:pPr>
        <w:spacing w:after="0" w:line="3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descriptions of the agreements underlying our collaboration and license revenue, see Note 11, “Revenue Arrangements” to our unaudited consolidated financial statements included elsewhere in this Quarterly Report.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Grant revenue</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generate grant revenue, which consists of funding received to perform specific research and development services under grant arrangements.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research and development expenses consist of internal and external research and development costs, which primarily include fees paid to contract research organizations, internal manufacturing and quality related expenses, process development costs, internal research and development expenses, as well as fees paid to contract manufacturing organizations. These costs are primarily associated with compensation expenses for our research and development employees, capital equipment and supplies for our process development and manufacturing process, and other related expenses. Our internal research and development employees as well as our indirect costs are shared across multiple development programs and are not solely dedicated to individual programs.</w:t>
      </w:r>
    </w:p>
    <w:p>
      <w:pPr>
        <w:spacing w:after="0" w:line="98"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Interest income consists primarily of income earned on our cash, cash equivalents and marketable securities.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Gain on change in fair value of warrant liabilities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Common warrants classified as liabilities are remeasured quarterly at fair value with the change in fair value recognized as a component of earnings.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gain on change in fair value of contingent value right liability</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contingent value right liability is remeasured quarterly at fair value with the change in fair value recognized as a component of earnings.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(expense) income, net</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(expense) income, net consists of non-operating income and non-operating expenses.</w:t>
      </w:r>
    </w:p>
    <w:p>
      <w:pPr>
        <w:spacing w:after="0" w:line="34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563"/>
        </w:trPr>
        <w:tc>
          <w:tcPr>
            <w:tcW w:w="5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97"/>
        </w:trPr>
        <w:tc>
          <w:tcPr>
            <w:tcW w:w="5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March 31, 2026 and 2025</w:t>
            </w: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77"/>
        </w:trPr>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78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2"/>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620" w:type="dxa"/>
            <w:vAlign w:val="bottom"/>
            <w:tcBorders>
              <w:bottom w:val="single" w:sz="8" w:color="auto"/>
            </w:tcBorders>
          </w:tcPr>
          <w:p>
            <w:pPr>
              <w:spacing w:after="0"/>
              <w:rPr>
                <w:sz w:val="15"/>
                <w:szCs w:val="15"/>
                <w:color w:val="auto"/>
              </w:rPr>
            </w:pPr>
          </w:p>
        </w:tc>
      </w:tr>
      <w:tr>
        <w:trPr>
          <w:trHeight w:val="17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4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20" w:type="dxa"/>
            <w:vAlign w:val="bottom"/>
          </w:tcPr>
          <w:p>
            <w:pPr>
              <w:spacing w:after="0"/>
              <w:rPr>
                <w:sz w:val="14"/>
                <w:szCs w:val="14"/>
                <w:color w:val="auto"/>
              </w:rPr>
            </w:pPr>
          </w:p>
        </w:tc>
      </w:tr>
      <w:tr>
        <w:trPr>
          <w:trHeight w:val="180"/>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0"/>
        </w:trPr>
        <w:tc>
          <w:tcPr>
            <w:tcW w:w="57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78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57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Grant revenue</w:t>
            </w:r>
          </w:p>
        </w:tc>
        <w:tc>
          <w:tcPr>
            <w:tcW w:w="7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8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71"/>
        </w:trPr>
        <w:tc>
          <w:tcPr>
            <w:tcW w:w="57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Total revenue</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202"/>
        </w:trPr>
        <w:tc>
          <w:tcPr>
            <w:tcW w:w="5700" w:type="dxa"/>
            <w:vAlign w:val="bottom"/>
            <w:gridSpan w:val="3"/>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80"/>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5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4,789</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80"/>
        </w:trPr>
        <w:tc>
          <w:tcPr>
            <w:tcW w:w="570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7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7,114</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1"/>
        </w:trPr>
        <w:tc>
          <w:tcPr>
            <w:tcW w:w="5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7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26,577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3,588</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202"/>
        </w:trPr>
        <w:tc>
          <w:tcPr>
            <w:tcW w:w="570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80"/>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(4,610)</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202"/>
        </w:trPr>
        <w:tc>
          <w:tcPr>
            <w:tcW w:w="570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80"/>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0"/>
        </w:trPr>
        <w:tc>
          <w:tcPr>
            <w:tcW w:w="57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80"/>
        </w:trPr>
        <w:tc>
          <w:tcPr>
            <w:tcW w:w="57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Gain on change in fair value of warrant liabilities</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80"/>
        </w:trPr>
        <w:tc>
          <w:tcPr>
            <w:tcW w:w="57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(Loss) gain on change in fair value of contingent value right liability</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(14,146)</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0"/>
        </w:trPr>
        <w:tc>
          <w:tcPr>
            <w:tcW w:w="57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expense, net</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71"/>
        </w:trPr>
        <w:tc>
          <w:tcPr>
            <w:tcW w:w="57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Total other (expense) income, net</w:t>
            </w:r>
          </w:p>
        </w:tc>
        <w:tc>
          <w:tcPr>
            <w:tcW w:w="7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(12,683)</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4,179</w:t>
            </w: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(16,862)</w:t>
            </w:r>
          </w:p>
        </w:tc>
        <w:tc>
          <w:tcPr>
            <w:tcW w:w="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12"/>
        </w:trPr>
        <w:tc>
          <w:tcPr>
            <w:tcW w:w="5700" w:type="dxa"/>
            <w:vAlign w:val="bottom"/>
            <w:gridSpan w:val="3"/>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r>
      <w:tr>
        <w:trPr>
          <w:trHeight w:val="171"/>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7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(39,182)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(17,710)</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(21,472)</w:t>
            </w:r>
          </w:p>
        </w:tc>
        <w:tc>
          <w:tcPr>
            <w:tcW w:w="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121 %</w:t>
            </w:r>
          </w:p>
        </w:tc>
      </w:tr>
      <w:tr>
        <w:trPr>
          <w:trHeight w:val="20"/>
        </w:trPr>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6"/>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NM - Not meaningful</w:t>
            </w: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Grant revenue</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the three months ended March 31, 2026, we recognized $0.1 million of grant revenue, compared to $0.7 million for the three months ended March 31, 2025, a decrease of $0.6 million. The decrease was primarily due to decreased expenses reimbursable under the grant from the National Institute of Neurological Disorders and Stroke of the National Institutes of Health, or NINDS, incurred during the three months ended March 31, 2026.</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6" w:name="page27"/>
    <w:bookmarkEnd w:id="26"/>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Research and development expenses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comparison of research and development expenses for the three months ended March 31, 2026 and 2025 (in thousands, except percentages):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78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2"/>
        </w:trPr>
        <w:tc>
          <w:tcPr>
            <w:tcW w:w="57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600" w:type="dxa"/>
            <w:vAlign w:val="bottom"/>
            <w:tcBorders>
              <w:bottom w:val="single" w:sz="8" w:color="auto"/>
            </w:tcBorders>
          </w:tcPr>
          <w:p>
            <w:pPr>
              <w:spacing w:after="0"/>
              <w:rPr>
                <w:sz w:val="15"/>
                <w:szCs w:val="15"/>
                <w:color w:val="auto"/>
              </w:rPr>
            </w:pPr>
          </w:p>
        </w:tc>
      </w:tr>
      <w:tr>
        <w:trPr>
          <w:trHeight w:val="17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Descartes-08 for MG</w:t>
            </w: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72 %</w:t>
            </w: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Descartes-08 for dermatomyositis</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Early stage programs</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employee expenses</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stock-based compensation expense</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Research and development facilities and other expenses</w:t>
            </w: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196"/>
        </w:trPr>
        <w:tc>
          <w:tcPr>
            <w:tcW w:w="5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82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19,463</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14,674</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4,789</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1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the three months ended March 31, 2026, our research and development expenses were $19.5 million, compared to $14.7 million for the three months ended March 31, 2025, an increase of $4.8 million. The increase was primarily due to an increase in expenses for Descartes-08 for MG, primarily related to the expenses for the ongoing Phase 3 AURORA trial. This increase was partially offset by a decrease in expenses for early stage programs, primarily related to our decision to no longer pursue development of Descartes-08 in systemic lupus erythematosus.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General and administrative expenses</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the three months ended March 31, 2026, our general and administrative expenses were $7.1 million, compared to $8.3 million for the three months ended March 31, 2025, a decrease of $1.2 million. The decrease was primarily the result of lower professional and consulting fees.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Interest income</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Interest income for the three months ended March 31, 2026 was $1.0 million, compared to $2.0 million for the three months ended March 31, 2025, a decrease of $1.0 million. The decrease in interest income was due to decreased cash and cash equivalents balance.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Gain on change in fair value of warrant liabilities</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the three months ended March 31, 2026, we recognized $0.1 million of income from the decrease in the fair value of warrant liabilities, compared to $1.8 million of income from the decrease in the fair value of warrant liabilities for the three months ended March 31, 2025, a decrease of $1.7 million. Fair value of warrant liabilities was determined utilizing the Black-Scholes valuation methodology. The decrease in warrant value was primarily driven by a decrease in the per-share price of our common stock and a decrease in the remaining expected life of the warrants.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(Loss) gain on change in fair value of contingent value right liability</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the three months ended March 31, 2026, we recognized $13.8 million of expense associated with the increase in the fair value of the CVR liability, compared to $0.3 million of income from the decrease in the fair value of the CVR liability for the three months ended March 31, 2025, an increase of $14.1 million. The fair value of the CVR liability was determined utilizing a Monte Carlo simulation model. The increase in the fair value of the CVR liability was primarily due to the passage of time.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Other expense, net</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During the three months ended March 31, 2026, we recognized immaterial other expense, net, compared to no other expense, net for the three months ended March 31,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Net loss</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Net loss for three months ended March 31, 2026 was $39.2 million as compared to net loss of $17.7 million for the three months ended March 31, 2025, an increase of $21.5 million. The increase in net loss was primarily due to higher expense from</w:t>
      </w:r>
    </w:p>
    <w:p>
      <w:pPr>
        <w:spacing w:after="0" w:line="2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91" w:lineRule="exact"/>
        <w:rPr>
          <w:sz w:val="20"/>
          <w:szCs w:val="20"/>
          <w:color w:val="auto"/>
        </w:rPr>
      </w:pPr>
    </w:p>
    <w:p>
      <w:pPr>
        <w:ind w:right="1140"/>
        <w:spacing w:after="0" w:line="442" w:lineRule="auto"/>
        <w:rPr>
          <w:sz w:val="20"/>
          <w:szCs w:val="20"/>
          <w:color w:val="auto"/>
        </w:rPr>
      </w:pPr>
      <w:r>
        <w:rPr>
          <w:rFonts w:ascii="Times New Roman" w:cs="Times New Roman" w:eastAsia="Times New Roman" w:hAnsi="Times New Roman"/>
          <w:sz w:val="14"/>
          <w:szCs w:val="14"/>
          <w:color w:val="auto"/>
        </w:rPr>
        <w:t xml:space="preserve">the change in the fair value of the CVR liability, an increase in research and development expenses and lower revenue and interest income the three months ended March 31, 2026. </w:t>
      </w:r>
      <w:r>
        <w:rPr>
          <w:rFonts w:ascii="Times New Roman" w:cs="Times New Roman" w:eastAsia="Times New Roman" w:hAnsi="Times New Roman"/>
          <w:sz w:val="14"/>
          <w:szCs w:val="14"/>
          <w:b w:val="1"/>
          <w:bCs w:val="1"/>
          <w:color w:val="auto"/>
        </w:rPr>
        <w:t>Liquidity and Capital Resources</w:t>
      </w:r>
    </w:p>
    <w:p>
      <w:pPr>
        <w:spacing w:after="0" w:line="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incurred recurring net losses since our inception.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potential royalty and/or milestone monetization transactions and other collaborations and strategic alliances.</w:t>
      </w:r>
    </w:p>
    <w:p>
      <w:pPr>
        <w:spacing w:after="0" w:line="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cash, cash equivalents, and restricted cash were $120.4 million as of March 31, 2026, of which $1.7 million was restricted cash related to lease commitments.</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addition to our existing cash equivalents, we from time to time have received and may receive in the future research and development funding pursuant to our collaboration and license agreements. Currently, funding from payments under our collaboration agreements represent our only source of committed external funds.</w:t>
      </w:r>
    </w:p>
    <w:p>
      <w:pPr>
        <w:spacing w:after="0" w:line="8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liability associated with the contingent value rights agreement, or CVR Agreement, entered into on December 6, 2023, will be settled solely through cash flow received under the Sobi License (as defined below) and any other Gross Proceeds (as such term is defined in the CVR Agreement) net of certain agreed deductions. Under the CVR Agreement, 100% of all milestone payments, royalties, and other amounts paid to us or our controlled entities under the Sobi License, and any other Gross Proceeds, in each case net of certain agreed deductions, will be distributed to holders of the CVRs. There is no contractual obligation for us to fund any amount related to the CVR liability.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Collaboration and License Agreements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In-licenses</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September 2023, we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 For further description of the Biogen Agreement, see Note 12, “Collaboration and License Agreements” to our unaudited consolidated financial statements included elsewhere in this Quarterly Report.</w:t>
      </w:r>
    </w:p>
    <w:p>
      <w:pPr>
        <w:spacing w:after="0" w:line="101"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Effective September 2019, we entered into a non-exclusive, worldwide license agreement, or the NCI Agreement, with the U.S. Department of Health and Human Services, represented by the National Cancer Institute of the National Institutes of Health, or NCI. 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 thrombocytopenic purpura according to methods designated in the NCI Agreement. In connection with our entry into the NCI Agreement, we paid to NCI a one-time $0.1 million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 For further description of the NCI Agreement, see Note 12, “Collaboration and License Agreements” to our unaudited consolidated financial statements included elsewhere in this Quarterly Report.</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Out-licenses</w:t>
      </w:r>
    </w:p>
    <w:p>
      <w:pPr>
        <w:spacing w:after="0" w:line="13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 June 2020, we entered into a License and Development Agreement, or as so amended, the Sobi License, with Swedish Orphan Biovitrum AB (publ.), or Sobi. Sobi paid us a one-time, upfront payment of $75 million, and upon the closing of a private placement of our common stock to Sobi at a price of $138.468 per share, we received an additional $25 million from Sobi. We are eligible to receive $630.0 million in milestone payments upon the achievement of various development and regulatory milestones and sales thresholds for annual net sales of Nanoecapsulated Sirolimus plus Pegadricase, or NASP, and tiered royalty payments ranging from the low double digits on the lowest sales tier to the high teens on the highest sales tier. Sobi has agreed to fund the Phase 3 clinical program of NASP, which commenced in September 2020. In July 2022, we received $10.0 million for the completion of the enrollment of the DISSOLVE II trial. In July 2024, we received $30.0 million for the milestone associated with the initiation of a rolling biologics license application to the FDA for NASP for the potential treatment of chronic refractory gout by Sobi. Proceeds from milestone payments and royalties on sales of NASP, if any, are</w:t>
      </w:r>
    </w:p>
    <w:p>
      <w:pPr>
        <w:spacing w:after="0" w:line="3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required to be distributed, net of certain agreed deductions, to holders of the CVRs. For further description of the Sobi License, see Note 11, “Revenue Arrangements” to our unaudited consolidated financial statements included elsewhere in this Quarterly Report.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Financings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“At the Market” Sales Agreement</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December 13, 2024, the Company entered into a Sales Agreement, or the Sales Agreement, with Leerink Partners LLC to sell shares of the Company’s common stock, from time to time, through an “at the market” equity offering program under which Leerink Partners LLC acts as sales agent. The shares of common stock sold pursuant to the Sales Agreement will be issued pursuant to the Company’s shelf registration statement on Form S-3 (File No. 333-283803), filed on December 13, 2024 with the SEC and related prospectus supplement, filed on January 8, 2025 with the SEC, for aggregate gross sales proceeds of up to $100.0 million.</w:t>
      </w:r>
    </w:p>
    <w:p>
      <w:pPr>
        <w:spacing w:after="0" w:line="9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2026, the Company sold 2,270,712 shares of its common stock pursuant to the Sales Agreement for net proceeds of approximately $14.6 million after commissions and expenses. No shares were sold pursuant to the Sales Agreement during the three months ended March 31,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Future funding requirements</w:t>
      </w:r>
    </w:p>
    <w:p>
      <w:pPr>
        <w:spacing w:after="0" w:line="13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As of the date of this Quarterly Report,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milestone and royalty payments for in-licenses,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10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March 31, 2026, we had an accumulated deficit of $861.6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93"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We regularly evaluate various potential sources of additional funding such as strategic collaborations, license agreements, debt issuance, potential royalty and/or milestone monetization transactions and the issuance of equity instruments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instruments, the ownership interest of our existing stockholders will be diluted, and other preferences may be necessary that adversely affect the rights of existing stockholders.</w:t>
      </w:r>
    </w:p>
    <w:p>
      <w:pPr>
        <w:spacing w:after="0" w:line="270"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believe that our existing cash, cash equivalents, and restricted cash as of March 31, 2026 will enable us to fund our operating expenses and capital expenditure requirements for at least the next 12 months.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future capital requirements will depend on many factors, including:</w:t>
      </w:r>
    </w:p>
    <w:p>
      <w:pPr>
        <w:spacing w:after="0" w:line="136"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progress, results and costs of our clinical trials, preclinical development, manufacturing, laboratory testing and logistics;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product candidates that we pursue and the speed with which we pursue development;</w:t>
      </w:r>
    </w:p>
    <w:p>
      <w:pPr>
        <w:spacing w:after="0" w:line="34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91"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headcount growth and associated costs;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 of regulatory review of our product candidates;</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future commercialization activities, including manufacturing, marketing, sales and distribution, for any of our product candidates for which we receive marketing approval;</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revenue, if any, from commercial sales of our product candidates for which we receive marketing approval;</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preparing, filing and prosecuting patent applications, maintaining and enforcing our intellectual property rights and defending any intellectual property-related claims;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invest in businesses, products and technologies, including entering into licensing or collaboration arrangements for product candidates.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Requirements due to Contractual Obligations and Other Commitments</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are under agreement to lease approximately 32,294 square feet of laboratory and office space in Watertown, Massachusetts through May 2028. Remaining lease payments from March 31, 2026 through the end of the lease term total approximately $6.1 million. Payments made and remaining obligations on this lease liability are subject to potential reimbursement through deductions to CVR distributions as described in Note 5, “Fair Value Measurements” to our unaudited consolidated financial statements included elsewhere in this Quarterly Report and were reimbursed in the March 2025 CVR distribution.</w:t>
      </w:r>
    </w:p>
    <w:p>
      <w:pPr>
        <w:spacing w:after="0" w:line="9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November 2023 we acquired two leases for office and laboratory space in Gaithersburg, Maryland, which expire in January 2027. Annualized rent is approximately $0.3 million and remaining lease payments from March 31, 2026 through the end of the lease term total approximately $0.3 million.</w:t>
      </w:r>
    </w:p>
    <w:p>
      <w:pPr>
        <w:spacing w:after="0" w:line="8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February 2024, we entered into an agreement to lease approximately 19,199 square feet of integrated manufacturing and office space in Frederick, Maryland. In May 2024, we entered into an amendment to lease an additional approximately 7,842 square feet at the same site. In August 2024, we entered into a second amendment to lease an additional approximately 2,009 square feet at the same site. In March 2025, we entered into a third amendment to lease an additional approximately 6,439 square feet at the same site. The leases expire coterminously in June 2031. Annualized base rent under the leases is approximately $1.4 million and is subject to annual increases in accordance with the terms of the lease agreement. The leases provide for a tenant improvement allowance of $0.8 million. Remaining lease payments total $8.4 million through the end of the lease term.</w:t>
      </w:r>
    </w:p>
    <w:p>
      <w:pPr>
        <w:spacing w:after="0" w:line="10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are also party to certain license and collaboration agreements with Biogen, NCI, and Shenyang Sunshine Pharmaceutical Co., Ltd., or 3SBio. We may be obligated to make certain future payments which are contingent upon future events such as our achievement of specified regulatory and commercial milestones, or royalties on net product sales under these agreements. As of March 31, 2026, we were unable to estimate the timing or likelihood of achieving these milestones or generating future product sales. Payments made and remaining obligations on the license agreement with 3SBio are subject to potential reimbursement through deductions to CVR distributions as described in Note 5, “Fair Value Measurements” to our unaudited consolidated financial statements included elsewhere in this Quarterly Report.</w:t>
      </w:r>
    </w:p>
    <w:p>
      <w:pPr>
        <w:spacing w:after="0" w:line="3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63"/>
        </w:trPr>
        <w:tc>
          <w:tcPr>
            <w:tcW w:w="8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Summary of Cash Flows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9"/>
        </w:trPr>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1"/>
        </w:trPr>
        <w:tc>
          <w:tcPr>
            <w:tcW w:w="8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0"/>
        </w:trPr>
        <w:tc>
          <w:tcPr>
            <w:tcW w:w="85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Cash (used in) provided by:</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0"/>
        </w:trPr>
        <w:tc>
          <w:tcPr>
            <w:tcW w:w="85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activities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(23,108)</w:t>
            </w:r>
          </w:p>
        </w:tc>
      </w:tr>
      <w:tr>
        <w:trPr>
          <w:trHeight w:val="180"/>
        </w:trPr>
        <w:tc>
          <w:tcPr>
            <w:tcW w:w="85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Investing activities</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r>
      <w:tr>
        <w:trPr>
          <w:trHeight w:val="180"/>
        </w:trPr>
        <w:tc>
          <w:tcPr>
            <w:tcW w:w="85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Financing activities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(8,025)</w:t>
            </w:r>
          </w:p>
        </w:tc>
      </w:tr>
      <w:tr>
        <w:trPr>
          <w:trHeight w:val="180"/>
        </w:trPr>
        <w:tc>
          <w:tcPr>
            <w:tcW w:w="85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72"/>
        </w:trPr>
        <w:tc>
          <w:tcPr>
            <w:tcW w:w="8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(6,498)</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(32,176)</w:t>
            </w:r>
          </w:p>
        </w:tc>
      </w:tr>
    </w:tbl>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Net cash used in operating activities for the three months ended March 31, 2026 was $22.1 million compared to $23.1 million for the three months ended March 31, 2025. The decrease in cash used in operating activities of approximately $1.0 million was primarily due to $22.2 million of net loss, adjusted for non-cash items, and $0.1 million of cash provided by changes in operating assets and liabilities, in each case during the three months ended March 31, 2026 compared to $16.0 million of net loss, adjusted for non-cash items, and $7.1 million of cash used in changes in operating assets and liabilities during the three months ended March 31, 2025.</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for the three months ended March 31, 2026 was immaterial compared to $1.1 million for the three months ended March 31, 2025, a decrease of approximately $1.1 million. The net cash used in investing activities for the three months ended March 31, 2026 and 2025 consisted of purchases of property and equipment.</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3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Net cash provided by financing activities for the three months ended March 31, 2026 was $15.7 million compared to net cash used in financing activities of $8.0 million for the three months ended March 31, 2025, an increase of approximately $23.7 million. The net cash provided by financing activities in the three months ended March 31, 2026 was primarily from $15.4 million in proceeds from sales of our common stock pursuant to the Sales Agreement, net of commissions and expenses. The net cash used in financing activities in the three months ended March 31, 2025 was primarily the result of payments for the CVR distribution.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a discussion of recently adopted or issued accounting pronouncements refer to Note 2, “Summary of Significant Accounting Policies” to our unaudited consolidated financial statements included elsewhere in this Quarterly Report.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March 31, 2026, we did not have any off-balance sheet arrangements as defined in the rules and regulations of the SEC.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Use of Estimates</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management’s discussion and analysis of our financial condition and results of operations is based on our consolidated financial statements, which have been prepared in accordance with accounting principles generally accepted in the United States of America, or U.S. GAAP. The preparation of these consolidated financial statements requires us to make estimates and judgments that affect the reported amounts of assets, liabilities, revenues and expenses, and disclosure of contingent assets and liabilities in our consolidated financial statements. Actual results may differ from these estimates under different assumptions or conditions. During the three months ended March 31, 2026, there were no material changes to our critical accounting policies from those described in our Annual Report on Form 10-K for the year ended December 31, 2025.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Smaller Reporting Company</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1" w:name="page32"/>
    <w:bookmarkEnd w:id="31"/>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market risk inherent in our financial instruments and in our financial position represents the potential loss arising from adverse changes in interest rates. As of March 31, 2026 and December 31, 2025, we had cash, cash equivalents, and restricted cash of $120.4 million and $126.9 million, respectively, consisting of non-interest and interest-bearing money market accounts. Our primary exposure to market risk is interest rate sensitivity, which is affected by changes in the general level of U.S. interest rates. Due to the short-term and the low risk profile of our money market accounts and marketable securities, and our current policy to hold marketable securities to maturity, an immediate 100 basis point change in interest rates would not have a material effect on the fair market value of our cash equivalents or short-term marketable securities.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evaluated, as of the end of the period covered by this Quarterly Report,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March 31, 2026.</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Inherent Limitations on Effectiveness of Controls</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There are inherent limitations to the effectiveness of any system of internal control over financial reporting. Accordingly, even an effective system of internal control over financial reporting can only provide reasonable assurance with respect to financial statement preparation and presentation in accordance with U.S. GAAP. Our internal controls over financial reporting are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 inadequate because of changes in conditions and the risk that the degree of compliance with policies or procedures may deteriorate over time.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Rules 13a-15(f) and 15d-15(f) under the Exchange Act) during the three months ended March 31, 2026 that have materially affected, or are reasonably likely to materially affect, our internal control over financial reporting.</w:t>
      </w:r>
    </w:p>
    <w:p>
      <w:pPr>
        <w:spacing w:after="0" w:line="2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38"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See the risk factors previously disclosed in Item 1A of our Annual Report on Form 10-K for the year ended December 31, 2025. There have been no material changes from the risk factors previously disclosed in such filings.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During the fiscal quarter ended March 31, 2026, no officer or director, as defined in Rule 16a-1(f) of the Exchange Act, informed us of the adoption, modification or termination of any “Rule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10b5-1 trading arrangement” or a “non-Rule 10b5-1 trading arrangement,” as those terms are defined in Item 408 of Regulation S-K .</w:t>
      </w:r>
    </w:p>
    <w:p>
      <w:pPr>
        <w:spacing w:after="0" w:line="33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670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4"/>
        </w:trPr>
        <w:tc>
          <w:tcPr>
            <w:tcW w:w="260" w:type="dxa"/>
            <w:vAlign w:val="bottom"/>
          </w:tcPr>
          <w:p>
            <w:pPr>
              <w:spacing w:after="0"/>
              <w:rPr>
                <w:sz w:val="24"/>
                <w:szCs w:val="24"/>
                <w:color w:val="auto"/>
              </w:rPr>
            </w:pPr>
          </w:p>
        </w:tc>
        <w:tc>
          <w:tcPr>
            <w:tcW w:w="10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Item 6. Exhibits</w:t>
            </w:r>
          </w:p>
        </w:tc>
        <w:tc>
          <w:tcPr>
            <w:tcW w:w="5700" w:type="dxa"/>
            <w:vAlign w:val="bottom"/>
            <w:gridSpan w:val="18"/>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gridSpan w:val="10"/>
          </w:tcPr>
          <w:p>
            <w:pPr>
              <w:ind w:left="34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9"/>
        </w:trPr>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9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52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91"/>
        </w:trPr>
        <w:tc>
          <w:tcPr>
            <w:tcW w:w="260" w:type="dxa"/>
            <w:vAlign w:val="bottom"/>
          </w:tcPr>
          <w:p>
            <w:pPr>
              <w:spacing w:after="0"/>
              <w:rPr>
                <w:sz w:val="16"/>
                <w:szCs w:val="16"/>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520" w:type="dxa"/>
            <w:vAlign w:val="bottom"/>
            <w:gridSpan w:val="13"/>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39"/>
        </w:trPr>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189"/>
              <w:spacing w:after="0" w:line="139"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5660" w:type="dxa"/>
            <w:vAlign w:val="bottom"/>
            <w:tcBorders>
              <w:top w:val="single" w:sz="8" w:color="auto"/>
            </w:tcBorders>
            <w:gridSpan w:val="18"/>
          </w:tcPr>
          <w:p>
            <w:pPr>
              <w:spacing w:after="0" w:line="139" w:lineRule="exact"/>
              <w:rPr>
                <w:rFonts w:ascii="Times New Roman" w:cs="Times New Roman" w:eastAsia="Times New Roman" w:hAnsi="Times New Roman"/>
                <w:sz w:val="14"/>
                <w:szCs w:val="14"/>
                <w:color w:val="0000FF"/>
              </w:rPr>
            </w:pPr>
            <w:hyperlink r:id="rId52">
              <w:r>
                <w:rPr>
                  <w:rFonts w:ascii="Times New Roman" w:cs="Times New Roman" w:eastAsia="Times New Roman" w:hAnsi="Times New Roman"/>
                  <w:sz w:val="14"/>
                  <w:szCs w:val="14"/>
                  <w:color w:val="0000FF"/>
                </w:rPr>
                <w:t>Agreement and Plan of Merger, dated November 13, 2023, by and among Selecta Biosciences, Inc.,</w:t>
              </w:r>
            </w:hyperlink>
          </w:p>
        </w:tc>
        <w:tc>
          <w:tcPr>
            <w:tcW w:w="100" w:type="dxa"/>
            <w:vAlign w:val="bottom"/>
          </w:tcPr>
          <w:p>
            <w:pPr>
              <w:spacing w:after="0"/>
              <w:rPr>
                <w:sz w:val="12"/>
                <w:szCs w:val="12"/>
                <w:color w:val="auto"/>
              </w:rPr>
            </w:pPr>
          </w:p>
        </w:tc>
        <w:tc>
          <w:tcPr>
            <w:tcW w:w="6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8-K</w:t>
            </w:r>
          </w:p>
        </w:tc>
        <w:tc>
          <w:tcPr>
            <w:tcW w:w="100" w:type="dxa"/>
            <w:vAlign w:val="bottom"/>
          </w:tcPr>
          <w:p>
            <w:pPr>
              <w:spacing w:after="0"/>
              <w:rPr>
                <w:sz w:val="12"/>
                <w:szCs w:val="12"/>
                <w:color w:val="auto"/>
              </w:rPr>
            </w:pPr>
          </w:p>
        </w:tc>
        <w:tc>
          <w:tcPr>
            <w:tcW w:w="132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001-37798</w:t>
            </w:r>
          </w:p>
        </w:tc>
        <w:tc>
          <w:tcPr>
            <w:tcW w:w="80" w:type="dxa"/>
            <w:vAlign w:val="bottom"/>
          </w:tcPr>
          <w:p>
            <w:pPr>
              <w:spacing w:after="0"/>
              <w:rPr>
                <w:sz w:val="12"/>
                <w:szCs w:val="12"/>
                <w:color w:val="auto"/>
              </w:rPr>
            </w:pPr>
          </w:p>
        </w:tc>
        <w:tc>
          <w:tcPr>
            <w:tcW w:w="94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2"/>
                <w:szCs w:val="12"/>
                <w:color w:val="auto"/>
              </w:rPr>
            </w:pPr>
          </w:p>
        </w:tc>
        <w:tc>
          <w:tcPr>
            <w:tcW w:w="114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11/13/2023</w:t>
            </w:r>
          </w:p>
        </w:tc>
        <w:tc>
          <w:tcPr>
            <w:tcW w:w="0" w:type="dxa"/>
            <w:vAlign w:val="bottom"/>
          </w:tcPr>
          <w:p>
            <w:pPr>
              <w:spacing w:after="0"/>
              <w:rPr>
                <w:sz w:val="1"/>
                <w:szCs w:val="1"/>
                <w:color w:val="auto"/>
              </w:rPr>
            </w:pPr>
          </w:p>
        </w:tc>
      </w:tr>
      <w:tr>
        <w:trPr>
          <w:trHeight w:val="118"/>
        </w:trPr>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4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52">
              <w:r>
                <w:rPr>
                  <w:rFonts w:ascii="Times New Roman" w:cs="Times New Roman" w:eastAsia="Times New Roman" w:hAnsi="Times New Roman"/>
                  <w:sz w:val="13"/>
                  <w:szCs w:val="13"/>
                  <w:color w:val="0000FF"/>
                </w:rPr>
                <w:t>Sakura Merger Sub I, Inc., Sakura Merger Sub II, LLC, and Cartesian Therapeutics, Inc.</w:t>
              </w:r>
            </w:hyperlink>
          </w:p>
        </w:tc>
        <w:tc>
          <w:tcPr>
            <w:tcW w:w="12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3.1(a)</w:t>
            </w:r>
          </w:p>
        </w:tc>
        <w:tc>
          <w:tcPr>
            <w:tcW w:w="368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4"/>
                <w:szCs w:val="14"/>
                <w:color w:val="0000FF"/>
              </w:rPr>
            </w:pPr>
            <w:hyperlink r:id="rId53">
              <w:r>
                <w:rPr>
                  <w:rFonts w:ascii="Times New Roman" w:cs="Times New Roman" w:eastAsia="Times New Roman" w:hAnsi="Times New Roman"/>
                  <w:sz w:val="14"/>
                  <w:szCs w:val="14"/>
                  <w:color w:val="0000FF"/>
                </w:rPr>
                <w:t>Restated Certificate of Incorporation of Selecta Biosciences, Inc.</w:t>
              </w:r>
            </w:hyperlink>
          </w:p>
        </w:tc>
        <w:tc>
          <w:tcPr>
            <w:tcW w:w="1320" w:type="dxa"/>
            <w:vAlign w:val="bottom"/>
            <w:tcBorders>
              <w:top w:val="single" w:sz="8" w:color="0000FF"/>
            </w:tcBorders>
          </w:tcPr>
          <w:p>
            <w:pPr>
              <w:spacing w:after="0"/>
              <w:rPr>
                <w:sz w:val="14"/>
                <w:szCs w:val="14"/>
                <w:color w:val="auto"/>
              </w:rPr>
            </w:pPr>
          </w:p>
        </w:tc>
        <w:tc>
          <w:tcPr>
            <w:tcW w:w="760" w:type="dxa"/>
            <w:vAlign w:val="bottom"/>
            <w:gridSpan w:val="9"/>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6/29/2016</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3.1(b)</w:t>
            </w:r>
          </w:p>
        </w:tc>
        <w:tc>
          <w:tcPr>
            <w:tcW w:w="5760" w:type="dxa"/>
            <w:vAlign w:val="bottom"/>
            <w:gridSpan w:val="19"/>
          </w:tcPr>
          <w:p>
            <w:pPr>
              <w:spacing w:after="0"/>
              <w:rPr>
                <w:rFonts w:ascii="Times New Roman" w:cs="Times New Roman" w:eastAsia="Times New Roman" w:hAnsi="Times New Roman"/>
                <w:sz w:val="14"/>
                <w:szCs w:val="14"/>
                <w:color w:val="0000FF"/>
              </w:rPr>
            </w:pPr>
            <w:hyperlink r:id="rId54">
              <w:r>
                <w:rPr>
                  <w:rFonts w:ascii="Times New Roman" w:cs="Times New Roman" w:eastAsia="Times New Roman" w:hAnsi="Times New Roman"/>
                  <w:sz w:val="14"/>
                  <w:szCs w:val="14"/>
                  <w:color w:val="0000FF"/>
                </w:rPr>
                <w:t>Certificate of Amendment to the Restated Certificate of Incorporation of Selecta Biosciences, Inc.,</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8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6/21/2022</w:t>
            </w:r>
          </w:p>
        </w:tc>
        <w:tc>
          <w:tcPr>
            <w:tcW w:w="0" w:type="dxa"/>
            <w:vAlign w:val="bottom"/>
          </w:tcPr>
          <w:p>
            <w:pPr>
              <w:spacing w:after="0"/>
              <w:rPr>
                <w:sz w:val="1"/>
                <w:szCs w:val="1"/>
                <w:color w:val="auto"/>
              </w:rPr>
            </w:pPr>
          </w:p>
        </w:tc>
      </w:tr>
      <w:tr>
        <w:trPr>
          <w:trHeight w:val="118"/>
        </w:trPr>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54">
              <w:r>
                <w:rPr>
                  <w:rFonts w:ascii="Times New Roman" w:cs="Times New Roman" w:eastAsia="Times New Roman" w:hAnsi="Times New Roman"/>
                  <w:sz w:val="13"/>
                  <w:szCs w:val="13"/>
                  <w:color w:val="0000FF"/>
                </w:rPr>
                <w:t>dated June 21, 2022</w:t>
              </w:r>
            </w:hyperlink>
          </w:p>
        </w:tc>
        <w:tc>
          <w:tcPr>
            <w:tcW w:w="4440" w:type="dxa"/>
            <w:vAlign w:val="bottom"/>
            <w:tcBorders>
              <w:top w:val="single" w:sz="8" w:color="0000FF"/>
            </w:tcBorders>
            <w:gridSpan w:val="13"/>
          </w:tcPr>
          <w:p>
            <w:pPr>
              <w:spacing w:after="0"/>
              <w:rPr>
                <w:sz w:val="10"/>
                <w:szCs w:val="10"/>
                <w:color w:val="auto"/>
              </w:rPr>
            </w:pPr>
          </w:p>
        </w:tc>
        <w:tc>
          <w:tcPr>
            <w:tcW w:w="180" w:type="dxa"/>
            <w:vAlign w:val="bottom"/>
            <w:gridSpan w:val="3"/>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3.1(c)</w:t>
            </w:r>
          </w:p>
        </w:tc>
        <w:tc>
          <w:tcPr>
            <w:tcW w:w="5760" w:type="dxa"/>
            <w:vAlign w:val="bottom"/>
            <w:gridSpan w:val="19"/>
          </w:tcPr>
          <w:p>
            <w:pPr>
              <w:spacing w:after="0"/>
              <w:rPr>
                <w:rFonts w:ascii="Times New Roman" w:cs="Times New Roman" w:eastAsia="Times New Roman" w:hAnsi="Times New Roman"/>
                <w:sz w:val="14"/>
                <w:szCs w:val="14"/>
                <w:color w:val="0000FF"/>
              </w:rPr>
            </w:pPr>
            <w:hyperlink r:id="rId55">
              <w:r>
                <w:rPr>
                  <w:rFonts w:ascii="Times New Roman" w:cs="Times New Roman" w:eastAsia="Times New Roman" w:hAnsi="Times New Roman"/>
                  <w:sz w:val="14"/>
                  <w:szCs w:val="14"/>
                  <w:color w:val="0000FF"/>
                </w:rPr>
                <w:t>Certificate of Amendment to the Restated Certificate of Incorporation of Selecta Biosciences, Inc.,</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11/13/2023</w:t>
            </w:r>
          </w:p>
        </w:tc>
        <w:tc>
          <w:tcPr>
            <w:tcW w:w="0" w:type="dxa"/>
            <w:vAlign w:val="bottom"/>
          </w:tcPr>
          <w:p>
            <w:pPr>
              <w:spacing w:after="0"/>
              <w:rPr>
                <w:sz w:val="1"/>
                <w:szCs w:val="1"/>
                <w:color w:val="auto"/>
              </w:rPr>
            </w:pPr>
          </w:p>
        </w:tc>
      </w:tr>
      <w:tr>
        <w:trPr>
          <w:trHeight w:val="118"/>
        </w:trPr>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55">
              <w:r>
                <w:rPr>
                  <w:rFonts w:ascii="Times New Roman" w:cs="Times New Roman" w:eastAsia="Times New Roman" w:hAnsi="Times New Roman"/>
                  <w:sz w:val="13"/>
                  <w:szCs w:val="13"/>
                  <w:color w:val="0000FF"/>
                </w:rPr>
                <w:t>dated November 13, 2023</w:t>
              </w:r>
            </w:hyperlink>
          </w:p>
        </w:tc>
        <w:tc>
          <w:tcPr>
            <w:tcW w:w="4100" w:type="dxa"/>
            <w:vAlign w:val="bottom"/>
            <w:tcBorders>
              <w:top w:val="single" w:sz="8" w:color="0000FF"/>
            </w:tcBorders>
            <w:gridSpan w:val="12"/>
          </w:tcPr>
          <w:p>
            <w:pPr>
              <w:spacing w:after="0"/>
              <w:rPr>
                <w:sz w:val="10"/>
                <w:szCs w:val="10"/>
                <w:color w:val="auto"/>
              </w:rPr>
            </w:pPr>
          </w:p>
        </w:tc>
        <w:tc>
          <w:tcPr>
            <w:tcW w:w="180" w:type="dxa"/>
            <w:vAlign w:val="bottom"/>
            <w:gridSpan w:val="3"/>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3.1(d)</w:t>
            </w:r>
          </w:p>
        </w:tc>
        <w:tc>
          <w:tcPr>
            <w:tcW w:w="5760" w:type="dxa"/>
            <w:vAlign w:val="bottom"/>
            <w:gridSpan w:val="19"/>
          </w:tcPr>
          <w:p>
            <w:pPr>
              <w:spacing w:after="0"/>
              <w:rPr>
                <w:rFonts w:ascii="Times New Roman" w:cs="Times New Roman" w:eastAsia="Times New Roman" w:hAnsi="Times New Roman"/>
                <w:sz w:val="14"/>
                <w:szCs w:val="14"/>
                <w:color w:val="0000FF"/>
              </w:rPr>
            </w:pPr>
            <w:hyperlink r:id="rId56">
              <w:r>
                <w:rPr>
                  <w:rFonts w:ascii="Times New Roman" w:cs="Times New Roman" w:eastAsia="Times New Roman" w:hAnsi="Times New Roman"/>
                  <w:sz w:val="14"/>
                  <w:szCs w:val="14"/>
                  <w:color w:val="0000FF"/>
                </w:rPr>
                <w:t>Certificate of Amendment to the Restated Certificate of Incorporation, as amended, of Cartesian</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3/28/2024</w:t>
            </w:r>
          </w:p>
        </w:tc>
        <w:tc>
          <w:tcPr>
            <w:tcW w:w="0" w:type="dxa"/>
            <w:vAlign w:val="bottom"/>
          </w:tcPr>
          <w:p>
            <w:pPr>
              <w:spacing w:after="0"/>
              <w:rPr>
                <w:sz w:val="1"/>
                <w:szCs w:val="1"/>
                <w:color w:val="auto"/>
              </w:rPr>
            </w:pPr>
          </w:p>
        </w:tc>
      </w:tr>
      <w:tr>
        <w:trPr>
          <w:trHeight w:val="118"/>
        </w:trPr>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56">
              <w:r>
                <w:rPr>
                  <w:rFonts w:ascii="Times New Roman" w:cs="Times New Roman" w:eastAsia="Times New Roman" w:hAnsi="Times New Roman"/>
                  <w:sz w:val="13"/>
                  <w:szCs w:val="13"/>
                  <w:color w:val="0000FF"/>
                </w:rPr>
                <w:t>Therapeutics, Inc., dated March 28, 2024.</w:t>
              </w:r>
            </w:hyperlink>
          </w:p>
        </w:tc>
        <w:tc>
          <w:tcPr>
            <w:tcW w:w="3060" w:type="dxa"/>
            <w:vAlign w:val="bottom"/>
            <w:tcBorders>
              <w:top w:val="single" w:sz="8" w:color="0000FF"/>
            </w:tcBorders>
            <w:gridSpan w:val="8"/>
          </w:tcPr>
          <w:p>
            <w:pPr>
              <w:spacing w:after="0"/>
              <w:rPr>
                <w:sz w:val="10"/>
                <w:szCs w:val="10"/>
                <w:color w:val="auto"/>
              </w:rPr>
            </w:pPr>
          </w:p>
        </w:tc>
        <w:tc>
          <w:tcPr>
            <w:tcW w:w="320" w:type="dxa"/>
            <w:vAlign w:val="bottom"/>
            <w:gridSpan w:val="4"/>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84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4"/>
                <w:szCs w:val="14"/>
                <w:color w:val="auto"/>
              </w:rPr>
            </w:pPr>
          </w:p>
        </w:tc>
        <w:tc>
          <w:tcPr>
            <w:tcW w:w="5760" w:type="dxa"/>
            <w:vAlign w:val="bottom"/>
            <w:gridSpan w:val="19"/>
          </w:tcPr>
          <w:p>
            <w:pPr>
              <w:spacing w:after="0"/>
              <w:rPr>
                <w:rFonts w:ascii="Times New Roman" w:cs="Times New Roman" w:eastAsia="Times New Roman" w:hAnsi="Times New Roman"/>
                <w:sz w:val="14"/>
                <w:szCs w:val="14"/>
                <w:color w:val="0000FF"/>
              </w:rPr>
            </w:pPr>
            <w:hyperlink r:id="rId57">
              <w:r>
                <w:rPr>
                  <w:rFonts w:ascii="Times New Roman" w:cs="Times New Roman" w:eastAsia="Times New Roman" w:hAnsi="Times New Roman"/>
                  <w:sz w:val="14"/>
                  <w:szCs w:val="14"/>
                  <w:color w:val="0000FF"/>
                </w:rPr>
                <w:t>Amended and Restated By-laws of Cartesian Therapeutics, Inc.</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10/30/2025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4.1(a)</w:t>
            </w:r>
          </w:p>
        </w:tc>
        <w:tc>
          <w:tcPr>
            <w:tcW w:w="5760" w:type="dxa"/>
            <w:vAlign w:val="bottom"/>
            <w:gridSpan w:val="19"/>
          </w:tcPr>
          <w:p>
            <w:pPr>
              <w:spacing w:after="0"/>
              <w:rPr>
                <w:rFonts w:ascii="Times New Roman" w:cs="Times New Roman" w:eastAsia="Times New Roman" w:hAnsi="Times New Roman"/>
                <w:sz w:val="14"/>
                <w:szCs w:val="14"/>
                <w:color w:val="0000FF"/>
              </w:rPr>
            </w:pPr>
            <w:hyperlink r:id="rId58">
              <w:r>
                <w:rPr>
                  <w:rFonts w:ascii="Times New Roman" w:cs="Times New Roman" w:eastAsia="Times New Roman" w:hAnsi="Times New Roman"/>
                  <w:sz w:val="14"/>
                  <w:szCs w:val="14"/>
                  <w:color w:val="0000FF"/>
                </w:rPr>
                <w:t>Certificate of Designation of Preferences, Rights and Limitations of Series A Non-Voting</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8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11/13/2023</w:t>
            </w:r>
          </w:p>
        </w:tc>
        <w:tc>
          <w:tcPr>
            <w:tcW w:w="0" w:type="dxa"/>
            <w:vAlign w:val="bottom"/>
          </w:tcPr>
          <w:p>
            <w:pPr>
              <w:spacing w:after="0"/>
              <w:rPr>
                <w:sz w:val="1"/>
                <w:szCs w:val="1"/>
                <w:color w:val="auto"/>
              </w:rPr>
            </w:pPr>
          </w:p>
        </w:tc>
      </w:tr>
      <w:tr>
        <w:trPr>
          <w:trHeight w:val="118"/>
        </w:trPr>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58">
              <w:r>
                <w:rPr>
                  <w:rFonts w:ascii="Times New Roman" w:cs="Times New Roman" w:eastAsia="Times New Roman" w:hAnsi="Times New Roman"/>
                  <w:sz w:val="13"/>
                  <w:szCs w:val="13"/>
                  <w:color w:val="0000FF"/>
                </w:rPr>
                <w:t>Convertible Preferred Stock</w:t>
              </w:r>
            </w:hyperlink>
          </w:p>
        </w:tc>
        <w:tc>
          <w:tcPr>
            <w:tcW w:w="3480" w:type="dxa"/>
            <w:vAlign w:val="bottom"/>
            <w:tcBorders>
              <w:top w:val="single" w:sz="8" w:color="0000FF"/>
            </w:tcBorders>
            <w:gridSpan w:val="7"/>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gridSpan w:val="5"/>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4.1(b)</w:t>
            </w:r>
          </w:p>
        </w:tc>
        <w:tc>
          <w:tcPr>
            <w:tcW w:w="5760" w:type="dxa"/>
            <w:vAlign w:val="bottom"/>
            <w:gridSpan w:val="19"/>
          </w:tcPr>
          <w:p>
            <w:pPr>
              <w:spacing w:after="0"/>
              <w:rPr>
                <w:rFonts w:ascii="Times New Roman" w:cs="Times New Roman" w:eastAsia="Times New Roman" w:hAnsi="Times New Roman"/>
                <w:sz w:val="14"/>
                <w:szCs w:val="14"/>
                <w:color w:val="0000FF"/>
              </w:rPr>
            </w:pPr>
            <w:hyperlink r:id="rId59">
              <w:r>
                <w:rPr>
                  <w:rFonts w:ascii="Times New Roman" w:cs="Times New Roman" w:eastAsia="Times New Roman" w:hAnsi="Times New Roman"/>
                  <w:sz w:val="14"/>
                  <w:szCs w:val="14"/>
                  <w:color w:val="0000FF"/>
                </w:rPr>
                <w:t>Certificate of Amendment to the Certificate of Designation of Series A Non-Voting Convertible</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3/28/2024</w:t>
            </w:r>
          </w:p>
        </w:tc>
        <w:tc>
          <w:tcPr>
            <w:tcW w:w="0" w:type="dxa"/>
            <w:vAlign w:val="bottom"/>
          </w:tcPr>
          <w:p>
            <w:pPr>
              <w:spacing w:after="0"/>
              <w:rPr>
                <w:sz w:val="1"/>
                <w:szCs w:val="1"/>
                <w:color w:val="auto"/>
              </w:rPr>
            </w:pPr>
          </w:p>
        </w:tc>
      </w:tr>
      <w:tr>
        <w:trPr>
          <w:trHeight w:val="118"/>
        </w:trPr>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4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59">
              <w:r>
                <w:rPr>
                  <w:rFonts w:ascii="Times New Roman" w:cs="Times New Roman" w:eastAsia="Times New Roman" w:hAnsi="Times New Roman"/>
                  <w:sz w:val="13"/>
                  <w:szCs w:val="13"/>
                  <w:color w:val="0000FF"/>
                </w:rPr>
                <w:t>Preferred Stock, dated March 26, 2024.</w:t>
              </w:r>
            </w:hyperlink>
          </w:p>
        </w:tc>
        <w:tc>
          <w:tcPr>
            <w:tcW w:w="3180" w:type="dxa"/>
            <w:vAlign w:val="bottom"/>
            <w:tcBorders>
              <w:top w:val="single" w:sz="8" w:color="0000FF"/>
            </w:tcBorders>
            <w:gridSpan w:val="8"/>
          </w:tcPr>
          <w:p>
            <w:pPr>
              <w:spacing w:after="0"/>
              <w:rPr>
                <w:sz w:val="10"/>
                <w:szCs w:val="10"/>
                <w:color w:val="auto"/>
              </w:rPr>
            </w:pPr>
          </w:p>
        </w:tc>
        <w:tc>
          <w:tcPr>
            <w:tcW w:w="340" w:type="dxa"/>
            <w:vAlign w:val="bottom"/>
            <w:gridSpan w:val="5"/>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84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4"/>
                <w:szCs w:val="14"/>
                <w:color w:val="auto"/>
              </w:rPr>
            </w:pPr>
          </w:p>
        </w:tc>
        <w:tc>
          <w:tcPr>
            <w:tcW w:w="5760" w:type="dxa"/>
            <w:vAlign w:val="bottom"/>
            <w:gridSpan w:val="19"/>
          </w:tcPr>
          <w:p>
            <w:pPr>
              <w:spacing w:after="0"/>
              <w:rPr>
                <w:rFonts w:ascii="Times New Roman" w:cs="Times New Roman" w:eastAsia="Times New Roman" w:hAnsi="Times New Roman"/>
                <w:sz w:val="14"/>
                <w:szCs w:val="14"/>
                <w:color w:val="0000FF"/>
              </w:rPr>
            </w:pPr>
            <w:hyperlink r:id="rId60">
              <w:r>
                <w:rPr>
                  <w:rFonts w:ascii="Times New Roman" w:cs="Times New Roman" w:eastAsia="Times New Roman" w:hAnsi="Times New Roman"/>
                  <w:sz w:val="14"/>
                  <w:szCs w:val="14"/>
                  <w:color w:val="0000FF"/>
                </w:rPr>
                <w:t>Certificate of Designation of Preferences, Rights and Limitations of Series B Non-Voting</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001-37798</w:t>
            </w: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7/2/2024</w:t>
            </w:r>
          </w:p>
        </w:tc>
        <w:tc>
          <w:tcPr>
            <w:tcW w:w="0" w:type="dxa"/>
            <w:vAlign w:val="bottom"/>
          </w:tcPr>
          <w:p>
            <w:pPr>
              <w:spacing w:after="0"/>
              <w:rPr>
                <w:sz w:val="1"/>
                <w:szCs w:val="1"/>
                <w:color w:val="auto"/>
              </w:rPr>
            </w:pPr>
          </w:p>
        </w:tc>
      </w:tr>
      <w:tr>
        <w:trPr>
          <w:trHeight w:val="118"/>
        </w:trPr>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60">
              <w:r>
                <w:rPr>
                  <w:rFonts w:ascii="Times New Roman" w:cs="Times New Roman" w:eastAsia="Times New Roman" w:hAnsi="Times New Roman"/>
                  <w:sz w:val="13"/>
                  <w:szCs w:val="13"/>
                  <w:color w:val="0000FF"/>
                </w:rPr>
                <w:t>Convertible Preferred Stock</w:t>
              </w:r>
            </w:hyperlink>
          </w:p>
        </w:tc>
        <w:tc>
          <w:tcPr>
            <w:tcW w:w="3460" w:type="dxa"/>
            <w:vAlign w:val="bottom"/>
            <w:tcBorders>
              <w:top w:val="single" w:sz="8" w:color="0000FF"/>
            </w:tcBorders>
            <w:gridSpan w:val="6"/>
          </w:tcPr>
          <w:p>
            <w:pPr>
              <w:spacing w:after="0"/>
              <w:rPr>
                <w:sz w:val="10"/>
                <w:szCs w:val="10"/>
                <w:color w:val="auto"/>
              </w:rPr>
            </w:pPr>
          </w:p>
        </w:tc>
        <w:tc>
          <w:tcPr>
            <w:tcW w:w="340" w:type="dxa"/>
            <w:vAlign w:val="bottom"/>
            <w:gridSpan w:val="2"/>
          </w:tcPr>
          <w:p>
            <w:pPr>
              <w:spacing w:after="0"/>
              <w:rPr>
                <w:sz w:val="10"/>
                <w:szCs w:val="10"/>
                <w:color w:val="auto"/>
              </w:rPr>
            </w:pPr>
          </w:p>
        </w:tc>
        <w:tc>
          <w:tcPr>
            <w:tcW w:w="360" w:type="dxa"/>
            <w:vAlign w:val="bottom"/>
            <w:gridSpan w:val="6"/>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84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4"/>
                <w:szCs w:val="14"/>
                <w:color w:val="auto"/>
              </w:rPr>
            </w:pPr>
          </w:p>
        </w:tc>
        <w:tc>
          <w:tcPr>
            <w:tcW w:w="57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Employment Agreement, dated as of March 26, 2024, by and between the Registrant and Milos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18"/>
        </w:trPr>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top w:val="single" w:sz="8" w:color="0000FF"/>
              <w:bottom w:val="single" w:sz="8" w:color="0000FF"/>
            </w:tcBorders>
            <w:gridSpan w:val="2"/>
          </w:tcPr>
          <w:p>
            <w:pPr>
              <w:spacing w:after="0" w:line="118" w:lineRule="exact"/>
              <w:rPr>
                <w:sz w:val="20"/>
                <w:szCs w:val="20"/>
                <w:color w:val="auto"/>
              </w:rPr>
            </w:pPr>
            <w:r>
              <w:rPr>
                <w:rFonts w:ascii="Times New Roman" w:cs="Times New Roman" w:eastAsia="Times New Roman" w:hAnsi="Times New Roman"/>
                <w:sz w:val="13"/>
                <w:szCs w:val="13"/>
                <w:color w:val="0000FF"/>
              </w:rPr>
              <w:t>Miljkovic, MD.</w:t>
            </w:r>
          </w:p>
        </w:tc>
        <w:tc>
          <w:tcPr>
            <w:tcW w:w="4500" w:type="dxa"/>
            <w:vAlign w:val="bottom"/>
            <w:tcBorders>
              <w:top w:val="single" w:sz="8" w:color="0000FF"/>
            </w:tcBorders>
            <w:gridSpan w:val="11"/>
          </w:tcPr>
          <w:p>
            <w:pPr>
              <w:spacing w:after="0"/>
              <w:rPr>
                <w:sz w:val="10"/>
                <w:szCs w:val="10"/>
                <w:color w:val="auto"/>
              </w:rPr>
            </w:pPr>
          </w:p>
        </w:tc>
        <w:tc>
          <w:tcPr>
            <w:tcW w:w="360" w:type="dxa"/>
            <w:vAlign w:val="bottom"/>
            <w:gridSpan w:val="6"/>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1">
            <w:col w:w="11280"/>
          </w:cols>
          <w:pgMar w:left="300" w:top="116" w:right="319" w:bottom="1440" w:gutter="0" w:footer="0" w:header="0"/>
        </w:sectPr>
      </w:pPr>
    </w:p>
    <w:tbl>
      <w:tblPr>
        <w:tblLayout w:type="fixed"/>
        <w:tblInd w:w="420" w:type="dxa"/>
        <w:tblCellMar>
          <w:top w:w="0" w:type="dxa"/>
          <w:left w:w="0" w:type="dxa"/>
          <w:bottom w:w="0" w:type="dxa"/>
          <w:right w:w="0" w:type="dxa"/>
        </w:tblCellMar>
      </w:tblPr>
      <w:tr>
        <w:trPr>
          <w:trHeight w:val="161"/>
        </w:trPr>
        <w:tc>
          <w:tcPr>
            <w:tcW w:w="78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97"/>
              </w:rPr>
              <w:t>31.1</w:t>
            </w:r>
          </w:p>
        </w:tc>
        <w:tc>
          <w:tcPr>
            <w:tcW w:w="560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 13a-14(a) or Rule 15d-14(a) of the</w:t>
            </w:r>
          </w:p>
        </w:tc>
      </w:tr>
      <w:tr>
        <w:trPr>
          <w:trHeight w:val="118"/>
        </w:trPr>
        <w:tc>
          <w:tcPr>
            <w:tcW w:w="780" w:type="dxa"/>
            <w:vAlign w:val="bottom"/>
          </w:tcPr>
          <w:p>
            <w:pPr>
              <w:spacing w:after="0"/>
              <w:rPr>
                <w:sz w:val="10"/>
                <w:szCs w:val="10"/>
                <w:color w:val="auto"/>
              </w:rPr>
            </w:pPr>
          </w:p>
        </w:tc>
        <w:tc>
          <w:tcPr>
            <w:tcW w:w="5420" w:type="dxa"/>
            <w:vAlign w:val="bottom"/>
            <w:tcBorders>
              <w:top w:val="single" w:sz="8" w:color="0000FF"/>
              <w:bottom w:val="single" w:sz="8" w:color="0000FF"/>
            </w:tcBorders>
            <w:gridSpan w:val="4"/>
          </w:tcPr>
          <w:p>
            <w:pPr>
              <w:spacing w:after="0" w:line="118" w:lineRule="exact"/>
              <w:rPr>
                <w:sz w:val="20"/>
                <w:szCs w:val="20"/>
                <w:color w:val="auto"/>
              </w:rPr>
            </w:pPr>
            <w:r>
              <w:rPr>
                <w:rFonts w:ascii="Times New Roman" w:cs="Times New Roman" w:eastAsia="Times New Roman" w:hAnsi="Times New Roman"/>
                <w:sz w:val="13"/>
                <w:szCs w:val="13"/>
                <w:color w:val="0000FF"/>
              </w:rPr>
              <w:t>Securities Exchange Act of 1934, as adopted pursuant to Section 302 of the Sarbanes-Oxley Act</w:t>
            </w:r>
          </w:p>
        </w:tc>
        <w:tc>
          <w:tcPr>
            <w:tcW w:w="180" w:type="dxa"/>
            <w:vAlign w:val="bottom"/>
            <w:tcBorders>
              <w:bottom w:val="single" w:sz="8" w:color="0000FF"/>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color w:val="0000FF"/>
                <w:w w:val="91"/>
              </w:rPr>
              <w:t>of</w:t>
            </w:r>
          </w:p>
        </w:tc>
      </w:tr>
      <w:tr>
        <w:trPr>
          <w:trHeight w:val="129"/>
        </w:trPr>
        <w:tc>
          <w:tcPr>
            <w:tcW w:w="780" w:type="dxa"/>
            <w:vAlign w:val="bottom"/>
          </w:tcPr>
          <w:p>
            <w:pPr>
              <w:spacing w:after="0"/>
              <w:rPr>
                <w:sz w:val="11"/>
                <w:szCs w:val="11"/>
                <w:color w:val="auto"/>
              </w:rPr>
            </w:pPr>
          </w:p>
        </w:tc>
        <w:tc>
          <w:tcPr>
            <w:tcW w:w="300" w:type="dxa"/>
            <w:vAlign w:val="bottom"/>
            <w:tcBorders>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9"/>
              </w:rPr>
              <w:t>2002</w:t>
            </w:r>
          </w:p>
        </w:tc>
        <w:tc>
          <w:tcPr>
            <w:tcW w:w="4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0"/>
        </w:trPr>
        <w:tc>
          <w:tcPr>
            <w:tcW w:w="78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97"/>
              </w:rPr>
              <w:t>31.2</w:t>
            </w:r>
          </w:p>
        </w:tc>
        <w:tc>
          <w:tcPr>
            <w:tcW w:w="560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 13a-14(a) or Rule 15d-14(a) of the</w:t>
            </w:r>
          </w:p>
        </w:tc>
      </w:tr>
      <w:tr>
        <w:trPr>
          <w:trHeight w:val="20"/>
        </w:trPr>
        <w:tc>
          <w:tcPr>
            <w:tcW w:w="780" w:type="dxa"/>
            <w:vAlign w:val="bottom"/>
          </w:tcPr>
          <w:p>
            <w:pPr>
              <w:spacing w:after="0" w:line="20" w:lineRule="exact"/>
              <w:rPr>
                <w:sz w:val="1"/>
                <w:szCs w:val="1"/>
                <w:color w:val="auto"/>
              </w:rPr>
            </w:pPr>
          </w:p>
        </w:tc>
        <w:tc>
          <w:tcPr>
            <w:tcW w:w="480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8"/>
        </w:trPr>
        <w:tc>
          <w:tcPr>
            <w:tcW w:w="780" w:type="dxa"/>
            <w:vAlign w:val="bottom"/>
          </w:tcPr>
          <w:p>
            <w:pPr>
              <w:spacing w:after="0"/>
              <w:rPr>
                <w:sz w:val="10"/>
                <w:szCs w:val="10"/>
                <w:color w:val="auto"/>
              </w:rPr>
            </w:pPr>
          </w:p>
        </w:tc>
        <w:tc>
          <w:tcPr>
            <w:tcW w:w="5600" w:type="dxa"/>
            <w:vAlign w:val="bottom"/>
            <w:tcBorders>
              <w:bottom w:val="single" w:sz="8" w:color="0000FF"/>
            </w:tcBorders>
            <w:gridSpan w:val="6"/>
          </w:tcPr>
          <w:p>
            <w:pPr>
              <w:spacing w:after="0" w:line="118" w:lineRule="exact"/>
              <w:rPr>
                <w:sz w:val="20"/>
                <w:szCs w:val="20"/>
                <w:color w:val="auto"/>
              </w:rPr>
            </w:pPr>
            <w:r>
              <w:rPr>
                <w:rFonts w:ascii="Times New Roman" w:cs="Times New Roman" w:eastAsia="Times New Roman" w:hAnsi="Times New Roman"/>
                <w:sz w:val="13"/>
                <w:szCs w:val="13"/>
                <w:color w:val="0000FF"/>
              </w:rPr>
              <w:t>Securities Exchange Act of 1934, as adopted pursuant to Section 302 of the Sarbanes-Oxley Act of</w:t>
            </w:r>
          </w:p>
        </w:tc>
      </w:tr>
      <w:tr>
        <w:trPr>
          <w:trHeight w:val="129"/>
        </w:trPr>
        <w:tc>
          <w:tcPr>
            <w:tcW w:w="780" w:type="dxa"/>
            <w:vAlign w:val="bottom"/>
          </w:tcPr>
          <w:p>
            <w:pPr>
              <w:spacing w:after="0"/>
              <w:rPr>
                <w:sz w:val="11"/>
                <w:szCs w:val="11"/>
                <w:color w:val="auto"/>
              </w:rPr>
            </w:pPr>
          </w:p>
        </w:tc>
        <w:tc>
          <w:tcPr>
            <w:tcW w:w="300" w:type="dxa"/>
            <w:vAlign w:val="bottom"/>
            <w:tcBorders>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9"/>
              </w:rPr>
              <w:t>2002</w:t>
            </w:r>
          </w:p>
        </w:tc>
        <w:tc>
          <w:tcPr>
            <w:tcW w:w="4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0"/>
        </w:trPr>
        <w:tc>
          <w:tcPr>
            <w:tcW w:w="78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97"/>
              </w:rPr>
              <w:t>32.1</w:t>
            </w:r>
          </w:p>
        </w:tc>
        <w:tc>
          <w:tcPr>
            <w:tcW w:w="560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and Principal Financial Officer pursuant to 18 U.S.C.</w:t>
            </w:r>
          </w:p>
        </w:tc>
      </w:tr>
      <w:tr>
        <w:trPr>
          <w:trHeight w:val="118"/>
        </w:trPr>
        <w:tc>
          <w:tcPr>
            <w:tcW w:w="780" w:type="dxa"/>
            <w:vAlign w:val="bottom"/>
          </w:tcPr>
          <w:p>
            <w:pPr>
              <w:spacing w:after="0"/>
              <w:rPr>
                <w:sz w:val="10"/>
                <w:szCs w:val="10"/>
                <w:color w:val="auto"/>
              </w:rPr>
            </w:pPr>
          </w:p>
        </w:tc>
        <w:tc>
          <w:tcPr>
            <w:tcW w:w="5520" w:type="dxa"/>
            <w:vAlign w:val="bottom"/>
            <w:tcBorders>
              <w:top w:val="single" w:sz="8" w:color="0000FF"/>
            </w:tcBorders>
            <w:gridSpan w:val="5"/>
          </w:tcPr>
          <w:p>
            <w:pPr>
              <w:spacing w:after="0" w:line="118" w:lineRule="exact"/>
              <w:rPr>
                <w:sz w:val="20"/>
                <w:szCs w:val="20"/>
                <w:color w:val="auto"/>
              </w:rPr>
            </w:pPr>
            <w:r>
              <w:rPr>
                <w:rFonts w:ascii="Times New Roman" w:cs="Times New Roman" w:eastAsia="Times New Roman" w:hAnsi="Times New Roman"/>
                <w:sz w:val="13"/>
                <w:szCs w:val="13"/>
                <w:color w:val="0000FF"/>
              </w:rPr>
              <w:t>Section 1350, as adopted pursuant to Section 906 of the Sarbanes-Oxley Act of 2002</w:t>
            </w:r>
          </w:p>
        </w:tc>
        <w:tc>
          <w:tcPr>
            <w:tcW w:w="80" w:type="dxa"/>
            <w:vAlign w:val="bottom"/>
          </w:tcPr>
          <w:p>
            <w:pPr>
              <w:spacing w:after="0"/>
              <w:rPr>
                <w:sz w:val="10"/>
                <w:szCs w:val="10"/>
                <w:color w:val="auto"/>
              </w:rPr>
            </w:pP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60" w:type="dxa"/>
            <w:vAlign w:val="bottom"/>
          </w:tcPr>
          <w:p>
            <w:pPr>
              <w:jc w:val="right"/>
              <w:ind w:right="480"/>
              <w:spacing w:after="0"/>
              <w:rPr>
                <w:sz w:val="20"/>
                <w:szCs w:val="20"/>
                <w:color w:val="auto"/>
              </w:rPr>
            </w:pPr>
            <w:r>
              <w:rPr>
                <w:rFonts w:ascii="Times New Roman" w:cs="Times New Roman" w:eastAsia="Times New Roman" w:hAnsi="Times New Roman"/>
                <w:sz w:val="8"/>
                <w:szCs w:val="8"/>
                <w:color w:val="auto"/>
                <w:w w:val="73"/>
              </w:rPr>
              <w:t>-</w:t>
            </w:r>
          </w:p>
        </w:tc>
        <w:tc>
          <w:tcPr>
            <w:tcW w:w="114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vMerge w:val="restart"/>
          </w:tcPr>
          <w:p>
            <w:pPr>
              <w:jc w:val="center"/>
              <w:ind w:left="189"/>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85"/>
        </w:trPr>
        <w:tc>
          <w:tcPr>
            <w:tcW w:w="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2"/>
        </w:trPr>
        <w:tc>
          <w:tcPr>
            <w:tcW w:w="560" w:type="dxa"/>
            <w:vAlign w:val="bottom"/>
          </w:tcPr>
          <w:p>
            <w:pPr>
              <w:jc w:val="right"/>
              <w:ind w:right="480"/>
              <w:spacing w:after="0"/>
              <w:rPr>
                <w:sz w:val="20"/>
                <w:szCs w:val="20"/>
                <w:color w:val="auto"/>
              </w:rPr>
            </w:pPr>
            <w:r>
              <w:rPr>
                <w:rFonts w:ascii="Times New Roman" w:cs="Times New Roman" w:eastAsia="Times New Roman" w:hAnsi="Times New Roman"/>
                <w:sz w:val="8"/>
                <w:szCs w:val="8"/>
                <w:color w:val="auto"/>
                <w:w w:val="73"/>
              </w:rPr>
              <w:t>-</w:t>
            </w:r>
          </w:p>
        </w:tc>
        <w:tc>
          <w:tcPr>
            <w:tcW w:w="114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vMerge w:val="restart"/>
          </w:tcPr>
          <w:p>
            <w:pPr>
              <w:jc w:val="center"/>
              <w:ind w:left="189"/>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85"/>
        </w:trPr>
        <w:tc>
          <w:tcPr>
            <w:tcW w:w="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2"/>
        </w:trPr>
        <w:tc>
          <w:tcPr>
            <w:tcW w:w="560" w:type="dxa"/>
            <w:vAlign w:val="bottom"/>
          </w:tcPr>
          <w:p>
            <w:pPr>
              <w:jc w:val="right"/>
              <w:ind w:right="480"/>
              <w:spacing w:after="0"/>
              <w:rPr>
                <w:sz w:val="20"/>
                <w:szCs w:val="20"/>
                <w:color w:val="auto"/>
              </w:rPr>
            </w:pPr>
            <w:r>
              <w:rPr>
                <w:rFonts w:ascii="Times New Roman" w:cs="Times New Roman" w:eastAsia="Times New Roman" w:hAnsi="Times New Roman"/>
                <w:sz w:val="8"/>
                <w:szCs w:val="8"/>
                <w:color w:val="auto"/>
                <w:w w:val="73"/>
              </w:rPr>
              <w:t>-</w:t>
            </w:r>
          </w:p>
        </w:tc>
        <w:tc>
          <w:tcPr>
            <w:tcW w:w="114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Furnished herewith</w:t>
            </w: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2">
            <w:col w:w="6800" w:space="480"/>
            <w:col w:w="4000"/>
          </w:cols>
          <w:pgMar w:left="300" w:top="116" w:right="319" w:bottom="1440" w:gutter="0" w:footer="0" w:header="0"/>
          <w:type w:val="continuous"/>
        </w:sectPr>
      </w:pPr>
    </w:p>
    <w:tbl>
      <w:tblPr>
        <w:tblLayout w:type="fixed"/>
        <w:tblInd w:w="280" w:type="dxa"/>
        <w:tblCellMar>
          <w:top w:w="0" w:type="dxa"/>
          <w:left w:w="0" w:type="dxa"/>
          <w:bottom w:w="0" w:type="dxa"/>
          <w:right w:w="0" w:type="dxa"/>
        </w:tblCellMar>
      </w:tblPr>
      <w:tr>
        <w:trPr>
          <w:trHeight w:val="161"/>
        </w:trPr>
        <w:tc>
          <w:tcPr>
            <w:tcW w:w="74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7"/>
              </w:rPr>
              <w:t>101.INS</w:t>
            </w:r>
          </w:p>
        </w:tc>
        <w:tc>
          <w:tcPr>
            <w:tcW w:w="5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Instance Document (the Instance Document does not appear in the interactive data</w:t>
            </w:r>
          </w:p>
        </w:tc>
      </w:tr>
      <w:tr>
        <w:trPr>
          <w:trHeight w:val="184"/>
        </w:trPr>
        <w:tc>
          <w:tcPr>
            <w:tcW w:w="740" w:type="dxa"/>
            <w:vAlign w:val="bottom"/>
          </w:tcPr>
          <w:p>
            <w:pPr>
              <w:spacing w:after="0"/>
              <w:rPr>
                <w:sz w:val="16"/>
                <w:szCs w:val="16"/>
                <w:color w:val="auto"/>
              </w:rPr>
            </w:pPr>
          </w:p>
        </w:tc>
        <w:tc>
          <w:tcPr>
            <w:tcW w:w="5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file because its XBRL tags are embedded within the Inline XBRL document)</w:t>
            </w:r>
          </w:p>
        </w:tc>
      </w:tr>
      <w:tr>
        <w:trPr>
          <w:trHeight w:val="187"/>
        </w:trPr>
        <w:tc>
          <w:tcPr>
            <w:tcW w:w="74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101.SCH</w:t>
            </w:r>
          </w:p>
        </w:tc>
        <w:tc>
          <w:tcPr>
            <w:tcW w:w="5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65"/>
        </w:trPr>
        <w:tc>
          <w:tcPr>
            <w:tcW w:w="74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101.CAL</w:t>
            </w:r>
          </w:p>
        </w:tc>
        <w:tc>
          <w:tcPr>
            <w:tcW w:w="5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65"/>
        </w:trPr>
        <w:tc>
          <w:tcPr>
            <w:tcW w:w="74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8"/>
              </w:rPr>
              <w:t>101.DEF</w:t>
            </w:r>
          </w:p>
        </w:tc>
        <w:tc>
          <w:tcPr>
            <w:tcW w:w="5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65"/>
        </w:trPr>
        <w:tc>
          <w:tcPr>
            <w:tcW w:w="74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101.LAB</w:t>
            </w:r>
          </w:p>
        </w:tc>
        <w:tc>
          <w:tcPr>
            <w:tcW w:w="5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65"/>
        </w:trPr>
        <w:tc>
          <w:tcPr>
            <w:tcW w:w="74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9"/>
              </w:rPr>
              <w:t>101.PRE</w:t>
            </w:r>
          </w:p>
        </w:tc>
        <w:tc>
          <w:tcPr>
            <w:tcW w:w="5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265"/>
        </w:trPr>
        <w:tc>
          <w:tcPr>
            <w:tcW w:w="74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104</w:t>
            </w:r>
          </w:p>
        </w:tc>
        <w:tc>
          <w:tcPr>
            <w:tcW w:w="5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60" w:type="dxa"/>
            <w:vAlign w:val="bottom"/>
          </w:tcPr>
          <w:p>
            <w:pPr>
              <w:jc w:val="right"/>
              <w:ind w:right="480"/>
              <w:spacing w:after="0"/>
              <w:rPr>
                <w:sz w:val="20"/>
                <w:szCs w:val="20"/>
                <w:color w:val="auto"/>
              </w:rPr>
            </w:pPr>
            <w:r>
              <w:rPr>
                <w:rFonts w:ascii="Times New Roman" w:cs="Times New Roman" w:eastAsia="Times New Roman" w:hAnsi="Times New Roman"/>
                <w:sz w:val="8"/>
                <w:szCs w:val="8"/>
                <w:color w:val="auto"/>
                <w:w w:val="73"/>
              </w:rPr>
              <w:t>-</w:t>
            </w:r>
          </w:p>
        </w:tc>
        <w:tc>
          <w:tcPr>
            <w:tcW w:w="114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w w:val="98"/>
              </w:rPr>
              <w:t>Filed herewith</w:t>
            </w:r>
          </w:p>
        </w:tc>
        <w:tc>
          <w:tcPr>
            <w:tcW w:w="0" w:type="dxa"/>
            <w:vAlign w:val="bottom"/>
          </w:tcPr>
          <w:p>
            <w:pPr>
              <w:spacing w:after="0"/>
              <w:rPr>
                <w:sz w:val="1"/>
                <w:szCs w:val="1"/>
                <w:color w:val="auto"/>
              </w:rPr>
            </w:pPr>
          </w:p>
        </w:tc>
      </w:tr>
      <w:tr>
        <w:trPr>
          <w:trHeight w:val="85"/>
        </w:trPr>
        <w:tc>
          <w:tcPr>
            <w:tcW w:w="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560" w:type="dxa"/>
            <w:vAlign w:val="bottom"/>
          </w:tcPr>
          <w:p>
            <w:pPr>
              <w:jc w:val="right"/>
              <w:ind w:right="480"/>
              <w:spacing w:after="0"/>
              <w:rPr>
                <w:sz w:val="20"/>
                <w:szCs w:val="20"/>
                <w:color w:val="auto"/>
              </w:rPr>
            </w:pPr>
            <w:r>
              <w:rPr>
                <w:rFonts w:ascii="Times New Roman" w:cs="Times New Roman" w:eastAsia="Times New Roman" w:hAnsi="Times New Roman"/>
                <w:sz w:val="8"/>
                <w:szCs w:val="8"/>
                <w:color w:val="auto"/>
                <w:w w:val="73"/>
              </w:rPr>
              <w:t>-</w:t>
            </w:r>
          </w:p>
        </w:tc>
        <w:tc>
          <w:tcPr>
            <w:tcW w:w="114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w w:val="98"/>
              </w:rPr>
              <w:t>Filed herewith</w:t>
            </w:r>
          </w:p>
        </w:tc>
        <w:tc>
          <w:tcPr>
            <w:tcW w:w="0" w:type="dxa"/>
            <w:vAlign w:val="bottom"/>
          </w:tcPr>
          <w:p>
            <w:pPr>
              <w:spacing w:after="0"/>
              <w:rPr>
                <w:sz w:val="1"/>
                <w:szCs w:val="1"/>
                <w:color w:val="auto"/>
              </w:rPr>
            </w:pPr>
          </w:p>
        </w:tc>
      </w:tr>
      <w:tr>
        <w:trPr>
          <w:trHeight w:val="85"/>
        </w:trPr>
        <w:tc>
          <w:tcPr>
            <w:tcW w:w="560" w:type="dxa"/>
            <w:vAlign w:val="bottom"/>
            <w:vMerge w:val="restart"/>
          </w:tcPr>
          <w:p>
            <w:pPr>
              <w:jc w:val="right"/>
              <w:ind w:right="480"/>
              <w:spacing w:after="0"/>
              <w:rPr>
                <w:sz w:val="20"/>
                <w:szCs w:val="20"/>
                <w:color w:val="auto"/>
              </w:rPr>
            </w:pPr>
            <w:r>
              <w:rPr>
                <w:rFonts w:ascii="Times New Roman" w:cs="Times New Roman" w:eastAsia="Times New Roman" w:hAnsi="Times New Roman"/>
                <w:sz w:val="8"/>
                <w:szCs w:val="8"/>
                <w:color w:val="auto"/>
                <w:w w:val="73"/>
              </w:rPr>
              <w:t>-</w:t>
            </w:r>
          </w:p>
        </w:tc>
        <w:tc>
          <w:tcPr>
            <w:tcW w:w="114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w w:val="98"/>
              </w:rPr>
              <w:t>Filed herewith</w:t>
            </w:r>
          </w:p>
        </w:tc>
        <w:tc>
          <w:tcPr>
            <w:tcW w:w="0" w:type="dxa"/>
            <w:vAlign w:val="bottom"/>
          </w:tcPr>
          <w:p>
            <w:pPr>
              <w:spacing w:after="0"/>
              <w:rPr>
                <w:sz w:val="1"/>
                <w:szCs w:val="1"/>
                <w:color w:val="auto"/>
              </w:rPr>
            </w:pPr>
          </w:p>
        </w:tc>
      </w:tr>
      <w:tr>
        <w:trPr>
          <w:trHeight w:val="85"/>
        </w:trPr>
        <w:tc>
          <w:tcPr>
            <w:tcW w:w="560" w:type="dxa"/>
            <w:vAlign w:val="bottom"/>
            <w:vMerge w:val="restart"/>
          </w:tcPr>
          <w:p>
            <w:pPr>
              <w:jc w:val="right"/>
              <w:ind w:right="480"/>
              <w:spacing w:after="0"/>
              <w:rPr>
                <w:sz w:val="20"/>
                <w:szCs w:val="20"/>
                <w:color w:val="auto"/>
              </w:rPr>
            </w:pPr>
            <w:r>
              <w:rPr>
                <w:rFonts w:ascii="Times New Roman" w:cs="Times New Roman" w:eastAsia="Times New Roman" w:hAnsi="Times New Roman"/>
                <w:sz w:val="8"/>
                <w:szCs w:val="8"/>
                <w:color w:val="auto"/>
                <w:w w:val="73"/>
              </w:rPr>
              <w:t>-</w:t>
            </w:r>
          </w:p>
        </w:tc>
        <w:tc>
          <w:tcPr>
            <w:tcW w:w="114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w w:val="98"/>
              </w:rPr>
              <w:t>Filed herewith</w:t>
            </w:r>
          </w:p>
        </w:tc>
        <w:tc>
          <w:tcPr>
            <w:tcW w:w="0" w:type="dxa"/>
            <w:vAlign w:val="bottom"/>
          </w:tcPr>
          <w:p>
            <w:pPr>
              <w:spacing w:after="0"/>
              <w:rPr>
                <w:sz w:val="1"/>
                <w:szCs w:val="1"/>
                <w:color w:val="auto"/>
              </w:rPr>
            </w:pPr>
          </w:p>
        </w:tc>
      </w:tr>
      <w:tr>
        <w:trPr>
          <w:trHeight w:val="85"/>
        </w:trPr>
        <w:tc>
          <w:tcPr>
            <w:tcW w:w="560" w:type="dxa"/>
            <w:vAlign w:val="bottom"/>
            <w:vMerge w:val="restart"/>
          </w:tcPr>
          <w:p>
            <w:pPr>
              <w:jc w:val="right"/>
              <w:ind w:right="480"/>
              <w:spacing w:after="0"/>
              <w:rPr>
                <w:sz w:val="20"/>
                <w:szCs w:val="20"/>
                <w:color w:val="auto"/>
              </w:rPr>
            </w:pPr>
            <w:r>
              <w:rPr>
                <w:rFonts w:ascii="Times New Roman" w:cs="Times New Roman" w:eastAsia="Times New Roman" w:hAnsi="Times New Roman"/>
                <w:sz w:val="8"/>
                <w:szCs w:val="8"/>
                <w:color w:val="auto"/>
                <w:w w:val="73"/>
              </w:rPr>
              <w:t>-</w:t>
            </w:r>
          </w:p>
        </w:tc>
        <w:tc>
          <w:tcPr>
            <w:tcW w:w="114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w w:val="98"/>
              </w:rPr>
              <w:t>Filed herewith</w:t>
            </w:r>
          </w:p>
        </w:tc>
        <w:tc>
          <w:tcPr>
            <w:tcW w:w="0" w:type="dxa"/>
            <w:vAlign w:val="bottom"/>
          </w:tcPr>
          <w:p>
            <w:pPr>
              <w:spacing w:after="0"/>
              <w:rPr>
                <w:sz w:val="1"/>
                <w:szCs w:val="1"/>
                <w:color w:val="auto"/>
              </w:rPr>
            </w:pPr>
          </w:p>
        </w:tc>
      </w:tr>
      <w:tr>
        <w:trPr>
          <w:trHeight w:val="85"/>
        </w:trPr>
        <w:tc>
          <w:tcPr>
            <w:tcW w:w="560" w:type="dxa"/>
            <w:vAlign w:val="bottom"/>
            <w:vMerge w:val="restart"/>
          </w:tcPr>
          <w:p>
            <w:pPr>
              <w:jc w:val="right"/>
              <w:ind w:right="480"/>
              <w:spacing w:after="0"/>
              <w:rPr>
                <w:sz w:val="20"/>
                <w:szCs w:val="20"/>
                <w:color w:val="auto"/>
              </w:rPr>
            </w:pPr>
            <w:r>
              <w:rPr>
                <w:rFonts w:ascii="Times New Roman" w:cs="Times New Roman" w:eastAsia="Times New Roman" w:hAnsi="Times New Roman"/>
                <w:sz w:val="8"/>
                <w:szCs w:val="8"/>
                <w:color w:val="auto"/>
                <w:w w:val="73"/>
              </w:rPr>
              <w:t>-</w:t>
            </w:r>
          </w:p>
        </w:tc>
        <w:tc>
          <w:tcPr>
            <w:tcW w:w="114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w w:val="98"/>
              </w:rPr>
              <w:t>Filed herewith</w:t>
            </w:r>
          </w:p>
        </w:tc>
        <w:tc>
          <w:tcPr>
            <w:tcW w:w="0" w:type="dxa"/>
            <w:vAlign w:val="bottom"/>
          </w:tcPr>
          <w:p>
            <w:pPr>
              <w:spacing w:after="0"/>
              <w:rPr>
                <w:sz w:val="1"/>
                <w:szCs w:val="1"/>
                <w:color w:val="auto"/>
              </w:rPr>
            </w:pPr>
          </w:p>
        </w:tc>
      </w:tr>
      <w:tr>
        <w:trPr>
          <w:trHeight w:val="85"/>
        </w:trPr>
        <w:tc>
          <w:tcPr>
            <w:tcW w:w="560" w:type="dxa"/>
            <w:vAlign w:val="bottom"/>
            <w:vMerge w:val="restart"/>
          </w:tcPr>
          <w:p>
            <w:pPr>
              <w:jc w:val="right"/>
              <w:ind w:right="480"/>
              <w:spacing w:after="0"/>
              <w:rPr>
                <w:sz w:val="20"/>
                <w:szCs w:val="20"/>
                <w:color w:val="auto"/>
              </w:rPr>
            </w:pPr>
            <w:r>
              <w:rPr>
                <w:rFonts w:ascii="Times New Roman" w:cs="Times New Roman" w:eastAsia="Times New Roman" w:hAnsi="Times New Roman"/>
                <w:sz w:val="8"/>
                <w:szCs w:val="8"/>
                <w:color w:val="auto"/>
                <w:w w:val="73"/>
              </w:rPr>
              <w:t>-</w:t>
            </w:r>
          </w:p>
        </w:tc>
        <w:tc>
          <w:tcPr>
            <w:tcW w:w="114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w w:val="98"/>
              </w:rPr>
              <w:t>Filed herewith</w:t>
            </w:r>
          </w:p>
        </w:tc>
        <w:tc>
          <w:tcPr>
            <w:tcW w:w="0" w:type="dxa"/>
            <w:vAlign w:val="bottom"/>
          </w:tcPr>
          <w:p>
            <w:pPr>
              <w:spacing w:after="0"/>
              <w:rPr>
                <w:sz w:val="1"/>
                <w:szCs w:val="1"/>
                <w:color w:val="auto"/>
              </w:rPr>
            </w:pPr>
          </w:p>
        </w:tc>
      </w:tr>
      <w:tr>
        <w:trPr>
          <w:trHeight w:val="85"/>
        </w:trPr>
        <w:tc>
          <w:tcPr>
            <w:tcW w:w="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640" w:space="640"/>
            <w:col w:w="4000"/>
          </w:cols>
          <w:pgMar w:left="300" w:top="116" w:right="319" w:bottom="1440" w:gutter="0" w:footer="0" w:header="0"/>
          <w:type w:val="continuous"/>
        </w:sectPr>
      </w:pPr>
    </w:p>
    <w:p>
      <w:pPr>
        <w:ind w:left="1200" w:right="20" w:firstLine="7"/>
        <w:spacing w:after="0" w:line="237" w:lineRule="auto"/>
        <w:tabs>
          <w:tab w:leader="none" w:pos="130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annexes, schedules and exhibits have been omitted pursuant to Item 601(a)(5) of Regulation S-K. The Company agrees to furnish supplementally a copy of any omitted attachment to the SEC on a confidential basis upon request.</w:t>
      </w:r>
    </w:p>
    <w:p>
      <w:pPr>
        <w:spacing w:after="0" w:line="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 Indicates management contract or compensatory plan.</w:t>
      </w:r>
    </w:p>
    <w:p>
      <w:pPr>
        <w:spacing w:after="0" w:line="200" w:lineRule="exact"/>
        <w:rPr>
          <w:sz w:val="20"/>
          <w:szCs w:val="20"/>
          <w:color w:val="auto"/>
        </w:rPr>
      </w:pPr>
    </w:p>
    <w:p>
      <w:pPr>
        <w:spacing w:after="0" w:line="39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type w:val="continuous"/>
        </w:sectPr>
      </w:pPr>
    </w:p>
    <w:bookmarkStart w:id="34" w:name="page35"/>
    <w:bookmarkEnd w:id="34"/>
    <w:p>
      <w:pPr>
        <w:ind w:left="2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by the following persons on behalf of the registrant in the capacities and on the dates indicated.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7800" w:type="dxa"/>
            <w:vAlign w:val="bottom"/>
            <w:gridSpan w:val="2"/>
          </w:tcPr>
          <w:p>
            <w:pPr>
              <w:ind w:left="2420"/>
              <w:spacing w:after="0"/>
              <w:rPr>
                <w:sz w:val="20"/>
                <w:szCs w:val="20"/>
                <w:color w:val="auto"/>
              </w:rPr>
            </w:pPr>
            <w:r>
              <w:rPr>
                <w:rFonts w:ascii="Times New Roman" w:cs="Times New Roman" w:eastAsia="Times New Roman" w:hAnsi="Times New Roman"/>
                <w:sz w:val="14"/>
                <w:szCs w:val="14"/>
                <w:b w:val="1"/>
                <w:bCs w:val="1"/>
                <w:color w:val="auto"/>
              </w:rPr>
              <w:t>CARTESIAN THERAPEUTICS, INC.</w:t>
            </w:r>
          </w:p>
        </w:tc>
      </w:tr>
      <w:tr>
        <w:trPr>
          <w:trHeight w:val="36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Date: April 30, 2026</w:t>
            </w:r>
          </w:p>
        </w:tc>
        <w:tc>
          <w:tcPr>
            <w:tcW w:w="288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By:</w:t>
            </w:r>
          </w:p>
        </w:tc>
        <w:tc>
          <w:tcPr>
            <w:tcW w:w="4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Carsten Brunn, Ph.D.</w:t>
            </w:r>
          </w:p>
        </w:tc>
      </w:tr>
      <w:tr>
        <w:trPr>
          <w:trHeight w:val="165"/>
        </w:trPr>
        <w:tc>
          <w:tcPr>
            <w:tcW w:w="34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Carsten Brunn, Ph.D.</w:t>
            </w:r>
          </w:p>
        </w:tc>
      </w:tr>
      <w:tr>
        <w:trPr>
          <w:trHeight w:val="180"/>
        </w:trPr>
        <w:tc>
          <w:tcPr>
            <w:tcW w:w="34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President, Chief Executive Officer and Chairman of the Board</w:t>
            </w:r>
          </w:p>
        </w:tc>
      </w:tr>
      <w:tr>
        <w:trPr>
          <w:trHeight w:val="186"/>
        </w:trPr>
        <w:tc>
          <w:tcPr>
            <w:tcW w:w="34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r>
        <w:trPr>
          <w:trHeight w:val="563"/>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Date: April 30, 2026</w:t>
            </w:r>
          </w:p>
        </w:tc>
        <w:tc>
          <w:tcPr>
            <w:tcW w:w="288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By:</w:t>
            </w:r>
          </w:p>
        </w:tc>
        <w:tc>
          <w:tcPr>
            <w:tcW w:w="4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Blaine Davis</w:t>
            </w:r>
          </w:p>
        </w:tc>
      </w:tr>
      <w:tr>
        <w:trPr>
          <w:trHeight w:val="165"/>
        </w:trPr>
        <w:tc>
          <w:tcPr>
            <w:tcW w:w="34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Blaine Davis</w:t>
            </w:r>
          </w:p>
        </w:tc>
      </w:tr>
      <w:tr>
        <w:trPr>
          <w:trHeight w:val="180"/>
        </w:trPr>
        <w:tc>
          <w:tcPr>
            <w:tcW w:w="34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r>
      <w:tr>
        <w:trPr>
          <w:trHeight w:val="186"/>
        </w:trPr>
        <w:tc>
          <w:tcPr>
            <w:tcW w:w="34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r>
      <w:tr>
        <w:trPr>
          <w:trHeight w:val="796"/>
        </w:trPr>
        <w:tc>
          <w:tcPr>
            <w:tcW w:w="3420" w:type="dxa"/>
            <w:vAlign w:val="bottom"/>
          </w:tcPr>
          <w:p>
            <w:pPr>
              <w:spacing w:after="0"/>
              <w:rPr>
                <w:sz w:val="24"/>
                <w:szCs w:val="24"/>
                <w:color w:val="auto"/>
              </w:rPr>
            </w:pPr>
          </w:p>
        </w:tc>
        <w:tc>
          <w:tcPr>
            <w:tcW w:w="28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34</w:t>
            </w:r>
          </w:p>
        </w:tc>
        <w:tc>
          <w:tcPr>
            <w:tcW w:w="4920" w:type="dxa"/>
            <w:vAlign w:val="bottom"/>
          </w:tcPr>
          <w:p>
            <w:pPr>
              <w:spacing w:after="0"/>
              <w:rPr>
                <w:sz w:val="24"/>
                <w:szCs w:val="24"/>
                <w:color w:val="auto"/>
              </w:rPr>
            </w:pPr>
          </w:p>
        </w:tc>
      </w:tr>
    </w:tbl>
    <w:p>
      <w:pPr>
        <w:sectPr>
          <w:pgSz w:w="11900" w:h="16838" w:orient="portrait"/>
          <w:cols w:equalWidth="0" w:num="1">
            <w:col w:w="11220"/>
          </w:cols>
          <w:pgMar w:left="340" w:top="125" w:right="339" w:bottom="1440"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Carsten Brunn, Ph.D., certify that:</w:t>
      </w:r>
    </w:p>
    <w:p>
      <w:pPr>
        <w:spacing w:after="0" w:line="179" w:lineRule="exact"/>
        <w:rPr>
          <w:sz w:val="20"/>
          <w:szCs w:val="20"/>
          <w:color w:val="auto"/>
        </w:rPr>
      </w:pPr>
    </w:p>
    <w:p>
      <w:pPr>
        <w:ind w:left="500" w:hanging="240"/>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Cartesian Therapeutics, Inc.;</w:t>
      </w:r>
    </w:p>
    <w:p>
      <w:pPr>
        <w:spacing w:after="0" w:line="157" w:lineRule="exact"/>
        <w:rPr>
          <w:rFonts w:ascii="Times New Roman" w:cs="Times New Roman" w:eastAsia="Times New Roman" w:hAnsi="Times New Roman"/>
          <w:sz w:val="14"/>
          <w:szCs w:val="14"/>
          <w:color w:val="auto"/>
        </w:rPr>
      </w:pPr>
    </w:p>
    <w:p>
      <w:pPr>
        <w:ind w:left="520" w:right="740" w:hanging="260"/>
        <w:spacing w:after="0" w:line="287" w:lineRule="auto"/>
        <w:tabs>
          <w:tab w:leader="none" w:pos="51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1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1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Times New Roman" w:cs="Times New Roman" w:eastAsia="Times New Roman" w:hAnsi="Times New Roman"/>
          <w:sz w:val="14"/>
          <w:szCs w:val="14"/>
          <w:color w:val="auto"/>
        </w:rPr>
      </w:pPr>
    </w:p>
    <w:p>
      <w:pPr>
        <w:jc w:val="both"/>
        <w:ind w:left="1020" w:right="360" w:hanging="315"/>
        <w:spacing w:after="0" w:line="270" w:lineRule="auto"/>
        <w:tabs>
          <w:tab w:leader="none" w:pos="100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Times New Roman" w:cs="Times New Roman" w:eastAsia="Times New Roman" w:hAnsi="Times New Roman"/>
          <w:sz w:val="14"/>
          <w:szCs w:val="14"/>
          <w:color w:val="auto"/>
        </w:rPr>
      </w:pPr>
    </w:p>
    <w:p>
      <w:pPr>
        <w:jc w:val="both"/>
        <w:ind w:left="1020" w:right="580" w:hanging="315"/>
        <w:spacing w:after="0" w:line="270" w:lineRule="auto"/>
        <w:tabs>
          <w:tab w:leader="none" w:pos="1008"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Times New Roman" w:cs="Times New Roman" w:eastAsia="Times New Roman" w:hAnsi="Times New Roman"/>
          <w:sz w:val="14"/>
          <w:szCs w:val="14"/>
          <w:color w:val="auto"/>
        </w:rPr>
      </w:pPr>
    </w:p>
    <w:p>
      <w:pPr>
        <w:ind w:left="1020" w:right="180" w:hanging="315"/>
        <w:spacing w:after="0" w:line="287" w:lineRule="auto"/>
        <w:tabs>
          <w:tab w:leader="none" w:pos="100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Times New Roman" w:cs="Times New Roman" w:eastAsia="Times New Roman" w:hAnsi="Times New Roman"/>
          <w:sz w:val="14"/>
          <w:szCs w:val="14"/>
          <w:color w:val="auto"/>
        </w:rPr>
      </w:pPr>
    </w:p>
    <w:p>
      <w:pPr>
        <w:ind w:left="1020" w:right="160" w:hanging="315"/>
        <w:spacing w:after="0" w:line="287" w:lineRule="auto"/>
        <w:tabs>
          <w:tab w:leader="none" w:pos="1008"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Times New Roman" w:cs="Times New Roman" w:eastAsia="Times New Roman" w:hAnsi="Times New Roman"/>
          <w:sz w:val="14"/>
          <w:szCs w:val="14"/>
          <w:color w:val="auto"/>
        </w:rPr>
      </w:pPr>
    </w:p>
    <w:p>
      <w:pPr>
        <w:ind w:left="520" w:right="540" w:hanging="260"/>
        <w:spacing w:after="0" w:line="287" w:lineRule="auto"/>
        <w:tabs>
          <w:tab w:leader="none" w:pos="51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4"/>
          <w:szCs w:val="14"/>
          <w:color w:val="auto"/>
        </w:rPr>
      </w:pPr>
    </w:p>
    <w:p>
      <w:pPr>
        <w:ind w:left="1020" w:right="540" w:hanging="315"/>
        <w:spacing w:after="0" w:line="287" w:lineRule="auto"/>
        <w:tabs>
          <w:tab w:leader="none" w:pos="99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Times New Roman" w:cs="Times New Roman" w:eastAsia="Times New Roman" w:hAnsi="Times New Roman"/>
          <w:sz w:val="14"/>
          <w:szCs w:val="14"/>
          <w:color w:val="auto"/>
        </w:rPr>
      </w:pPr>
    </w:p>
    <w:p>
      <w:pPr>
        <w:ind w:left="1000" w:hanging="295"/>
        <w:spacing w:after="0"/>
        <w:tabs>
          <w:tab w:leader="none" w:pos="100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2C2C2C"/>
              </w:rPr>
              <w:t>April 30, 2026</w:t>
            </w:r>
          </w:p>
        </w:tc>
        <w:tc>
          <w:tcPr>
            <w:tcW w:w="4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Carsten Brunn, Ph.D.</w:t>
            </w:r>
          </w:p>
        </w:tc>
      </w:tr>
      <w:tr>
        <w:trPr>
          <w:trHeight w:val="165"/>
        </w:trPr>
        <w:tc>
          <w:tcPr>
            <w:tcW w:w="6320" w:type="dxa"/>
            <w:vAlign w:val="bottom"/>
          </w:tcPr>
          <w:p>
            <w:pPr>
              <w:spacing w:after="0"/>
              <w:rPr>
                <w:sz w:val="14"/>
                <w:szCs w:val="14"/>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Carsten Brunn, Ph.D.</w:t>
            </w:r>
          </w:p>
        </w:tc>
      </w:tr>
      <w:tr>
        <w:trPr>
          <w:trHeight w:val="180"/>
        </w:trPr>
        <w:tc>
          <w:tcPr>
            <w:tcW w:w="6320" w:type="dxa"/>
            <w:vAlign w:val="bottom"/>
          </w:tcPr>
          <w:p>
            <w:pPr>
              <w:spacing w:after="0"/>
              <w:rPr>
                <w:sz w:val="15"/>
                <w:szCs w:val="15"/>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President, Chief Executive Officer and Chairman of the Board</w:t>
            </w:r>
          </w:p>
        </w:tc>
      </w:tr>
      <w:tr>
        <w:trPr>
          <w:trHeight w:val="186"/>
        </w:trPr>
        <w:tc>
          <w:tcPr>
            <w:tcW w:w="6320" w:type="dxa"/>
            <w:vAlign w:val="bottom"/>
          </w:tcPr>
          <w:p>
            <w:pPr>
              <w:spacing w:after="0"/>
              <w:rPr>
                <w:sz w:val="16"/>
                <w:szCs w:val="16"/>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ectPr>
          <w:pgSz w:w="11900" w:h="16838" w:orient="portrait"/>
          <w:cols w:equalWidth="0" w:num="1">
            <w:col w:w="11280"/>
          </w:cols>
          <w:pgMar w:left="300" w:top="632" w:right="31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Blaine Davis, certify that:</w:t>
      </w:r>
    </w:p>
    <w:p>
      <w:pPr>
        <w:spacing w:after="0" w:line="179" w:lineRule="exact"/>
        <w:rPr>
          <w:sz w:val="20"/>
          <w:szCs w:val="20"/>
          <w:color w:val="auto"/>
        </w:rPr>
      </w:pPr>
    </w:p>
    <w:p>
      <w:pPr>
        <w:ind w:left="500" w:hanging="240"/>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Cartesian Therapeutics, Inc.;</w:t>
      </w:r>
    </w:p>
    <w:p>
      <w:pPr>
        <w:spacing w:after="0" w:line="146" w:lineRule="exact"/>
        <w:rPr>
          <w:rFonts w:ascii="Times New Roman" w:cs="Times New Roman" w:eastAsia="Times New Roman" w:hAnsi="Times New Roman"/>
          <w:sz w:val="14"/>
          <w:szCs w:val="14"/>
          <w:color w:val="auto"/>
        </w:rPr>
      </w:pPr>
    </w:p>
    <w:p>
      <w:pPr>
        <w:ind w:left="520" w:right="740" w:hanging="260"/>
        <w:spacing w:after="0" w:line="287" w:lineRule="auto"/>
        <w:tabs>
          <w:tab w:leader="none" w:pos="513"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13"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1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Times New Roman" w:cs="Times New Roman" w:eastAsia="Times New Roman" w:hAnsi="Times New Roman"/>
          <w:sz w:val="14"/>
          <w:szCs w:val="14"/>
          <w:color w:val="auto"/>
        </w:rPr>
      </w:pPr>
    </w:p>
    <w:p>
      <w:pPr>
        <w:jc w:val="both"/>
        <w:ind w:left="1020" w:right="360" w:hanging="315"/>
        <w:spacing w:after="0" w:line="270" w:lineRule="auto"/>
        <w:tabs>
          <w:tab w:leader="none" w:pos="100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Times New Roman" w:cs="Times New Roman" w:eastAsia="Times New Roman" w:hAnsi="Times New Roman"/>
          <w:sz w:val="14"/>
          <w:szCs w:val="14"/>
          <w:color w:val="auto"/>
        </w:rPr>
      </w:pPr>
    </w:p>
    <w:p>
      <w:pPr>
        <w:jc w:val="both"/>
        <w:ind w:left="1020" w:right="580" w:hanging="315"/>
        <w:spacing w:after="0" w:line="270" w:lineRule="auto"/>
        <w:tabs>
          <w:tab w:leader="none" w:pos="1008"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Times New Roman" w:cs="Times New Roman" w:eastAsia="Times New Roman" w:hAnsi="Times New Roman"/>
          <w:sz w:val="14"/>
          <w:szCs w:val="14"/>
          <w:color w:val="auto"/>
        </w:rPr>
      </w:pPr>
    </w:p>
    <w:p>
      <w:pPr>
        <w:ind w:left="1020" w:right="180" w:hanging="315"/>
        <w:spacing w:after="0" w:line="287" w:lineRule="auto"/>
        <w:tabs>
          <w:tab w:leader="none" w:pos="100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Times New Roman" w:cs="Times New Roman" w:eastAsia="Times New Roman" w:hAnsi="Times New Roman"/>
          <w:sz w:val="14"/>
          <w:szCs w:val="14"/>
          <w:color w:val="auto"/>
        </w:rPr>
      </w:pPr>
    </w:p>
    <w:p>
      <w:pPr>
        <w:ind w:left="1020" w:right="160" w:hanging="315"/>
        <w:spacing w:after="0" w:line="287" w:lineRule="auto"/>
        <w:tabs>
          <w:tab w:leader="none" w:pos="1008"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Times New Roman" w:cs="Times New Roman" w:eastAsia="Times New Roman" w:hAnsi="Times New Roman"/>
          <w:sz w:val="14"/>
          <w:szCs w:val="14"/>
          <w:color w:val="auto"/>
        </w:rPr>
      </w:pPr>
    </w:p>
    <w:p>
      <w:pPr>
        <w:ind w:left="520" w:right="540" w:hanging="260"/>
        <w:spacing w:after="0" w:line="287" w:lineRule="auto"/>
        <w:tabs>
          <w:tab w:leader="none" w:pos="51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4"/>
          <w:szCs w:val="14"/>
          <w:color w:val="auto"/>
        </w:rPr>
      </w:pPr>
    </w:p>
    <w:p>
      <w:pPr>
        <w:ind w:left="1020" w:right="540" w:hanging="315"/>
        <w:spacing w:after="0" w:line="287" w:lineRule="auto"/>
        <w:tabs>
          <w:tab w:leader="none" w:pos="992"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Times New Roman" w:cs="Times New Roman" w:eastAsia="Times New Roman" w:hAnsi="Times New Roman"/>
          <w:sz w:val="14"/>
          <w:szCs w:val="14"/>
          <w:color w:val="auto"/>
        </w:rPr>
      </w:pPr>
    </w:p>
    <w:p>
      <w:pPr>
        <w:ind w:left="1000" w:hanging="295"/>
        <w:spacing w:after="0"/>
        <w:tabs>
          <w:tab w:leader="none" w:pos="100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2C2C2C"/>
              </w:rPr>
              <w:t>April 30, 2026</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Blaine Davis</w:t>
            </w:r>
          </w:p>
        </w:tc>
      </w:tr>
      <w:tr>
        <w:trPr>
          <w:trHeight w:val="165"/>
        </w:trPr>
        <w:tc>
          <w:tcPr>
            <w:tcW w:w="5940" w:type="dxa"/>
            <w:vAlign w:val="bottom"/>
          </w:tcPr>
          <w:p>
            <w:pPr>
              <w:spacing w:after="0"/>
              <w:rPr>
                <w:sz w:val="14"/>
                <w:szCs w:val="1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Blaine Davis</w:t>
            </w:r>
          </w:p>
        </w:tc>
      </w:tr>
      <w:tr>
        <w:trPr>
          <w:trHeight w:val="180"/>
        </w:trPr>
        <w:tc>
          <w:tcPr>
            <w:tcW w:w="594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r>
      <w:tr>
        <w:trPr>
          <w:trHeight w:val="186"/>
        </w:trPr>
        <w:tc>
          <w:tcPr>
            <w:tcW w:w="594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r>
    </w:tbl>
    <w:p>
      <w:pPr>
        <w:sectPr>
          <w:pgSz w:w="11900" w:h="16838" w:orient="portrait"/>
          <w:cols w:equalWidth="0" w:num="1">
            <w:col w:w="11280"/>
          </w:cols>
          <w:pgMar w:left="300" w:top="632" w:right="3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270" w:lineRule="exact"/>
        <w:rPr>
          <w:sz w:val="20"/>
          <w:szCs w:val="20"/>
          <w:color w:val="auto"/>
        </w:rPr>
      </w:pPr>
    </w:p>
    <w:p>
      <w:pPr>
        <w:ind w:right="640" w:firstLine="255"/>
        <w:spacing w:after="0" w:line="287" w:lineRule="auto"/>
        <w:rPr>
          <w:sz w:val="20"/>
          <w:szCs w:val="20"/>
          <w:color w:val="auto"/>
        </w:rPr>
      </w:pPr>
      <w:r>
        <w:rPr>
          <w:rFonts w:ascii="Times New Roman" w:cs="Times New Roman" w:eastAsia="Times New Roman" w:hAnsi="Times New Roman"/>
          <w:sz w:val="14"/>
          <w:szCs w:val="14"/>
          <w:color w:val="auto"/>
        </w:rPr>
        <w:t>In connection with the Quarterly Report on Form 10-Q of Cartesian Therapeutics, Inc. (the “Company”) for the period ended March 31, 2026 as filed with the Securities and Exchange Commission on the date hereof (the “Report”), each of the undersigned officers of the Company hereby certifies, pursuant to 18 U.S.C. Section 1350, that to his knowledge:</w:t>
      </w:r>
    </w:p>
    <w:p>
      <w:pPr>
        <w:spacing w:after="0" w:line="39" w:lineRule="exact"/>
        <w:rPr>
          <w:sz w:val="20"/>
          <w:szCs w:val="20"/>
          <w:color w:val="auto"/>
        </w:rPr>
      </w:pPr>
    </w:p>
    <w:p>
      <w:pPr>
        <w:ind w:left="520" w:right="300" w:hanging="260"/>
        <w:spacing w:after="0" w:line="287" w:lineRule="auto"/>
        <w:tabs>
          <w:tab w:leader="none" w:pos="51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Quarterly Report on Form 10-Q of the Company for the period ended March 31, 2026 (the “Report”) fully complies with the requirements of Section 13(a) or 15(d) of the Securities Exchange Act of 1934, as amended; and</w:t>
      </w:r>
    </w:p>
    <w:p>
      <w:pPr>
        <w:spacing w:after="0" w:line="39"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2C2C2C"/>
              </w:rPr>
              <w:t>April 30, 2026</w:t>
            </w:r>
          </w:p>
        </w:tc>
        <w:tc>
          <w:tcPr>
            <w:tcW w:w="2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/s/ Carsten Brunn, Ph.D.</w:t>
            </w:r>
          </w:p>
        </w:tc>
      </w:tr>
      <w:tr>
        <w:trPr>
          <w:trHeight w:val="165"/>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Carsten Brunn, Ph.D.</w:t>
            </w:r>
          </w:p>
        </w:tc>
      </w:tr>
      <w:tr>
        <w:trPr>
          <w:trHeight w:val="180"/>
        </w:trPr>
        <w:tc>
          <w:tcPr>
            <w:tcW w:w="6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President, Chief Executive Officer and Chairman of the Board</w:t>
            </w:r>
          </w:p>
        </w:tc>
      </w:tr>
      <w:tr>
        <w:trPr>
          <w:trHeight w:val="186"/>
        </w:trPr>
        <w:tc>
          <w:tcPr>
            <w:tcW w:w="6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r>
        <w:trPr>
          <w:trHeight w:val="711"/>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2C2C2C"/>
              </w:rPr>
              <w:t>April 30, 2026</w:t>
            </w:r>
          </w:p>
        </w:tc>
        <w:tc>
          <w:tcPr>
            <w:tcW w:w="20" w:type="dxa"/>
            <w:vAlign w:val="bottom"/>
          </w:tcPr>
          <w:p>
            <w:pPr>
              <w:spacing w:after="0"/>
              <w:rPr>
                <w:sz w:val="24"/>
                <w:szCs w:val="24"/>
                <w:color w:val="auto"/>
              </w:rPr>
            </w:pPr>
          </w:p>
        </w:tc>
        <w:tc>
          <w:tcPr>
            <w:tcW w:w="49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/s/ Blaine Davis</w:t>
            </w:r>
          </w:p>
        </w:tc>
      </w:tr>
      <w:tr>
        <w:trPr>
          <w:trHeight w:val="165"/>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Blaine Davis</w:t>
            </w:r>
          </w:p>
        </w:tc>
        <w:tc>
          <w:tcPr>
            <w:tcW w:w="20" w:type="dxa"/>
            <w:vAlign w:val="bottom"/>
          </w:tcPr>
          <w:p>
            <w:pPr>
              <w:spacing w:after="0"/>
              <w:rPr>
                <w:sz w:val="14"/>
                <w:szCs w:val="14"/>
                <w:color w:val="auto"/>
              </w:rPr>
            </w:pPr>
          </w:p>
        </w:tc>
      </w:tr>
      <w:tr>
        <w:trPr>
          <w:trHeight w:val="180"/>
        </w:trPr>
        <w:tc>
          <w:tcPr>
            <w:tcW w:w="6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r>
      <w:tr>
        <w:trPr>
          <w:trHeight w:val="186"/>
        </w:trPr>
        <w:tc>
          <w:tcPr>
            <w:tcW w:w="6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r>
    </w:tbl>
    <w:p>
      <w:pPr>
        <w:spacing w:after="0" w:line="1" w:lineRule="exact"/>
        <w:rPr>
          <w:sz w:val="20"/>
          <w:szCs w:val="20"/>
          <w:color w:val="auto"/>
        </w:rPr>
      </w:pPr>
    </w:p>
    <w:sectPr>
      <w:pgSz w:w="11900" w:h="16838" w:orient="portrait"/>
      <w:cols w:equalWidth="0" w:num="1">
        <w:col w:w="11280"/>
      </w:cols>
      <w:pgMar w:left="300" w:top="63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2"/>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2"/>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52" Type="http://schemas.openxmlformats.org/officeDocument/2006/relationships/hyperlink" Target="https://www.sec.gov/Archives/edgar/data/1453687/000119312523275461/d869185dex21.htm" TargetMode="External"/><Relationship Id="rId53" Type="http://schemas.openxmlformats.org/officeDocument/2006/relationships/hyperlink" Target="https://www.sec.gov/Archives/edgar/data/1453687/000110465916129891/a16-14002_1ex3d1.htm" TargetMode="External"/><Relationship Id="rId54" Type="http://schemas.openxmlformats.org/officeDocument/2006/relationships/hyperlink" Target="https://www.sec.gov/Archives/edgar/data/0001453687/000145368722000109/exhibit31_charteramendment.htm" TargetMode="External"/><Relationship Id="rId55" Type="http://schemas.openxmlformats.org/officeDocument/2006/relationships/hyperlink" Target="https://www.sec.gov/Archives/edgar/data/1453687/000119312523275461/d869185dex33.htm" TargetMode="External"/><Relationship Id="rId56" Type="http://schemas.openxmlformats.org/officeDocument/2006/relationships/hyperlink" Target="https://www.sec.gov/Archives/edgar/data/1453687/000145368724000048/exhibit32certificateofamen.htm" TargetMode="External"/><Relationship Id="rId57" Type="http://schemas.openxmlformats.org/officeDocument/2006/relationships/hyperlink" Target="https://www.sec.gov/Archives/edgar/data/1453687/000114036125039793/ef20057980_ex3-2.htm" TargetMode="External"/><Relationship Id="rId58" Type="http://schemas.openxmlformats.org/officeDocument/2006/relationships/hyperlink" Target="https://www.sec.gov/Archives/edgar/data/1453687/000119312523275461/d869185dex34.htm" TargetMode="External"/><Relationship Id="rId59" Type="http://schemas.openxmlformats.org/officeDocument/2006/relationships/hyperlink" Target="https://www.sec.gov/Archives/edgar/data/1453687/000145368724000048/exhibit31certificateofamen.htm" TargetMode="External"/><Relationship Id="rId60" Type="http://schemas.openxmlformats.org/officeDocument/2006/relationships/hyperlink" Target="https://www.sec.gov/Archives/edgar/data/1453687/000114036124032080/ef20031962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2026-04-30T06:10:22Z</dcterms:created>
  <dcterms:modified xsi:type="dcterms:W3CDTF">2026-04-30T06:10:22Z</dcterms:modified>
</cp:coreProperties>
</file>