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757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5749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BARABE TIMOTHY 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C/O CARTESIAN THERAPEUTICS,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65 GROVE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10,328</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07/28/2026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10,328</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17.47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800" w:type="dxa"/>
            <w:vAlign w:val="bottom"/>
            <w:vMerge w:val="restart"/>
          </w:tcPr>
          <w:p>
            <w:pPr>
              <w:jc w:val="center"/>
              <w:ind w:left="279"/>
              <w:spacing w:after="0"/>
              <w:rPr>
                <w:sz w:val="20"/>
                <w:szCs w:val="20"/>
                <w:color w:val="auto"/>
              </w:rPr>
            </w:pPr>
            <w:r>
              <w:rPr>
                <w:rFonts w:ascii="Arial" w:cs="Arial" w:eastAsia="Arial" w:hAnsi="Arial"/>
                <w:sz w:val="13"/>
                <w:szCs w:val="13"/>
                <w:color w:val="0000FF"/>
                <w:w w:val="92"/>
              </w:rPr>
              <w:t>6,410</w:t>
            </w: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06/15/2027</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7"/>
                <w:szCs w:val="17"/>
                <w:color w:val="0000FF"/>
                <w:w w:val="89"/>
              </w:rPr>
              <w:t>6,410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12.75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10,000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06/14/2028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10,000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20,000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06/18/2030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20,000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4.01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03/29/2031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3.31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01/02/2032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1.13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ind w:left="259"/>
              <w:spacing w:after="0"/>
              <w:rPr>
                <w:sz w:val="20"/>
                <w:szCs w:val="20"/>
                <w:color w:val="auto"/>
              </w:rPr>
            </w:pPr>
            <w:r>
              <w:rPr>
                <w:rFonts w:ascii="Arial" w:cs="Arial" w:eastAsia="Arial" w:hAnsi="Arial"/>
                <w:sz w:val="13"/>
                <w:szCs w:val="13"/>
                <w:color w:val="0000FF"/>
                <w:w w:val="90"/>
              </w:rPr>
              <w:t>87,500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01/01/2033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87,500</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0.93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thirty-six (36) substantially equal monthly installments over three years following the date of grant on July 29, 2016, was canceled in the merger (the "Merger") between Selecta Biosciences, Inc. and Cartesian Therapeutics, Inc.</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14, 2018,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13, 2019,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17, 2021,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March 30, 2022,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3, 2023, was canceled in the Merger.</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2, 2024, was canceled in the Merger in exchange for a cash payment of $81,375, representing the difference between the exercise price of the option and $2.06, the Cash-out Amount as applied in the Merger.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08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 Barabe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25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740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2023-11-15T16:20:58Z</dcterms:created>
  <dcterms:modified xsi:type="dcterms:W3CDTF">2023-11-15T16:20:58Z</dcterms:modified>
</cp:coreProperties>
</file>