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ASHINGTON</w:t>
      </w:r>
      <w:r>
        <w:rPr>
          <w:rFonts w:ascii="Arial" w:cs="Arial" w:eastAsia="Arial" w:hAnsi="Arial"/>
          <w:sz w:val="22"/>
          <w:szCs w:val="22"/>
          <w:b w:val="1"/>
          <w:bCs w:val="1"/>
          <w:color w:val="auto"/>
        </w:rPr>
        <w:t>,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1)</w:t>
      </w:r>
    </w:p>
    <w:p>
      <w:pPr>
        <w:spacing w:after="0" w:line="21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SELECTA BIOSCIENCES, INC.</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960" w:hanging="655"/>
        <w:spacing w:after="0"/>
        <w:tabs>
          <w:tab w:leader="none" w:pos="1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960" w:hanging="655"/>
        <w:spacing w:after="0"/>
        <w:tabs>
          <w:tab w:leader="none" w:pos="1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300"/>
        <w:spacing w:after="0"/>
        <w:rPr>
          <w:rFonts w:ascii="MS PGothic" w:cs="MS PGothic" w:eastAsia="MS PGothic" w:hAnsi="MS PGothic"/>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816212104</w:t>
      </w:r>
    </w:p>
    <w:p>
      <w:pPr>
        <w:spacing w:after="0" w:line="243" w:lineRule="exact"/>
        <w:rPr>
          <w:sz w:val="20"/>
          <w:szCs w:val="20"/>
          <w:color w:val="auto"/>
        </w:rPr>
      </w:pPr>
    </w:p>
    <w:p>
      <w:pPr>
        <w:ind w:left="1020" w:right="7780" w:hanging="915"/>
        <w:spacing w:after="0" w:line="342" w:lineRule="auto"/>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Persons Nanodimension Limited Partnership</w:t>
      </w:r>
    </w:p>
    <w:p>
      <w:pPr>
        <w:spacing w:after="0" w:line="15" w:lineRule="exact"/>
        <w:rPr>
          <w:rFonts w:ascii="Arial" w:cs="Arial" w:eastAsia="Arial" w:hAnsi="Arial"/>
          <w:sz w:val="16"/>
          <w:szCs w:val="16"/>
          <w:color w:val="auto"/>
        </w:rPr>
      </w:pPr>
    </w:p>
    <w:p>
      <w:pPr>
        <w:ind w:left="1020" w:hanging="9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260" w:hanging="237"/>
        <w:spacing w:after="0" w:line="207" w:lineRule="exact"/>
        <w:tabs>
          <w:tab w:leader="none" w:pos="12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280" w:hanging="257"/>
        <w:spacing w:after="0" w:line="207" w:lineRule="exact"/>
        <w:tabs>
          <w:tab w:leader="none" w:pos="12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1020" w:hanging="9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2" w:lineRule="exact"/>
        <w:rPr>
          <w:rFonts w:ascii="Arial" w:cs="Arial" w:eastAsia="Arial" w:hAnsi="Arial"/>
          <w:sz w:val="18"/>
          <w:szCs w:val="18"/>
          <w:color w:val="auto"/>
        </w:rPr>
      </w:pPr>
    </w:p>
    <w:p>
      <w:pPr>
        <w:ind w:left="1020" w:right="7780" w:hanging="915"/>
        <w:spacing w:after="0" w:line="384"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ind w:left="3200" w:hanging="583"/>
        <w:spacing w:after="0"/>
        <w:tabs>
          <w:tab w:leader="none" w:pos="320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-808355</wp:posOffset>
            </wp:positionV>
            <wp:extent cx="7246620" cy="266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-1571625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-1228725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665,164</w:t>
            </w:r>
          </w:p>
        </w:tc>
        <w:tc>
          <w:tcPr>
            <w:tcW w:w="0" w:type="dxa"/>
            <w:vAlign w:val="bottom"/>
          </w:tcPr>
          <w:p>
            <w:pPr>
              <w:spacing w:after="0"/>
              <w:rPr>
                <w:sz w:val="1"/>
                <w:szCs w:val="1"/>
                <w:color w:val="auto"/>
              </w:rPr>
            </w:pPr>
          </w:p>
        </w:tc>
      </w:tr>
      <w:tr>
        <w:trPr>
          <w:trHeight w:val="87"/>
        </w:trPr>
        <w:tc>
          <w:tcPr>
            <w:tcW w:w="1720" w:type="dxa"/>
            <w:vAlign w:val="bottom"/>
            <w:vMerge w:val="continue"/>
          </w:tcPr>
          <w:p>
            <w:pPr>
              <w:spacing w:after="0"/>
              <w:rPr>
                <w:sz w:val="7"/>
                <w:szCs w:val="7"/>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4"/>
              </w:rPr>
              <w:t>Shares</w:t>
            </w:r>
          </w:p>
        </w:tc>
        <w:tc>
          <w:tcPr>
            <w:tcW w:w="460" w:type="dxa"/>
            <w:vAlign w:val="bottom"/>
            <w:vMerge w:val="continue"/>
          </w:tcPr>
          <w:p>
            <w:pPr>
              <w:spacing w:after="0"/>
              <w:rPr>
                <w:sz w:val="11"/>
                <w:szCs w:val="11"/>
                <w:color w:val="auto"/>
              </w:rPr>
            </w:pPr>
          </w:p>
        </w:tc>
        <w:tc>
          <w:tcPr>
            <w:tcW w:w="8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7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7"/>
              </w:rPr>
              <w:t>Each</w:t>
            </w:r>
          </w:p>
        </w:tc>
        <w:tc>
          <w:tcPr>
            <w:tcW w:w="460" w:type="dxa"/>
            <w:vAlign w:val="bottom"/>
            <w:vMerge w:val="continue"/>
          </w:tcPr>
          <w:p>
            <w:pPr>
              <w:spacing w:after="0"/>
              <w:rPr>
                <w:sz w:val="13"/>
                <w:szCs w:val="13"/>
                <w:color w:val="auto"/>
              </w:rPr>
            </w:pPr>
          </w:p>
        </w:tc>
        <w:tc>
          <w:tcPr>
            <w:tcW w:w="8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7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665,164</w:t>
            </w:r>
          </w:p>
        </w:tc>
        <w:tc>
          <w:tcPr>
            <w:tcW w:w="0" w:type="dxa"/>
            <w:vAlign w:val="bottom"/>
          </w:tcPr>
          <w:p>
            <w:pPr>
              <w:spacing w:after="0"/>
              <w:rPr>
                <w:sz w:val="1"/>
                <w:szCs w:val="1"/>
                <w:color w:val="auto"/>
              </w:rPr>
            </w:pPr>
          </w:p>
        </w:tc>
      </w:tr>
      <w:tr>
        <w:trPr>
          <w:trHeight w:val="136"/>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1"/>
              </w:rPr>
              <w:t>Person With:</w:t>
            </w:r>
          </w:p>
        </w:tc>
        <w:tc>
          <w:tcPr>
            <w:tcW w:w="460" w:type="dxa"/>
            <w:vAlign w:val="bottom"/>
            <w:tcBorders>
              <w:bottom w:val="single" w:sz="8" w:color="auto"/>
            </w:tcBorders>
          </w:tcPr>
          <w:p>
            <w:pPr>
              <w:spacing w:after="0"/>
              <w:rPr>
                <w:sz w:val="11"/>
                <w:szCs w:val="11"/>
                <w:color w:val="auto"/>
              </w:rPr>
            </w:pPr>
          </w:p>
        </w:tc>
        <w:tc>
          <w:tcPr>
            <w:tcW w:w="84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72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665,164</w:t>
      </w:r>
    </w:p>
    <w:p>
      <w:pPr>
        <w:spacing w:after="0" w:line="23"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3.0%</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10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21780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27" w:lineRule="exact"/>
        <w:rPr>
          <w:sz w:val="20"/>
          <w:szCs w:val="20"/>
          <w:color w:val="auto"/>
        </w:rPr>
      </w:pPr>
    </w:p>
    <w:p>
      <w:pPr>
        <w:ind w:right="20" w:firstLine="8"/>
        <w:spacing w:after="0" w:line="207" w:lineRule="auto"/>
        <w:tabs>
          <w:tab w:leader="none" w:pos="113"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This percentage is calculated based upon 22,336,576 shares of the Issuer’s common stock outstanding as of November 3, 2017, as reported by the Issuer in its Form 10-Q for the quarter ended September 30, 2017, filed with the Securities and Exchange Commission on November 7, 2017.</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05366U100</w:t>
      </w:r>
    </w:p>
    <w:p>
      <w:pPr>
        <w:spacing w:after="0" w:line="243" w:lineRule="exact"/>
        <w:rPr>
          <w:sz w:val="20"/>
          <w:szCs w:val="20"/>
          <w:color w:val="auto"/>
        </w:rPr>
      </w:pPr>
    </w:p>
    <w:p>
      <w:pPr>
        <w:ind w:left="1020" w:right="8400" w:hanging="915"/>
        <w:spacing w:after="0" w:line="342"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Reporting Persons Nanodimension II, L.P.</w:t>
      </w:r>
    </w:p>
    <w:p>
      <w:pPr>
        <w:spacing w:after="0" w:line="15" w:lineRule="exact"/>
        <w:rPr>
          <w:rFonts w:ascii="Arial" w:cs="Arial" w:eastAsia="Arial" w:hAnsi="Arial"/>
          <w:sz w:val="16"/>
          <w:szCs w:val="16"/>
          <w:color w:val="auto"/>
        </w:rPr>
      </w:pPr>
    </w:p>
    <w:p>
      <w:pPr>
        <w:ind w:left="1020" w:hanging="9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260" w:hanging="237"/>
        <w:spacing w:after="0" w:line="207" w:lineRule="exact"/>
        <w:tabs>
          <w:tab w:leader="none" w:pos="12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280" w:hanging="257"/>
        <w:spacing w:after="0" w:line="207" w:lineRule="exact"/>
        <w:tabs>
          <w:tab w:leader="none" w:pos="12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1020" w:hanging="9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2" w:lineRule="exact"/>
        <w:rPr>
          <w:rFonts w:ascii="Arial" w:cs="Arial" w:eastAsia="Arial" w:hAnsi="Arial"/>
          <w:sz w:val="18"/>
          <w:szCs w:val="18"/>
          <w:color w:val="auto"/>
        </w:rPr>
      </w:pPr>
    </w:p>
    <w:p>
      <w:pPr>
        <w:ind w:left="1020" w:right="7780" w:hanging="915"/>
        <w:spacing w:after="0" w:line="38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ind w:left="3200" w:hanging="583"/>
        <w:spacing w:after="0"/>
        <w:tabs>
          <w:tab w:leader="none" w:pos="320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-808355</wp:posOffset>
            </wp:positionV>
            <wp:extent cx="7246620" cy="266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-1571625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-1228725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87"/>
        </w:trPr>
        <w:tc>
          <w:tcPr>
            <w:tcW w:w="1720" w:type="dxa"/>
            <w:vAlign w:val="bottom"/>
            <w:vMerge w:val="continue"/>
          </w:tcPr>
          <w:p>
            <w:pPr>
              <w:spacing w:after="0"/>
              <w:rPr>
                <w:sz w:val="7"/>
                <w:szCs w:val="7"/>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4"/>
              </w:rPr>
              <w:t>Shares</w:t>
            </w:r>
          </w:p>
        </w:tc>
        <w:tc>
          <w:tcPr>
            <w:tcW w:w="460" w:type="dxa"/>
            <w:vAlign w:val="bottom"/>
            <w:vMerge w:val="continue"/>
          </w:tcPr>
          <w:p>
            <w:pPr>
              <w:spacing w:after="0"/>
              <w:rPr>
                <w:sz w:val="11"/>
                <w:szCs w:val="11"/>
                <w:color w:val="auto"/>
              </w:rPr>
            </w:pPr>
          </w:p>
        </w:tc>
        <w:tc>
          <w:tcPr>
            <w:tcW w:w="8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7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7"/>
              </w:rPr>
              <w:t>Each</w:t>
            </w:r>
          </w:p>
        </w:tc>
        <w:tc>
          <w:tcPr>
            <w:tcW w:w="460" w:type="dxa"/>
            <w:vAlign w:val="bottom"/>
            <w:vMerge w:val="continue"/>
          </w:tcPr>
          <w:p>
            <w:pPr>
              <w:spacing w:after="0"/>
              <w:rPr>
                <w:sz w:val="13"/>
                <w:szCs w:val="13"/>
                <w:color w:val="auto"/>
              </w:rPr>
            </w:pPr>
          </w:p>
        </w:tc>
        <w:tc>
          <w:tcPr>
            <w:tcW w:w="8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7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136"/>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1"/>
              </w:rPr>
              <w:t>Person With:</w:t>
            </w:r>
          </w:p>
        </w:tc>
        <w:tc>
          <w:tcPr>
            <w:tcW w:w="460" w:type="dxa"/>
            <w:vAlign w:val="bottom"/>
            <w:tcBorders>
              <w:bottom w:val="single" w:sz="8" w:color="auto"/>
            </w:tcBorders>
          </w:tcPr>
          <w:p>
            <w:pPr>
              <w:spacing w:after="0"/>
              <w:rPr>
                <w:sz w:val="11"/>
                <w:szCs w:val="11"/>
                <w:color w:val="auto"/>
              </w:rPr>
            </w:pPr>
          </w:p>
        </w:tc>
        <w:tc>
          <w:tcPr>
            <w:tcW w:w="84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72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350,000</w:t>
      </w:r>
    </w:p>
    <w:p>
      <w:pPr>
        <w:spacing w:after="0" w:line="23"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1.6%</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10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21780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27" w:lineRule="exact"/>
        <w:rPr>
          <w:sz w:val="20"/>
          <w:szCs w:val="20"/>
          <w:color w:val="auto"/>
        </w:rPr>
      </w:pPr>
    </w:p>
    <w:p>
      <w:pPr>
        <w:ind w:right="20" w:firstLine="8"/>
        <w:spacing w:after="0" w:line="207" w:lineRule="auto"/>
        <w:tabs>
          <w:tab w:leader="none" w:pos="113"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This percentage is calculated based upon 22,336,576 shares of the Issuer’s common stock outstanding as of November 3, 2017, as reported by the Issuer in its Form 10-Q for the quarter ended September 30, 2017, filed with the Securities and Exchange Commission on November 7, 2017.</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05366U100</w:t>
      </w:r>
    </w:p>
    <w:p>
      <w:pPr>
        <w:spacing w:after="0" w:line="243" w:lineRule="exact"/>
        <w:rPr>
          <w:sz w:val="20"/>
          <w:szCs w:val="20"/>
          <w:color w:val="auto"/>
        </w:rPr>
      </w:pPr>
    </w:p>
    <w:p>
      <w:pPr>
        <w:ind w:left="1020" w:right="7660" w:hanging="915"/>
        <w:spacing w:after="0" w:line="342"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Reporting Persons Nanodimension Management Limited</w:t>
      </w:r>
    </w:p>
    <w:p>
      <w:pPr>
        <w:spacing w:after="0" w:line="15" w:lineRule="exact"/>
        <w:rPr>
          <w:rFonts w:ascii="Arial" w:cs="Arial" w:eastAsia="Arial" w:hAnsi="Arial"/>
          <w:sz w:val="16"/>
          <w:szCs w:val="16"/>
          <w:color w:val="auto"/>
        </w:rPr>
      </w:pPr>
    </w:p>
    <w:p>
      <w:pPr>
        <w:ind w:left="1020" w:hanging="9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260" w:hanging="237"/>
        <w:spacing w:after="0" w:line="207" w:lineRule="exact"/>
        <w:tabs>
          <w:tab w:leader="none" w:pos="12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280" w:hanging="257"/>
        <w:spacing w:after="0" w:line="207" w:lineRule="exact"/>
        <w:tabs>
          <w:tab w:leader="none" w:pos="128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1020" w:hanging="9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2" w:lineRule="exact"/>
        <w:rPr>
          <w:rFonts w:ascii="Arial" w:cs="Arial" w:eastAsia="Arial" w:hAnsi="Arial"/>
          <w:sz w:val="18"/>
          <w:szCs w:val="18"/>
          <w:color w:val="auto"/>
        </w:rPr>
      </w:pPr>
    </w:p>
    <w:p>
      <w:pPr>
        <w:ind w:left="1020" w:right="7780" w:hanging="915"/>
        <w:spacing w:after="0" w:line="38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ind w:left="3200" w:hanging="583"/>
        <w:spacing w:after="0"/>
        <w:tabs>
          <w:tab w:leader="none" w:pos="320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-808355</wp:posOffset>
            </wp:positionV>
            <wp:extent cx="7246620" cy="266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-1571625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-1228725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800" w:type="dxa"/>
        <w:tblCellMar>
          <w:top w:w="0" w:type="dxa"/>
          <w:left w:w="0" w:type="dxa"/>
          <w:bottom w:w="0" w:type="dxa"/>
          <w:right w:w="0" w:type="dxa"/>
        </w:tblCellMar>
      </w:tblPr>
      <w:tr>
        <w:trPr>
          <w:trHeight w:val="345"/>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700,164</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87"/>
        </w:trPr>
        <w:tc>
          <w:tcPr>
            <w:tcW w:w="1720" w:type="dxa"/>
            <w:vAlign w:val="bottom"/>
            <w:vMerge w:val="continue"/>
          </w:tcPr>
          <w:p>
            <w:pPr>
              <w:spacing w:after="0"/>
              <w:rPr>
                <w:sz w:val="7"/>
                <w:szCs w:val="7"/>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4"/>
              </w:rPr>
              <w:t>Shares</w:t>
            </w:r>
          </w:p>
        </w:tc>
        <w:tc>
          <w:tcPr>
            <w:tcW w:w="460" w:type="dxa"/>
            <w:vAlign w:val="bottom"/>
            <w:vMerge w:val="continue"/>
          </w:tcPr>
          <w:p>
            <w:pPr>
              <w:spacing w:after="0"/>
              <w:rPr>
                <w:sz w:val="11"/>
                <w:szCs w:val="11"/>
                <w:color w:val="auto"/>
              </w:rPr>
            </w:pPr>
          </w:p>
        </w:tc>
        <w:tc>
          <w:tcPr>
            <w:tcW w:w="8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7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7"/>
              </w:rPr>
              <w:t>Each</w:t>
            </w:r>
          </w:p>
        </w:tc>
        <w:tc>
          <w:tcPr>
            <w:tcW w:w="460" w:type="dxa"/>
            <w:vAlign w:val="bottom"/>
            <w:vMerge w:val="continue"/>
          </w:tcPr>
          <w:p>
            <w:pPr>
              <w:spacing w:after="0"/>
              <w:rPr>
                <w:sz w:val="13"/>
                <w:szCs w:val="13"/>
                <w:color w:val="auto"/>
              </w:rPr>
            </w:pPr>
          </w:p>
        </w:tc>
        <w:tc>
          <w:tcPr>
            <w:tcW w:w="8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7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700,164</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176"/>
        </w:trPr>
        <w:tc>
          <w:tcPr>
            <w:tcW w:w="1720" w:type="dxa"/>
            <w:vAlign w:val="bottom"/>
          </w:tcPr>
          <w:p>
            <w:pPr>
              <w:jc w:val="center"/>
              <w:ind w:right="690"/>
              <w:spacing w:after="0" w:line="157" w:lineRule="exact"/>
              <w:rPr>
                <w:sz w:val="20"/>
                <w:szCs w:val="20"/>
                <w:color w:val="auto"/>
              </w:rPr>
            </w:pPr>
            <w:r>
              <w:rPr>
                <w:rFonts w:ascii="Arial" w:cs="Arial" w:eastAsia="Arial" w:hAnsi="Arial"/>
                <w:sz w:val="18"/>
                <w:szCs w:val="18"/>
                <w:color w:val="auto"/>
                <w:w w:val="91"/>
              </w:rPr>
              <w:t>Person With:</w:t>
            </w:r>
          </w:p>
        </w:tc>
        <w:tc>
          <w:tcPr>
            <w:tcW w:w="460" w:type="dxa"/>
            <w:vAlign w:val="bottom"/>
            <w:tcBorders>
              <w:bottom w:val="single" w:sz="8" w:color="auto"/>
            </w:tcBorders>
          </w:tcPr>
          <w:p>
            <w:pPr>
              <w:spacing w:after="0"/>
              <w:rPr>
                <w:sz w:val="15"/>
                <w:szCs w:val="15"/>
                <w:color w:val="auto"/>
              </w:rPr>
            </w:pPr>
          </w:p>
        </w:tc>
        <w:tc>
          <w:tcPr>
            <w:tcW w:w="8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3200" w:right="6360" w:hanging="583"/>
        <w:spacing w:after="0" w:line="375" w:lineRule="auto"/>
        <w:tabs>
          <w:tab w:leader="none" w:pos="32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1020" w:right="5600" w:hanging="915"/>
        <w:spacing w:after="0" w:line="31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700,164</w:t>
      </w:r>
      <w:r>
        <w:rPr>
          <w:rFonts w:ascii="Arial" w:cs="Arial" w:eastAsia="Arial" w:hAnsi="Arial"/>
          <w:sz w:val="30"/>
          <w:szCs w:val="30"/>
          <w:color w:val="auto"/>
          <w:vertAlign w:val="superscript"/>
        </w:rPr>
        <w:t>1</w:t>
      </w:r>
    </w:p>
    <w:p>
      <w:pPr>
        <w:spacing w:after="0" w:line="2" w:lineRule="exact"/>
        <w:rPr>
          <w:rFonts w:ascii="Arial" w:cs="Arial" w:eastAsia="Arial" w:hAnsi="Arial"/>
          <w:sz w:val="18"/>
          <w:szCs w:val="18"/>
          <w:color w:val="auto"/>
        </w:rPr>
      </w:pPr>
    </w:p>
    <w:p>
      <w:pPr>
        <w:ind w:left="1020" w:hanging="9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22" w:lineRule="exact"/>
        <w:rPr>
          <w:rFonts w:ascii="Arial" w:cs="Arial" w:eastAsia="Arial" w:hAnsi="Arial"/>
          <w:sz w:val="18"/>
          <w:szCs w:val="18"/>
          <w:color w:val="auto"/>
        </w:rPr>
      </w:pPr>
    </w:p>
    <w:p>
      <w:pPr>
        <w:ind w:left="1020" w:right="6600" w:hanging="915"/>
        <w:spacing w:after="0" w:line="312"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3.1%</w:t>
      </w:r>
      <w:r>
        <w:rPr>
          <w:rFonts w:ascii="Arial" w:cs="Arial" w:eastAsia="Arial" w:hAnsi="Arial"/>
          <w:sz w:val="30"/>
          <w:szCs w:val="30"/>
          <w:color w:val="auto"/>
          <w:vertAlign w:val="superscript"/>
        </w:rPr>
        <w:t>2</w:t>
      </w:r>
    </w:p>
    <w:p>
      <w:pPr>
        <w:ind w:left="1020" w:hanging="9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-1579880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-1133475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21780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0" w:lineRule="exact"/>
        <w:rPr>
          <w:sz w:val="20"/>
          <w:szCs w:val="20"/>
          <w:color w:val="auto"/>
        </w:rPr>
      </w:pPr>
    </w:p>
    <w:p>
      <w:pPr>
        <w:ind w:firstLine="8"/>
        <w:spacing w:after="0" w:line="194" w:lineRule="auto"/>
        <w:tabs>
          <w:tab w:leader="none" w:pos="16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Consists of (i) 658,157 shares held by Nanodimension Limited Partnership; (ii) 7,007 shares underlying immediately exercisable warrants held by Nanodimension Limited Partnership; and (iii) 35,000 shares held by Nanodimension Management Limited directly.</w:t>
      </w:r>
    </w:p>
    <w:p>
      <w:pPr>
        <w:spacing w:after="0" w:line="243" w:lineRule="exact"/>
        <w:rPr>
          <w:sz w:val="20"/>
          <w:szCs w:val="20"/>
          <w:color w:val="auto"/>
        </w:rPr>
      </w:pPr>
    </w:p>
    <w:p>
      <w:pPr>
        <w:ind w:right="20" w:firstLine="8"/>
        <w:spacing w:after="0" w:line="207" w:lineRule="auto"/>
        <w:tabs>
          <w:tab w:leader="none" w:pos="113"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This percentage is calculated based upon 22,336,576 shares of the Issuer’s common stock outstanding as of November 3, 2017, as reported by the Issuer in its Form 10-Q for the quarter ended September 30, 2017, filed with the Securities and Exchange Commission on November 7, 2017.</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CUSIP No. 05366U100</w:t>
      </w:r>
    </w:p>
    <w:p>
      <w:pPr>
        <w:spacing w:after="0" w:line="243" w:lineRule="exact"/>
        <w:rPr>
          <w:sz w:val="20"/>
          <w:szCs w:val="20"/>
          <w:color w:val="auto"/>
        </w:rPr>
      </w:pPr>
    </w:p>
    <w:p>
      <w:pPr>
        <w:ind w:left="1020" w:right="7500" w:hanging="915"/>
        <w:spacing w:after="0" w:line="342"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 of Reporting Persons Nanodimension II Management Limited</w:t>
      </w:r>
    </w:p>
    <w:p>
      <w:pPr>
        <w:spacing w:after="0" w:line="15" w:lineRule="exact"/>
        <w:rPr>
          <w:rFonts w:ascii="Arial" w:cs="Arial" w:eastAsia="Arial" w:hAnsi="Arial"/>
          <w:sz w:val="16"/>
          <w:szCs w:val="16"/>
          <w:color w:val="auto"/>
        </w:rPr>
      </w:pPr>
    </w:p>
    <w:p>
      <w:pPr>
        <w:ind w:left="1020" w:hanging="91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260" w:hanging="237"/>
        <w:spacing w:after="0" w:line="207" w:lineRule="exact"/>
        <w:tabs>
          <w:tab w:leader="none" w:pos="12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280" w:hanging="257"/>
        <w:spacing w:after="0" w:line="207" w:lineRule="exact"/>
        <w:tabs>
          <w:tab w:leader="none" w:pos="128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1020" w:hanging="91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2" w:lineRule="exact"/>
        <w:rPr>
          <w:rFonts w:ascii="Arial" w:cs="Arial" w:eastAsia="Arial" w:hAnsi="Arial"/>
          <w:sz w:val="18"/>
          <w:szCs w:val="18"/>
          <w:color w:val="auto"/>
        </w:rPr>
      </w:pPr>
    </w:p>
    <w:p>
      <w:pPr>
        <w:ind w:left="1020" w:right="7780" w:hanging="915"/>
        <w:spacing w:after="0" w:line="38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ind w:left="3200" w:hanging="583"/>
        <w:spacing w:after="0"/>
        <w:tabs>
          <w:tab w:leader="none" w:pos="32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-808355</wp:posOffset>
            </wp:positionV>
            <wp:extent cx="7246620" cy="266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-1571625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-1228725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800" w:type="dxa"/>
        <w:tblCellMar>
          <w:top w:w="0" w:type="dxa"/>
          <w:left w:w="0" w:type="dxa"/>
          <w:bottom w:w="0" w:type="dxa"/>
          <w:right w:w="0" w:type="dxa"/>
        </w:tblCellMar>
      </w:tblPr>
      <w:tr>
        <w:trPr>
          <w:trHeight w:val="345"/>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385,000</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87"/>
        </w:trPr>
        <w:tc>
          <w:tcPr>
            <w:tcW w:w="1720" w:type="dxa"/>
            <w:vAlign w:val="bottom"/>
            <w:vMerge w:val="continue"/>
          </w:tcPr>
          <w:p>
            <w:pPr>
              <w:spacing w:after="0"/>
              <w:rPr>
                <w:sz w:val="7"/>
                <w:szCs w:val="7"/>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4"/>
              </w:rPr>
              <w:t>Shares</w:t>
            </w:r>
          </w:p>
        </w:tc>
        <w:tc>
          <w:tcPr>
            <w:tcW w:w="460" w:type="dxa"/>
            <w:vAlign w:val="bottom"/>
            <w:vMerge w:val="continue"/>
          </w:tcPr>
          <w:p>
            <w:pPr>
              <w:spacing w:after="0"/>
              <w:rPr>
                <w:sz w:val="11"/>
                <w:szCs w:val="11"/>
                <w:color w:val="auto"/>
              </w:rPr>
            </w:pPr>
          </w:p>
        </w:tc>
        <w:tc>
          <w:tcPr>
            <w:tcW w:w="8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7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7"/>
              </w:rPr>
              <w:t>Each</w:t>
            </w:r>
          </w:p>
        </w:tc>
        <w:tc>
          <w:tcPr>
            <w:tcW w:w="460" w:type="dxa"/>
            <w:vAlign w:val="bottom"/>
            <w:vMerge w:val="continue"/>
          </w:tcPr>
          <w:p>
            <w:pPr>
              <w:spacing w:after="0"/>
              <w:rPr>
                <w:sz w:val="13"/>
                <w:szCs w:val="13"/>
                <w:color w:val="auto"/>
              </w:rPr>
            </w:pPr>
          </w:p>
        </w:tc>
        <w:tc>
          <w:tcPr>
            <w:tcW w:w="8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7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385,000</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176"/>
        </w:trPr>
        <w:tc>
          <w:tcPr>
            <w:tcW w:w="1720" w:type="dxa"/>
            <w:vAlign w:val="bottom"/>
          </w:tcPr>
          <w:p>
            <w:pPr>
              <w:jc w:val="center"/>
              <w:ind w:right="690"/>
              <w:spacing w:after="0" w:line="157" w:lineRule="exact"/>
              <w:rPr>
                <w:sz w:val="20"/>
                <w:szCs w:val="20"/>
                <w:color w:val="auto"/>
              </w:rPr>
            </w:pPr>
            <w:r>
              <w:rPr>
                <w:rFonts w:ascii="Arial" w:cs="Arial" w:eastAsia="Arial" w:hAnsi="Arial"/>
                <w:sz w:val="18"/>
                <w:szCs w:val="18"/>
                <w:color w:val="auto"/>
                <w:w w:val="91"/>
              </w:rPr>
              <w:t>Person With:</w:t>
            </w:r>
          </w:p>
        </w:tc>
        <w:tc>
          <w:tcPr>
            <w:tcW w:w="460" w:type="dxa"/>
            <w:vAlign w:val="bottom"/>
            <w:tcBorders>
              <w:bottom w:val="single" w:sz="8" w:color="auto"/>
            </w:tcBorders>
          </w:tcPr>
          <w:p>
            <w:pPr>
              <w:spacing w:after="0"/>
              <w:rPr>
                <w:sz w:val="15"/>
                <w:szCs w:val="15"/>
                <w:color w:val="auto"/>
              </w:rPr>
            </w:pPr>
          </w:p>
        </w:tc>
        <w:tc>
          <w:tcPr>
            <w:tcW w:w="8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3200" w:right="6360" w:hanging="583"/>
        <w:spacing w:after="0" w:line="375" w:lineRule="auto"/>
        <w:tabs>
          <w:tab w:leader="none" w:pos="32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1020" w:right="5600" w:hanging="915"/>
        <w:spacing w:after="0" w:line="31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385,000</w:t>
      </w:r>
      <w:r>
        <w:rPr>
          <w:rFonts w:ascii="Arial" w:cs="Arial" w:eastAsia="Arial" w:hAnsi="Arial"/>
          <w:sz w:val="30"/>
          <w:szCs w:val="30"/>
          <w:color w:val="auto"/>
          <w:vertAlign w:val="superscript"/>
        </w:rPr>
        <w:t>1</w:t>
      </w:r>
    </w:p>
    <w:p>
      <w:pPr>
        <w:spacing w:after="0" w:line="2" w:lineRule="exact"/>
        <w:rPr>
          <w:rFonts w:ascii="Arial" w:cs="Arial" w:eastAsia="Arial" w:hAnsi="Arial"/>
          <w:sz w:val="18"/>
          <w:szCs w:val="18"/>
          <w:color w:val="auto"/>
        </w:rPr>
      </w:pPr>
    </w:p>
    <w:p>
      <w:pPr>
        <w:ind w:left="1020" w:hanging="91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22" w:lineRule="exact"/>
        <w:rPr>
          <w:rFonts w:ascii="Arial" w:cs="Arial" w:eastAsia="Arial" w:hAnsi="Arial"/>
          <w:sz w:val="18"/>
          <w:szCs w:val="18"/>
          <w:color w:val="auto"/>
        </w:rPr>
      </w:pPr>
    </w:p>
    <w:p>
      <w:pPr>
        <w:ind w:left="1020" w:right="6600" w:hanging="915"/>
        <w:spacing w:after="0" w:line="312"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1.7%</w:t>
      </w:r>
      <w:r>
        <w:rPr>
          <w:rFonts w:ascii="Arial" w:cs="Arial" w:eastAsia="Arial" w:hAnsi="Arial"/>
          <w:sz w:val="30"/>
          <w:szCs w:val="30"/>
          <w:color w:val="auto"/>
          <w:vertAlign w:val="superscript"/>
        </w:rPr>
        <w:t>2</w:t>
      </w:r>
    </w:p>
    <w:p>
      <w:pPr>
        <w:ind w:left="1020" w:hanging="91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-1579880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-1133475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21780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12"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Consists of 350,000 shares held by Nanodimension II, L.P. and 35,000 shares held by Nanodimension II Management Limited directly.</w:t>
      </w:r>
    </w:p>
    <w:p>
      <w:pPr>
        <w:spacing w:after="0" w:line="242" w:lineRule="exact"/>
        <w:rPr>
          <w:sz w:val="20"/>
          <w:szCs w:val="20"/>
          <w:color w:val="auto"/>
        </w:rPr>
      </w:pPr>
    </w:p>
    <w:p>
      <w:pPr>
        <w:ind w:right="20" w:firstLine="8"/>
        <w:spacing w:after="0" w:line="207" w:lineRule="auto"/>
        <w:tabs>
          <w:tab w:leader="none" w:pos="113"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This percentage is calculated based upon 22,336,576 shares of the Issuer’s common stock outstanding as of November 3, 2017, as reported by the Issuer in its Form 10-Q for the quarter ended September 30, 2017, filed with the Securities and Exchange Commission on November 7, 2017.</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CUSIP No. 05366U100</w:t>
      </w:r>
    </w:p>
    <w:p>
      <w:pPr>
        <w:spacing w:after="0" w:line="243" w:lineRule="exact"/>
        <w:rPr>
          <w:sz w:val="20"/>
          <w:szCs w:val="20"/>
          <w:color w:val="auto"/>
        </w:rPr>
      </w:pPr>
    </w:p>
    <w:p>
      <w:pPr>
        <w:ind w:left="1020" w:right="8400" w:hanging="915"/>
        <w:spacing w:after="0" w:line="34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Name of Reporting Persons Jonathan Nicholson</w:t>
      </w:r>
    </w:p>
    <w:p>
      <w:pPr>
        <w:spacing w:after="0" w:line="15" w:lineRule="exact"/>
        <w:rPr>
          <w:rFonts w:ascii="Arial" w:cs="Arial" w:eastAsia="Arial" w:hAnsi="Arial"/>
          <w:sz w:val="16"/>
          <w:szCs w:val="16"/>
          <w:color w:val="auto"/>
        </w:rPr>
      </w:pPr>
    </w:p>
    <w:p>
      <w:pPr>
        <w:ind w:left="1020" w:hanging="91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260" w:hanging="237"/>
        <w:spacing w:after="0" w:line="207" w:lineRule="exact"/>
        <w:tabs>
          <w:tab w:leader="none" w:pos="1260" w:val="left"/>
        </w:tabs>
        <w:numPr>
          <w:ilvl w:val="1"/>
          <w:numId w:val="1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280" w:hanging="257"/>
        <w:spacing w:after="0" w:line="207" w:lineRule="exact"/>
        <w:tabs>
          <w:tab w:leader="none" w:pos="1280" w:val="left"/>
        </w:tabs>
        <w:numPr>
          <w:ilvl w:val="1"/>
          <w:numId w:val="1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1020" w:hanging="91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2" w:lineRule="exact"/>
        <w:rPr>
          <w:rFonts w:ascii="Arial" w:cs="Arial" w:eastAsia="Arial" w:hAnsi="Arial"/>
          <w:sz w:val="18"/>
          <w:szCs w:val="18"/>
          <w:color w:val="auto"/>
        </w:rPr>
      </w:pPr>
    </w:p>
    <w:p>
      <w:pPr>
        <w:ind w:left="1020" w:right="7680" w:hanging="915"/>
        <w:spacing w:after="0" w:line="43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Citizenship or Place of Organization Cayman Islands and United Kingdom</w:t>
      </w:r>
    </w:p>
    <w:p>
      <w:pPr>
        <w:ind w:left="3200" w:hanging="583"/>
        <w:spacing w:after="0"/>
        <w:tabs>
          <w:tab w:leader="none" w:pos="32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-808355</wp:posOffset>
            </wp:positionV>
            <wp:extent cx="7246620" cy="266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-1571625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-1228725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8"/>
        </w:trPr>
        <w:tc>
          <w:tcPr>
            <w:tcW w:w="1720" w:type="dxa"/>
            <w:vAlign w:val="bottom"/>
            <w:vMerge w:val="continue"/>
          </w:tcPr>
          <w:p>
            <w:pPr>
              <w:spacing w:after="0"/>
              <w:rPr>
                <w:sz w:val="11"/>
                <w:szCs w:val="11"/>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4"/>
              </w:rPr>
              <w:t>Shares</w:t>
            </w:r>
          </w:p>
        </w:tc>
        <w:tc>
          <w:tcPr>
            <w:tcW w:w="460" w:type="dxa"/>
            <w:vAlign w:val="bottom"/>
            <w:vMerge w:val="continue"/>
          </w:tcPr>
          <w:p>
            <w:pPr>
              <w:spacing w:after="0"/>
              <w:rPr>
                <w:sz w:val="8"/>
                <w:szCs w:val="8"/>
                <w:color w:val="auto"/>
              </w:rPr>
            </w:pPr>
          </w:p>
        </w:tc>
        <w:tc>
          <w:tcPr>
            <w:tcW w:w="8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7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8440" w:type="dxa"/>
            <w:vAlign w:val="bottom"/>
            <w:vMerge w:val="restart"/>
          </w:tcPr>
          <w:p>
            <w:pPr>
              <w:ind w:left="220"/>
              <w:spacing w:after="0" w:line="338" w:lineRule="exact"/>
              <w:rPr>
                <w:sz w:val="20"/>
                <w:szCs w:val="20"/>
                <w:color w:val="auto"/>
              </w:rPr>
            </w:pPr>
            <w:r>
              <w:rPr>
                <w:rFonts w:ascii="Arial" w:cs="Arial" w:eastAsia="Arial" w:hAnsi="Arial"/>
                <w:sz w:val="18"/>
                <w:szCs w:val="18"/>
                <w:color w:val="auto"/>
              </w:rPr>
              <w:t>1,085,164</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122"/>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7"/>
              </w:rPr>
              <w:t>Each</w:t>
            </w:r>
          </w:p>
        </w:tc>
        <w:tc>
          <w:tcPr>
            <w:tcW w:w="460" w:type="dxa"/>
            <w:vAlign w:val="bottom"/>
            <w:vMerge w:val="continue"/>
          </w:tcPr>
          <w:p>
            <w:pPr>
              <w:spacing w:after="0"/>
              <w:rPr>
                <w:sz w:val="13"/>
                <w:szCs w:val="13"/>
                <w:color w:val="auto"/>
              </w:rPr>
            </w:pPr>
          </w:p>
        </w:tc>
        <w:tc>
          <w:tcPr>
            <w:tcW w:w="8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7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1"/>
              </w:rPr>
              <w:t>Person With:</w:t>
            </w:r>
          </w:p>
        </w:tc>
        <w:tc>
          <w:tcPr>
            <w:tcW w:w="460" w:type="dxa"/>
            <w:vAlign w:val="bottom"/>
            <w:tcBorders>
              <w:bottom w:val="single" w:sz="8" w:color="auto"/>
            </w:tcBorders>
          </w:tcPr>
          <w:p>
            <w:pPr>
              <w:spacing w:after="0"/>
              <w:rPr>
                <w:sz w:val="11"/>
                <w:szCs w:val="11"/>
                <w:color w:val="auto"/>
              </w:rPr>
            </w:pPr>
          </w:p>
        </w:tc>
        <w:tc>
          <w:tcPr>
            <w:tcW w:w="84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72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1,085,164</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10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15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1,085,164</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10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p>
    <w:p>
      <w:pPr>
        <w:spacing w:after="0" w:line="223"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4.9%</w:t>
      </w:r>
      <w:r>
        <w:rPr>
          <w:rFonts w:ascii="Arial" w:cs="Arial" w:eastAsia="Arial" w:hAnsi="Arial"/>
          <w:sz w:val="30"/>
          <w:szCs w:val="3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10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21780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27" w:lineRule="exact"/>
        <w:rPr>
          <w:sz w:val="20"/>
          <w:szCs w:val="20"/>
          <w:color w:val="auto"/>
        </w:rPr>
      </w:pPr>
    </w:p>
    <w:p>
      <w:pPr>
        <w:jc w:val="both"/>
        <w:ind w:firstLine="8"/>
        <w:spacing w:after="0" w:line="209" w:lineRule="auto"/>
        <w:tabs>
          <w:tab w:leader="none" w:pos="16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Consists of (i) 658,157 shares held by Nanodimension Limited Partnership; (ii) 7,007 shares underlying immediately exercisable warrants held by Nanodimension Limited Partnership; (iii) 350,000 shares held by Nanodimension II, L.P.; (iv) 35,000 shares held by Nanodimension Management Limited.; and (v) 35,000 shares held by Nanodimension II Management Limited.</w:t>
      </w:r>
    </w:p>
    <w:p>
      <w:pPr>
        <w:spacing w:after="0" w:line="244" w:lineRule="exact"/>
        <w:rPr>
          <w:sz w:val="20"/>
          <w:szCs w:val="20"/>
          <w:color w:val="auto"/>
        </w:rPr>
      </w:pPr>
    </w:p>
    <w:p>
      <w:pPr>
        <w:ind w:right="20" w:firstLine="8"/>
        <w:spacing w:after="0" w:line="207" w:lineRule="auto"/>
        <w:tabs>
          <w:tab w:leader="none" w:pos="113" w:val="left"/>
        </w:tabs>
        <w:numPr>
          <w:ilvl w:val="0"/>
          <w:numId w:val="18"/>
        </w:numPr>
        <w:rPr>
          <w:rFonts w:ascii="Arial" w:cs="Arial" w:eastAsia="Arial" w:hAnsi="Arial"/>
          <w:sz w:val="28"/>
          <w:szCs w:val="28"/>
          <w:color w:val="auto"/>
          <w:vertAlign w:val="superscript"/>
        </w:rPr>
      </w:pPr>
      <w:r>
        <w:rPr>
          <w:rFonts w:ascii="Arial" w:cs="Arial" w:eastAsia="Arial" w:hAnsi="Arial"/>
          <w:sz w:val="17"/>
          <w:szCs w:val="17"/>
          <w:color w:val="auto"/>
        </w:rPr>
        <w:t>This percentage is calculated based upon 22,336,576 shares of the Issuer’s common stock outstanding as of November 3, 2017, as reported by the Issuer in its Form 10-Q for the quarter ended September 30, 2017, filed with the Securities and Exchange Commission on November 7, 2017.</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CUSIP No. 05366U100</w:t>
      </w:r>
    </w:p>
    <w:p>
      <w:pPr>
        <w:spacing w:after="0" w:line="243" w:lineRule="exact"/>
        <w:rPr>
          <w:sz w:val="20"/>
          <w:szCs w:val="20"/>
          <w:color w:val="auto"/>
        </w:rPr>
      </w:pPr>
    </w:p>
    <w:p>
      <w:pPr>
        <w:ind w:left="1020" w:right="8400" w:hanging="915"/>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 of Reporting Persons Richard Coles</w:t>
      </w:r>
    </w:p>
    <w:p>
      <w:pPr>
        <w:spacing w:after="0" w:line="62" w:lineRule="exact"/>
        <w:rPr>
          <w:rFonts w:ascii="Arial" w:cs="Arial" w:eastAsia="Arial" w:hAnsi="Arial"/>
          <w:sz w:val="18"/>
          <w:szCs w:val="18"/>
          <w:color w:val="auto"/>
        </w:rPr>
      </w:pPr>
    </w:p>
    <w:p>
      <w:pPr>
        <w:ind w:left="1020" w:hanging="91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260" w:hanging="237"/>
        <w:spacing w:after="0" w:line="207" w:lineRule="exact"/>
        <w:tabs>
          <w:tab w:leader="none" w:pos="126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280" w:hanging="257"/>
        <w:spacing w:after="0" w:line="207" w:lineRule="exact"/>
        <w:tabs>
          <w:tab w:leader="none" w:pos="128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1020" w:hanging="91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2" w:lineRule="exact"/>
        <w:rPr>
          <w:rFonts w:ascii="Arial" w:cs="Arial" w:eastAsia="Arial" w:hAnsi="Arial"/>
          <w:sz w:val="18"/>
          <w:szCs w:val="18"/>
          <w:color w:val="auto"/>
        </w:rPr>
      </w:pPr>
    </w:p>
    <w:p>
      <w:pPr>
        <w:ind w:left="1020" w:right="7680" w:hanging="915"/>
        <w:spacing w:after="0" w:line="432"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Citizenship or Place of Organization Cayman Islands and United Kingdom</w:t>
      </w:r>
    </w:p>
    <w:p>
      <w:pPr>
        <w:ind w:left="3200" w:hanging="583"/>
        <w:spacing w:after="0"/>
        <w:tabs>
          <w:tab w:leader="none" w:pos="32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-808355</wp:posOffset>
            </wp:positionV>
            <wp:extent cx="7246620" cy="266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-1571625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-1228725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8"/>
        </w:trPr>
        <w:tc>
          <w:tcPr>
            <w:tcW w:w="1720" w:type="dxa"/>
            <w:vAlign w:val="bottom"/>
            <w:vMerge w:val="continue"/>
          </w:tcPr>
          <w:p>
            <w:pPr>
              <w:spacing w:after="0"/>
              <w:rPr>
                <w:sz w:val="11"/>
                <w:szCs w:val="11"/>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4"/>
              </w:rPr>
              <w:t>Shares</w:t>
            </w:r>
          </w:p>
        </w:tc>
        <w:tc>
          <w:tcPr>
            <w:tcW w:w="460" w:type="dxa"/>
            <w:vAlign w:val="bottom"/>
            <w:vMerge w:val="continue"/>
          </w:tcPr>
          <w:p>
            <w:pPr>
              <w:spacing w:after="0"/>
              <w:rPr>
                <w:sz w:val="8"/>
                <w:szCs w:val="8"/>
                <w:color w:val="auto"/>
              </w:rPr>
            </w:pPr>
          </w:p>
        </w:tc>
        <w:tc>
          <w:tcPr>
            <w:tcW w:w="8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7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8440" w:type="dxa"/>
            <w:vAlign w:val="bottom"/>
            <w:vMerge w:val="restart"/>
          </w:tcPr>
          <w:p>
            <w:pPr>
              <w:ind w:left="220"/>
              <w:spacing w:after="0" w:line="338" w:lineRule="exact"/>
              <w:rPr>
                <w:sz w:val="20"/>
                <w:szCs w:val="20"/>
                <w:color w:val="auto"/>
              </w:rPr>
            </w:pPr>
            <w:r>
              <w:rPr>
                <w:rFonts w:ascii="Arial" w:cs="Arial" w:eastAsia="Arial" w:hAnsi="Arial"/>
                <w:sz w:val="18"/>
                <w:szCs w:val="18"/>
                <w:color w:val="auto"/>
              </w:rPr>
              <w:t>1,085,164</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122"/>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7"/>
              </w:rPr>
              <w:t>Each</w:t>
            </w:r>
          </w:p>
        </w:tc>
        <w:tc>
          <w:tcPr>
            <w:tcW w:w="460" w:type="dxa"/>
            <w:vAlign w:val="bottom"/>
            <w:vMerge w:val="continue"/>
          </w:tcPr>
          <w:p>
            <w:pPr>
              <w:spacing w:after="0"/>
              <w:rPr>
                <w:sz w:val="13"/>
                <w:szCs w:val="13"/>
                <w:color w:val="auto"/>
              </w:rPr>
            </w:pPr>
          </w:p>
        </w:tc>
        <w:tc>
          <w:tcPr>
            <w:tcW w:w="8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7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1"/>
              </w:rPr>
              <w:t>Person With:</w:t>
            </w:r>
          </w:p>
        </w:tc>
        <w:tc>
          <w:tcPr>
            <w:tcW w:w="460" w:type="dxa"/>
            <w:vAlign w:val="bottom"/>
            <w:tcBorders>
              <w:bottom w:val="single" w:sz="8" w:color="auto"/>
            </w:tcBorders>
          </w:tcPr>
          <w:p>
            <w:pPr>
              <w:spacing w:after="0"/>
              <w:rPr>
                <w:sz w:val="11"/>
                <w:szCs w:val="11"/>
                <w:color w:val="auto"/>
              </w:rPr>
            </w:pPr>
          </w:p>
        </w:tc>
        <w:tc>
          <w:tcPr>
            <w:tcW w:w="84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72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1,085,164</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10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15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1,085,164</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10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p>
    <w:p>
      <w:pPr>
        <w:spacing w:after="0" w:line="223"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4.9%</w:t>
      </w:r>
      <w:r>
        <w:rPr>
          <w:rFonts w:ascii="Arial" w:cs="Arial" w:eastAsia="Arial" w:hAnsi="Arial"/>
          <w:sz w:val="30"/>
          <w:szCs w:val="3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10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21780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27" w:lineRule="exact"/>
        <w:rPr>
          <w:sz w:val="20"/>
          <w:szCs w:val="20"/>
          <w:color w:val="auto"/>
        </w:rPr>
      </w:pPr>
    </w:p>
    <w:p>
      <w:pPr>
        <w:jc w:val="both"/>
        <w:ind w:firstLine="8"/>
        <w:spacing w:after="0" w:line="209" w:lineRule="auto"/>
        <w:tabs>
          <w:tab w:leader="none" w:pos="16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Consists of (i) 658,157 shares held by Nanodimension Limited Partnership; (ii) 7,007 shares underlying immediately exercisable warrants held by Nanodimension Limited Partnership; (iii) 350,000 shares held by Nanodimension II, L.P.; and (iv) 35,000 shares held by Nanodimension Management Limited.; and (v) 35,000 shares held by Nanodimension II Management Limited.</w:t>
      </w:r>
    </w:p>
    <w:p>
      <w:pPr>
        <w:spacing w:after="0" w:line="244" w:lineRule="exact"/>
        <w:rPr>
          <w:sz w:val="20"/>
          <w:szCs w:val="20"/>
          <w:color w:val="auto"/>
        </w:rPr>
      </w:pPr>
    </w:p>
    <w:p>
      <w:pPr>
        <w:ind w:right="20" w:firstLine="8"/>
        <w:spacing w:after="0" w:line="207" w:lineRule="auto"/>
        <w:tabs>
          <w:tab w:leader="none" w:pos="113" w:val="left"/>
        </w:tabs>
        <w:numPr>
          <w:ilvl w:val="0"/>
          <w:numId w:val="21"/>
        </w:numPr>
        <w:rPr>
          <w:rFonts w:ascii="Arial" w:cs="Arial" w:eastAsia="Arial" w:hAnsi="Arial"/>
          <w:sz w:val="28"/>
          <w:szCs w:val="28"/>
          <w:color w:val="auto"/>
          <w:vertAlign w:val="superscript"/>
        </w:rPr>
      </w:pPr>
      <w:r>
        <w:rPr>
          <w:rFonts w:ascii="Arial" w:cs="Arial" w:eastAsia="Arial" w:hAnsi="Arial"/>
          <w:sz w:val="17"/>
          <w:szCs w:val="17"/>
          <w:color w:val="auto"/>
        </w:rPr>
        <w:t>This percentage is calculated based upon 22,336,576 shares of the Issuer’s common stock outstanding as of November 3, 2017, as reported by the Issuer in its Form 10-Q for the quarter ended September 30, 2017, filed with the Securities and Exchange Commission on November 7, 2017.</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ind w:left="1620" w:hanging="64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Selecta Biosciences, Inc.</w:t>
      </w:r>
    </w:p>
    <w:p>
      <w:pPr>
        <w:spacing w:after="0" w:line="211" w:lineRule="exact"/>
        <w:rPr>
          <w:sz w:val="20"/>
          <w:szCs w:val="20"/>
          <w:color w:val="auto"/>
        </w:rPr>
      </w:pPr>
    </w:p>
    <w:p>
      <w:pPr>
        <w:ind w:left="1960" w:right="5179" w:hanging="980"/>
        <w:spacing w:after="0" w:line="258" w:lineRule="auto"/>
        <w:tabs>
          <w:tab w:leader="none" w:pos="16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Address of Issuer’s Principal Executive Offices 480 Arsenal Way</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Watertown, MA 02472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ind w:left="1620" w:hanging="64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Nanodimension Limited Partnership</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Nanodimension II, L.P.</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Nanodimension Management Limited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Nanodimension II Management Limited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Jonathan Nicholson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Richard Coles</w:t>
      </w:r>
    </w:p>
    <w:p>
      <w:pPr>
        <w:spacing w:after="0" w:line="211" w:lineRule="exact"/>
        <w:rPr>
          <w:sz w:val="20"/>
          <w:szCs w:val="20"/>
          <w:color w:val="auto"/>
        </w:rPr>
      </w:pPr>
    </w:p>
    <w:p>
      <w:pPr>
        <w:ind w:left="1960" w:right="4319" w:hanging="980"/>
        <w:spacing w:after="0" w:line="256" w:lineRule="auto"/>
        <w:tabs>
          <w:tab w:leader="none" w:pos="16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c/o Nanodimension Management Limited Governor's Square, Unit 3-213-6</w:t>
      </w:r>
    </w:p>
    <w:p>
      <w:pPr>
        <w:ind w:left="1960"/>
        <w:spacing w:after="0"/>
        <w:rPr>
          <w:rFonts w:ascii="Arial" w:cs="Arial" w:eastAsia="Arial" w:hAnsi="Arial"/>
          <w:sz w:val="18"/>
          <w:szCs w:val="18"/>
          <w:color w:val="auto"/>
        </w:rPr>
      </w:pPr>
      <w:r>
        <w:rPr>
          <w:rFonts w:ascii="Arial" w:cs="Arial" w:eastAsia="Arial" w:hAnsi="Arial"/>
          <w:sz w:val="18"/>
          <w:szCs w:val="18"/>
          <w:color w:val="auto"/>
        </w:rPr>
        <w:t>23 Lime Tree Bay Ave</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Grand Cayman, Cayman Islands KY1-1302</w:t>
      </w:r>
    </w:p>
    <w:p>
      <w:pPr>
        <w:spacing w:after="0" w:line="210" w:lineRule="exact"/>
        <w:rPr>
          <w:rFonts w:ascii="Arial" w:cs="Arial" w:eastAsia="Arial" w:hAnsi="Arial"/>
          <w:sz w:val="18"/>
          <w:szCs w:val="18"/>
          <w:color w:val="auto"/>
        </w:rPr>
      </w:pPr>
    </w:p>
    <w:p>
      <w:pPr>
        <w:ind w:left="1620" w:hanging="640"/>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1960" w:right="2799"/>
        <w:spacing w:after="0" w:line="270" w:lineRule="auto"/>
        <w:rPr>
          <w:sz w:val="20"/>
          <w:szCs w:val="20"/>
          <w:color w:val="auto"/>
        </w:rPr>
      </w:pPr>
      <w:r>
        <w:rPr>
          <w:rFonts w:ascii="Arial" w:cs="Arial" w:eastAsia="Arial" w:hAnsi="Arial"/>
          <w:sz w:val="17"/>
          <w:szCs w:val="17"/>
          <w:color w:val="auto"/>
        </w:rPr>
        <w:t>Nanodimension Limited Partnership is a Cayman Islands partnership Nanodimension II, L.P. is a Cayman Islands partnership Nanodimension Management Limited is a Cayman Islands corporation Nanodimension II Management Limited is a Cayman Islands corporation Jonathan Nicholson is a citizen of the Cayman Islands and United Kingdom Richard Coles is a citizen of the Cayman Islands and United Kingdom</w:t>
      </w:r>
    </w:p>
    <w:p>
      <w:pPr>
        <w:sectPr>
          <w:pgSz w:w="11900" w:h="16838" w:orient="portrait"/>
          <w:cols w:equalWidth="0" w:num="1">
            <w:col w:w="10219"/>
          </w:cols>
          <w:pgMar w:left="240" w:top="904" w:right="1440" w:bottom="1440" w:gutter="0" w:footer="0" w:header="0"/>
        </w:sectPr>
      </w:pP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Title of Class of Securities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w:t>
      </w:r>
    </w:p>
    <w:p>
      <w:pPr>
        <w:spacing w:after="0" w:line="200" w:lineRule="exact"/>
        <w:rPr>
          <w:sz w:val="20"/>
          <w:szCs w:val="20"/>
          <w:color w:val="auto"/>
        </w:rPr>
      </w:pPr>
    </w:p>
    <w:p>
      <w:pPr>
        <w:sectPr>
          <w:pgSz w:w="11900" w:h="16838" w:orient="portrait"/>
          <w:cols w:equalWidth="0" w:num="2">
            <w:col w:w="1200" w:space="420"/>
            <w:col w:w="8599"/>
          </w:cols>
          <w:pgMar w:left="240" w:top="904" w:right="1440" w:bottom="1440" w:gutter="0" w:footer="0" w:header="0"/>
          <w:type w:val="continuous"/>
        </w:sectPr>
      </w:pPr>
    </w:p>
    <w:p>
      <w:pPr>
        <w:spacing w:after="0" w:line="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w:t>
      </w:r>
    </w:p>
    <w:p>
      <w:pPr>
        <w:spacing w:after="0" w:line="20" w:lineRule="exact"/>
        <w:rPr>
          <w:sz w:val="20"/>
          <w:szCs w:val="20"/>
          <w:color w:val="auto"/>
        </w:rPr>
      </w:pPr>
      <w:r>
        <w:rPr>
          <w:sz w:val="20"/>
          <w:szCs w:val="20"/>
          <w:color w:val="auto"/>
        </w:rPr>
        <w:br w:type="column"/>
      </w:r>
    </w:p>
    <w:p>
      <w:pPr>
        <w:jc w:val="right"/>
        <w:ind w:right="7439"/>
        <w:spacing w:after="0"/>
        <w:rPr>
          <w:sz w:val="20"/>
          <w:szCs w:val="20"/>
          <w:color w:val="auto"/>
        </w:rPr>
      </w:pPr>
      <w:r>
        <w:rPr>
          <w:rFonts w:ascii="Arial" w:cs="Arial" w:eastAsia="Arial" w:hAnsi="Arial"/>
          <w:sz w:val="16"/>
          <w:szCs w:val="16"/>
          <w:color w:val="auto"/>
        </w:rPr>
        <w:t>CUSIP Number</w:t>
      </w:r>
    </w:p>
    <w:p>
      <w:pPr>
        <w:spacing w:after="0" w:line="46" w:lineRule="exact"/>
        <w:rPr>
          <w:sz w:val="20"/>
          <w:szCs w:val="20"/>
          <w:color w:val="auto"/>
        </w:rPr>
      </w:pPr>
    </w:p>
    <w:p>
      <w:pPr>
        <w:jc w:val="right"/>
        <w:ind w:right="7459"/>
        <w:spacing w:after="0"/>
        <w:rPr>
          <w:sz w:val="20"/>
          <w:szCs w:val="20"/>
          <w:color w:val="auto"/>
        </w:rPr>
      </w:pPr>
      <w:r>
        <w:rPr>
          <w:rFonts w:ascii="Arial" w:cs="Arial" w:eastAsia="Arial" w:hAnsi="Arial"/>
          <w:sz w:val="18"/>
          <w:szCs w:val="18"/>
          <w:color w:val="auto"/>
        </w:rPr>
        <w:t>816212104</w:t>
      </w:r>
    </w:p>
    <w:p>
      <w:pPr>
        <w:spacing w:after="0" w:line="200" w:lineRule="exact"/>
        <w:rPr>
          <w:sz w:val="20"/>
          <w:szCs w:val="20"/>
          <w:color w:val="auto"/>
        </w:rPr>
      </w:pPr>
    </w:p>
    <w:p>
      <w:pPr>
        <w:sectPr>
          <w:pgSz w:w="11900" w:h="16838" w:orient="portrait"/>
          <w:cols w:equalWidth="0" w:num="2">
            <w:col w:w="1180" w:space="440"/>
            <w:col w:w="8599"/>
          </w:cols>
          <w:pgMar w:left="240" w:top="90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If this statement is filed pursuant to §§240.13d-1(b), or 240.13d-2(b) or (c), check whether the person filing is a:</w:t>
      </w:r>
    </w:p>
    <w:p>
      <w:pPr>
        <w:spacing w:after="0" w:line="211" w:lineRule="exact"/>
        <w:rPr>
          <w:sz w:val="20"/>
          <w:szCs w:val="20"/>
          <w:color w:val="auto"/>
        </w:rPr>
      </w:pPr>
    </w:p>
    <w:p>
      <w:pPr>
        <w:sectPr>
          <w:pgSz w:w="11900" w:h="16838" w:orient="portrait"/>
          <w:cols w:equalWidth="0" w:num="2">
            <w:col w:w="540" w:space="440"/>
            <w:col w:w="9239"/>
          </w:cols>
          <w:pgMar w:left="240" w:top="904" w:right="1440" w:bottom="1440" w:gutter="0" w:footer="0" w:header="0"/>
          <w:type w:val="continuous"/>
        </w:sectPr>
      </w:pPr>
    </w:p>
    <w:p>
      <w:pPr>
        <w:spacing w:after="0" w:line="4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219"/>
          </w:cols>
          <w:pgMar w:left="240" w:top="904" w:right="1440"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211" w:lineRule="exact"/>
        <w:rPr>
          <w:sz w:val="20"/>
          <w:szCs w:val="20"/>
          <w:color w:val="auto"/>
        </w:rPr>
      </w:pPr>
    </w:p>
    <w:p>
      <w:pPr>
        <w:sectPr>
          <w:pgSz w:w="11900" w:h="16838" w:orient="portrait"/>
          <w:cols w:equalWidth="0" w:num="2">
            <w:col w:w="540" w:space="440"/>
            <w:col w:w="9239"/>
          </w:cols>
          <w:pgMar w:left="240" w:top="904" w:right="1440" w:bottom="1440" w:gutter="0" w:footer="0" w:header="0"/>
          <w:type w:val="continuous"/>
        </w:sectPr>
      </w:pPr>
    </w:p>
    <w:p>
      <w:pPr>
        <w:spacing w:after="0" w:line="4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Amount Beneficially Owned: See the responses to Item 9 on the attached cover pages.</w:t>
      </w:r>
    </w:p>
    <w:p>
      <w:pPr>
        <w:spacing w:after="0" w:line="46"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Percent of Class: See the responses to Item 11 on the attached cover pages.</w:t>
      </w:r>
    </w:p>
    <w:p>
      <w:pPr>
        <w:sectPr>
          <w:pgSz w:w="11900" w:h="16838" w:orient="portrait"/>
          <w:cols w:equalWidth="0" w:num="1">
            <w:col w:w="10219"/>
          </w:cols>
          <w:pgMar w:left="240" w:top="904" w:right="1440"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ind w:left="5280"/>
        <w:spacing w:after="0"/>
        <w:rPr>
          <w:sz w:val="20"/>
          <w:szCs w:val="20"/>
          <w:color w:val="auto"/>
        </w:rPr>
      </w:pPr>
      <w:r>
        <w:rPr>
          <w:rFonts w:ascii="Arial" w:cs="Arial" w:eastAsia="Arial" w:hAnsi="Arial"/>
          <w:sz w:val="15"/>
          <w:szCs w:val="15"/>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type w:val="continuous"/>
        </w:sectPr>
      </w:pPr>
    </w:p>
    <w:bookmarkStart w:id="8" w:name="page9"/>
    <w:bookmarkEnd w:id="8"/>
    <w:p>
      <w:pPr>
        <w:ind w:left="1620" w:hanging="64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3" w:lineRule="exact"/>
        <w:rPr>
          <w:rFonts w:ascii="Arial" w:cs="Arial" w:eastAsia="Arial" w:hAnsi="Arial"/>
          <w:sz w:val="18"/>
          <w:szCs w:val="18"/>
          <w:color w:val="auto"/>
        </w:rPr>
      </w:pPr>
    </w:p>
    <w:p>
      <w:pPr>
        <w:ind w:left="2280" w:hanging="651"/>
        <w:spacing w:after="0"/>
        <w:tabs>
          <w:tab w:leader="none" w:pos="2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Sole power to vote or to direct the vote: See the responses to Item 6 on the attached cover pages.</w:t>
      </w:r>
    </w:p>
    <w:p>
      <w:pPr>
        <w:spacing w:after="0" w:line="9" w:lineRule="exact"/>
        <w:rPr>
          <w:rFonts w:ascii="Arial" w:cs="Arial" w:eastAsia="Arial" w:hAnsi="Arial"/>
          <w:sz w:val="18"/>
          <w:szCs w:val="18"/>
          <w:color w:val="auto"/>
        </w:rPr>
      </w:pPr>
    </w:p>
    <w:p>
      <w:pPr>
        <w:ind w:left="2280" w:hanging="651"/>
        <w:spacing w:after="0"/>
        <w:tabs>
          <w:tab w:leader="none" w:pos="2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Shared power to vote or to direct the vote: See the responses to Item 6 on the attached cover pages.</w:t>
      </w:r>
    </w:p>
    <w:p>
      <w:pPr>
        <w:spacing w:after="0" w:line="9" w:lineRule="exact"/>
        <w:rPr>
          <w:rFonts w:ascii="Arial" w:cs="Arial" w:eastAsia="Arial" w:hAnsi="Arial"/>
          <w:sz w:val="18"/>
          <w:szCs w:val="18"/>
          <w:color w:val="auto"/>
        </w:rPr>
      </w:pPr>
    </w:p>
    <w:p>
      <w:pPr>
        <w:ind w:left="2280" w:hanging="651"/>
        <w:spacing w:after="0"/>
        <w:tabs>
          <w:tab w:leader="none" w:pos="2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the responses to Item 6 on the attached cover pages.</w:t>
      </w:r>
    </w:p>
    <w:p>
      <w:pPr>
        <w:spacing w:after="0" w:line="9" w:lineRule="exact"/>
        <w:rPr>
          <w:rFonts w:ascii="Arial" w:cs="Arial" w:eastAsia="Arial" w:hAnsi="Arial"/>
          <w:sz w:val="18"/>
          <w:szCs w:val="18"/>
          <w:color w:val="auto"/>
        </w:rPr>
      </w:pPr>
    </w:p>
    <w:p>
      <w:pPr>
        <w:ind w:left="2280" w:hanging="651"/>
        <w:spacing w:after="0"/>
        <w:tabs>
          <w:tab w:leader="none" w:pos="2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the responses to Item 6 on the attached cover pages.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highlight w:val="black"/>
        </w:rPr>
        <w:t>☒</w:t>
      </w:r>
      <w:r>
        <w:rPr>
          <w:rFonts w:ascii="Arial" w:cs="Arial" w:eastAsia="Arial" w:hAnsi="Arial"/>
          <w:sz w:val="18"/>
          <w:szCs w:val="18"/>
          <w:color w:val="auto"/>
        </w:rPr>
        <w:t>.</w:t>
      </w:r>
    </w:p>
    <w:p>
      <w:pPr>
        <w:spacing w:after="0" w:line="1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Nanodimension Limited Partnership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Nanodimension Management Limited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14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Nicholson</w:t>
            </w:r>
          </w:p>
        </w:tc>
      </w:tr>
      <w:tr>
        <w:trPr>
          <w:trHeight w:val="195"/>
        </w:trPr>
        <w:tc>
          <w:tcPr>
            <w:tcW w:w="5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Jonathan Nicholson</w:t>
            </w:r>
          </w:p>
        </w:tc>
      </w:t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32"/>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Nanodimension II, L.P.</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Nanodimension II GP Limited Partnership</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14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Nanodimension II Management Limited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14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Nicholson</w:t>
            </w:r>
          </w:p>
        </w:tc>
      </w:tr>
      <w:tr>
        <w:trPr>
          <w:trHeight w:val="195"/>
        </w:trPr>
        <w:tc>
          <w:tcPr>
            <w:tcW w:w="5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Jonathan Nicholson</w:t>
            </w:r>
          </w:p>
        </w:tc>
      </w:t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32"/>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Nanodimension Management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Nicholson</w:t>
            </w:r>
          </w:p>
        </w:tc>
      </w:tr>
      <w:tr>
        <w:trPr>
          <w:trHeight w:val="195"/>
        </w:trPr>
        <w:tc>
          <w:tcPr>
            <w:tcW w:w="5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Jonathan Nicholson</w:t>
            </w:r>
          </w:p>
        </w:tc>
      </w:t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32"/>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Nanodimension II Management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Nicholson</w:t>
            </w:r>
          </w:p>
        </w:tc>
      </w:tr>
      <w:tr>
        <w:trPr>
          <w:trHeight w:val="195"/>
        </w:trPr>
        <w:tc>
          <w:tcPr>
            <w:tcW w:w="5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Jonathan Nicholson</w:t>
            </w:r>
          </w:p>
        </w:tc>
      </w:t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Jonathan Nicholson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Jonathan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Richard Coles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Richard Coles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undersigned hereby agree that this Schedule 13G (the “Schedule 13G”) with respect to the common stock of Selecta Biosciences, Inc. is, and any additional amendment thereto signed by each of the undersigned shall be, filed on behalf of each undersigned pursuant to and in accordance with the provisions of 13d-1(k) under the Securities Exchange Act of 1934, as amended (the “Exchange Act”),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Exchange Act, nor is a joint venture for purposes of the Investment Company Act of 1940.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Nanodimension Limited Partnership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Nanodimension Management Limited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14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Nicholson</w:t>
            </w:r>
          </w:p>
        </w:tc>
      </w:tr>
      <w:tr>
        <w:trPr>
          <w:trHeight w:val="195"/>
        </w:trPr>
        <w:tc>
          <w:tcPr>
            <w:tcW w:w="5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Jonathan Nicholson</w:t>
            </w:r>
          </w:p>
        </w:tc>
      </w:t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32"/>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Nanodimension II, L.P.</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Nanodimension II GP Limited Partnership</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14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Nanodimension II Management Limited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14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Nicholson</w:t>
            </w:r>
          </w:p>
        </w:tc>
      </w:tr>
      <w:tr>
        <w:trPr>
          <w:trHeight w:val="195"/>
        </w:trPr>
        <w:tc>
          <w:tcPr>
            <w:tcW w:w="5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Jonathan Nicholson</w:t>
            </w:r>
          </w:p>
        </w:tc>
      </w:t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32"/>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Nanodimension Management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Nicholson</w:t>
            </w:r>
          </w:p>
        </w:tc>
      </w:tr>
      <w:tr>
        <w:trPr>
          <w:trHeight w:val="195"/>
        </w:trPr>
        <w:tc>
          <w:tcPr>
            <w:tcW w:w="5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Jonathan Nicholson</w:t>
            </w:r>
          </w:p>
        </w:tc>
      </w:t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32"/>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Nanodimension II Management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Nicholson</w:t>
            </w:r>
          </w:p>
        </w:tc>
      </w:tr>
      <w:tr>
        <w:trPr>
          <w:trHeight w:val="195"/>
        </w:trPr>
        <w:tc>
          <w:tcPr>
            <w:tcW w:w="5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Jonathan Nicholson</w:t>
            </w:r>
          </w:p>
        </w:tc>
      </w:t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Jonathan Nicholson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Jonathan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Richard Coles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Richard Coles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
    <w:nsid w:val="7FDCC233"/>
    <w:multiLevelType w:val="hybridMultilevel"/>
    <w:lvl w:ilvl="0">
      <w:lvlJc w:val="left"/>
      <w:lvlText w:val="1"/>
      <w:numFmt w:val="bullet"/>
      <w:start w:val="1"/>
    </w:lvl>
  </w:abstractNum>
  <w:abstractNum w:abstractNumId="3">
    <w:nsid w:val="1BEFD79F"/>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
    <w:nsid w:val="41A7C4C9"/>
    <w:multiLevelType w:val="hybridMultilevel"/>
    <w:lvl w:ilvl="0">
      <w:lvlJc w:val="left"/>
      <w:lvlText w:val="1"/>
      <w:numFmt w:val="bullet"/>
      <w:start w:val="1"/>
    </w:lvl>
  </w:abstractNum>
  <w:abstractNum w:abstractNumId="5">
    <w:nsid w:val="6B68079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4E6AFB66"/>
    <w:multiLevelType w:val="hybridMultilevel"/>
    <w:lvl w:ilvl="0">
      <w:lvlJc w:val="left"/>
      <w:lvlText w:val="%1"/>
      <w:numFmt w:val="decimal"/>
      <w:start w:val="1"/>
    </w:lvl>
    <w:lvl w:ilvl="1">
      <w:lvlJc w:val="left"/>
      <w:lvlText w:val="%2."/>
      <w:numFmt w:val="decimal"/>
      <w:start w:val="8"/>
    </w:lvl>
  </w:abstractNum>
  <w:abstractNum w:abstractNumId="7">
    <w:nsid w:val="25E45D32"/>
    <w:multiLevelType w:val="hybridMultilevel"/>
    <w:lvl w:ilvl="0">
      <w:lvlJc w:val="left"/>
      <w:lvlText w:val="%1."/>
      <w:numFmt w:val="decimal"/>
      <w:start w:val="9"/>
    </w:lvl>
    <w:lvl w:ilvl="1">
      <w:lvlJc w:val="left"/>
      <w:lvlText w:val="%2"/>
      <w:numFmt w:val="decimal"/>
      <w:start w:val="1"/>
    </w:lvl>
  </w:abstractNum>
  <w:abstractNum w:abstractNumId="8">
    <w:nsid w:val="519B500D"/>
    <w:multiLevelType w:val="hybridMultilevel"/>
    <w:lvl w:ilvl="0">
      <w:lvlJc w:val="left"/>
      <w:lvlText w:val="1"/>
      <w:numFmt w:val="bullet"/>
      <w:start w:val="1"/>
    </w:lvl>
  </w:abstractNum>
  <w:abstractNum w:abstractNumId="9">
    <w:nsid w:val="431BD7B7"/>
    <w:multiLevelType w:val="hybridMultilevel"/>
    <w:lvl w:ilvl="0">
      <w:lvlJc w:val="left"/>
      <w:lvlText w:val="2"/>
      <w:numFmt w:val="bullet"/>
      <w:start w:val="1"/>
    </w:lvl>
  </w:abstractNum>
  <w:abstractNum w:abstractNumId="10">
    <w:nsid w:val="3F2DBA31"/>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1">
    <w:nsid w:val="7C83E458"/>
    <w:multiLevelType w:val="hybridMultilevel"/>
    <w:lvl w:ilvl="0">
      <w:lvlJc w:val="left"/>
      <w:lvlText w:val="%1"/>
      <w:numFmt w:val="decimal"/>
      <w:start w:val="1"/>
    </w:lvl>
    <w:lvl w:ilvl="1">
      <w:lvlJc w:val="left"/>
      <w:lvlText w:val="%2."/>
      <w:numFmt w:val="decimal"/>
      <w:start w:val="8"/>
    </w:lvl>
  </w:abstractNum>
  <w:abstractNum w:abstractNumId="12">
    <w:nsid w:val="257130A3"/>
    <w:multiLevelType w:val="hybridMultilevel"/>
    <w:lvl w:ilvl="0">
      <w:lvlJc w:val="left"/>
      <w:lvlText w:val="%1."/>
      <w:numFmt w:val="decimal"/>
      <w:start w:val="9"/>
    </w:lvl>
    <w:lvl w:ilvl="1">
      <w:lvlJc w:val="left"/>
      <w:lvlText w:val="%2"/>
      <w:numFmt w:val="decimal"/>
      <w:start w:val="1"/>
    </w:lvl>
  </w:abstractNum>
  <w:abstractNum w:abstractNumId="13">
    <w:nsid w:val="62BBD95A"/>
    <w:multiLevelType w:val="hybridMultilevel"/>
    <w:lvl w:ilvl="0">
      <w:lvlJc w:val="left"/>
      <w:lvlText w:val="1"/>
      <w:numFmt w:val="bullet"/>
      <w:start w:val="1"/>
    </w:lvl>
  </w:abstractNum>
  <w:abstractNum w:abstractNumId="14">
    <w:nsid w:val="436C6125"/>
    <w:multiLevelType w:val="hybridMultilevel"/>
    <w:lvl w:ilvl="0">
      <w:lvlJc w:val="left"/>
      <w:lvlText w:val="2"/>
      <w:numFmt w:val="bullet"/>
      <w:start w:val="1"/>
    </w:lvl>
  </w:abstractNum>
  <w:abstractNum w:abstractNumId="15">
    <w:nsid w:val="628C895D"/>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6">
    <w:nsid w:val="333AB105"/>
    <w:multiLevelType w:val="hybridMultilevel"/>
    <w:lvl w:ilvl="0">
      <w:lvlJc w:val="left"/>
      <w:lvlText w:val="1"/>
      <w:numFmt w:val="bullet"/>
      <w:start w:val="1"/>
    </w:lvl>
  </w:abstractNum>
  <w:abstractNum w:abstractNumId="17">
    <w:nsid w:val="721DA317"/>
    <w:multiLevelType w:val="hybridMultilevel"/>
    <w:lvl w:ilvl="0">
      <w:lvlJc w:val="left"/>
      <w:lvlText w:val="2"/>
      <w:numFmt w:val="bullet"/>
      <w:start w:val="1"/>
    </w:lvl>
  </w:abstractNum>
  <w:abstractNum w:abstractNumId="18">
    <w:nsid w:val="2443A85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9">
    <w:nsid w:val="2D1D5AE9"/>
    <w:multiLevelType w:val="hybridMultilevel"/>
    <w:lvl w:ilvl="0">
      <w:lvlJc w:val="left"/>
      <w:lvlText w:val="1"/>
      <w:numFmt w:val="bullet"/>
      <w:start w:val="1"/>
    </w:lvl>
  </w:abstractNum>
  <w:abstractNum w:abstractNumId="20">
    <w:nsid w:val="6763845E"/>
    <w:multiLevelType w:val="hybridMultilevel"/>
    <w:lvl w:ilvl="0">
      <w:lvlJc w:val="left"/>
      <w:lvlText w:val="2"/>
      <w:numFmt w:val="bullet"/>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2"/>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2"/>
    </w:lvl>
  </w:abstractNum>
  <w:abstractNum w:abstractNumId="25">
    <w:nsid w:val="B03E0C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2019-12-07T15:16:24Z</dcterms:created>
  <dcterms:modified xsi:type="dcterms:W3CDTF">2019-12-07T15:16:24Z</dcterms:modified>
</cp:coreProperties>
</file>