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April 3, 2018</w:t>
      </w:r>
    </w:p>
    <w:p>
      <w:pPr>
        <w:spacing w:after="0" w:line="28"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S-8</w:t>
      </w:r>
    </w:p>
    <w:p>
      <w:pPr>
        <w:spacing w:after="0" w:line="3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 UNDER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ACT OF 1933</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SELECTA BIOSCIENCES,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684" w:right="23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252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26-1622110</w:t>
      </w:r>
    </w:p>
    <w:p>
      <w:pPr>
        <w:spacing w:after="0" w:line="132" w:lineRule="exact"/>
        <w:rPr>
          <w:sz w:val="24"/>
          <w:szCs w:val="24"/>
          <w:color w:val="auto"/>
        </w:rPr>
      </w:pPr>
    </w:p>
    <w:p>
      <w:pPr>
        <w:sectPr>
          <w:pgSz w:w="11900" w:h="16838" w:orient="portrait"/>
          <w:cols w:equalWidth="0" w:num="2">
            <w:col w:w="7620" w:space="720"/>
            <w:col w:w="3080"/>
          </w:cols>
          <w:pgMar w:left="240" w:top="684" w:right="239" w:bottom="1440" w:gutter="0" w:footer="0" w:header="0"/>
          <w:type w:val="continuous"/>
        </w:sectPr>
      </w:pPr>
    </w:p>
    <w:p>
      <w:pPr>
        <w:ind w:left="90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2">
            <w:col w:w="6860" w:space="720"/>
            <w:col w:w="3840"/>
          </w:cols>
          <w:pgMar w:left="240" w:top="684" w:right="239" w:bottom="1440" w:gutter="0" w:footer="0" w:header="0"/>
          <w:type w:val="continuous"/>
        </w:sectPr>
      </w:pP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480 Arsenal Way</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Watertown, Massachusetts 02472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Selecta Biosciences, Inc. 2016 Incentive Award Plan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Selecta Biosciences, Inc. 2016 Employee Stock Purchase Plan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(Full Title of the Plan)</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Werner Cautreels, Ph.D.</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Selecta Biosciences, Inc.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480 Arsenal Way</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Watertown, Massachusetts 02472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(617) 923-1400</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Copies to:</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Peter N. Handrinos, Esq.</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Latham &amp; Watkins LLP</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200 Clarendon Street</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Boston, MA 02116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(617) 948-6060</w:t>
      </w:r>
    </w:p>
    <w:p>
      <w:pPr>
        <w:spacing w:after="0" w:line="205" w:lineRule="exact"/>
        <w:rPr>
          <w:sz w:val="24"/>
          <w:szCs w:val="24"/>
          <w:color w:val="auto"/>
        </w:rPr>
      </w:pPr>
    </w:p>
    <w:p>
      <w:pPr>
        <w:ind w:right="6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3"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2740" w:type="dxa"/>
            <w:vAlign w:val="bottom"/>
          </w:tcPr>
          <w:p>
            <w:pPr>
              <w:ind w:left="70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460"/>
              <w:spacing w:after="0"/>
              <w:rPr>
                <w:sz w:val="20"/>
                <w:szCs w:val="20"/>
                <w:color w:val="auto"/>
              </w:rPr>
            </w:pPr>
            <w:r>
              <w:rPr>
                <w:rFonts w:ascii="Arial" w:cs="Arial" w:eastAsia="Arial" w:hAnsi="Arial"/>
                <w:sz w:val="14"/>
                <w:szCs w:val="14"/>
                <w:color w:val="auto"/>
              </w:rPr>
              <w:t>x</w:t>
            </w:r>
          </w:p>
        </w:tc>
      </w:tr>
      <w:tr>
        <w:trPr>
          <w:trHeight w:val="230"/>
        </w:trPr>
        <w:tc>
          <w:tcPr>
            <w:tcW w:w="1620" w:type="dxa"/>
            <w:vAlign w:val="bottom"/>
          </w:tcPr>
          <w:p>
            <w:pPr>
              <w:spacing w:after="0"/>
              <w:rPr>
                <w:sz w:val="20"/>
                <w:szCs w:val="20"/>
                <w:color w:val="auto"/>
              </w:rPr>
            </w:pPr>
            <w:r>
              <w:rPr>
                <w:rFonts w:ascii="Arial" w:cs="Arial" w:eastAsia="Arial" w:hAnsi="Arial"/>
                <w:sz w:val="14"/>
                <w:szCs w:val="14"/>
                <w:color w:val="auto"/>
              </w:rPr>
              <w:t>Non-accelerated filer</w:t>
            </w:r>
          </w:p>
        </w:tc>
        <w:tc>
          <w:tcPr>
            <w:tcW w:w="3860" w:type="dxa"/>
            <w:vAlign w:val="bottom"/>
          </w:tcPr>
          <w:p>
            <w:pPr>
              <w:ind w:left="3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2740" w:type="dxa"/>
            <w:vAlign w:val="bottom"/>
          </w:tcPr>
          <w:p>
            <w:pPr>
              <w:ind w:left="700"/>
              <w:spacing w:after="0"/>
              <w:rPr>
                <w:sz w:val="20"/>
                <w:szCs w:val="20"/>
                <w:color w:val="auto"/>
              </w:rPr>
            </w:pPr>
            <w:r>
              <w:rPr>
                <w:rFonts w:ascii="Arial" w:cs="Arial" w:eastAsia="Arial" w:hAnsi="Arial"/>
                <w:sz w:val="14"/>
                <w:szCs w:val="14"/>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47" w:lineRule="exact"/>
        <w:rPr>
          <w:sz w:val="24"/>
          <w:szCs w:val="24"/>
          <w:color w:val="auto"/>
        </w:rPr>
      </w:pPr>
    </w:p>
    <w:p>
      <w:pPr>
        <w:ind w:right="40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new or revised financial accounting standards provided pursuant to Section 7(a)(2)(B) of the Securities Act. x</w:t>
      </w:r>
    </w:p>
    <w:p>
      <w:pPr>
        <w:sectPr>
          <w:pgSz w:w="11900" w:h="16838" w:orient="portrait"/>
          <w:cols w:equalWidth="0" w:num="1">
            <w:col w:w="11420"/>
          </w:cols>
          <w:pgMar w:left="240" w:top="684"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1740" w:type="dxa"/>
            <w:vAlign w:val="bottom"/>
          </w:tcPr>
          <w:p>
            <w:pPr>
              <w:jc w:val="center"/>
              <w:ind w:left="2"/>
              <w:spacing w:after="0"/>
              <w:rPr>
                <w:sz w:val="20"/>
                <w:szCs w:val="20"/>
                <w:color w:val="auto"/>
              </w:rPr>
            </w:pPr>
            <w:r>
              <w:rPr>
                <w:rFonts w:ascii="Arial" w:cs="Arial" w:eastAsia="Arial" w:hAnsi="Arial"/>
                <w:sz w:val="14"/>
                <w:szCs w:val="14"/>
                <w:b w:val="1"/>
                <w:bCs w:val="1"/>
                <w:color w:val="auto"/>
                <w:w w:val="89"/>
              </w:rPr>
              <w:t>Proposed</w:t>
            </w: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165"/>
        </w:trPr>
        <w:tc>
          <w:tcPr>
            <w:tcW w:w="3880" w:type="dxa"/>
            <w:vAlign w:val="bottom"/>
          </w:tcPr>
          <w:p>
            <w:pPr>
              <w:spacing w:after="0"/>
              <w:rPr>
                <w:sz w:val="14"/>
                <w:szCs w:val="14"/>
                <w:color w:val="auto"/>
              </w:rPr>
            </w:pPr>
          </w:p>
        </w:tc>
        <w:tc>
          <w:tcPr>
            <w:tcW w:w="2460" w:type="dxa"/>
            <w:vAlign w:val="bottom"/>
          </w:tcPr>
          <w:p>
            <w:pPr>
              <w:jc w:val="center"/>
              <w:ind w:left="221"/>
              <w:spacing w:after="0"/>
              <w:rPr>
                <w:sz w:val="20"/>
                <w:szCs w:val="20"/>
                <w:color w:val="auto"/>
              </w:rPr>
            </w:pPr>
            <w:r>
              <w:rPr>
                <w:rFonts w:ascii="Arial" w:cs="Arial" w:eastAsia="Arial" w:hAnsi="Arial"/>
                <w:sz w:val="14"/>
                <w:szCs w:val="14"/>
                <w:b w:val="1"/>
                <w:bCs w:val="1"/>
                <w:color w:val="auto"/>
                <w:w w:val="98"/>
              </w:rPr>
              <w:t>Amount</w:t>
            </w:r>
          </w:p>
        </w:tc>
        <w:tc>
          <w:tcPr>
            <w:tcW w:w="1640" w:type="dxa"/>
            <w:vAlign w:val="bottom"/>
          </w:tcPr>
          <w:p>
            <w:pPr>
              <w:jc w:val="center"/>
              <w:ind w:left="2"/>
              <w:spacing w:after="0"/>
              <w:rPr>
                <w:sz w:val="20"/>
                <w:szCs w:val="20"/>
                <w:color w:val="auto"/>
              </w:rPr>
            </w:pPr>
            <w:r>
              <w:rPr>
                <w:rFonts w:ascii="Arial" w:cs="Arial" w:eastAsia="Arial" w:hAnsi="Arial"/>
                <w:sz w:val="14"/>
                <w:szCs w:val="14"/>
                <w:b w:val="1"/>
                <w:bCs w:val="1"/>
                <w:color w:val="auto"/>
                <w:w w:val="99"/>
              </w:rPr>
              <w:t>Maximum</w:t>
            </w:r>
          </w:p>
        </w:tc>
        <w:tc>
          <w:tcPr>
            <w:tcW w:w="1740" w:type="dxa"/>
            <w:vAlign w:val="bottom"/>
          </w:tcPr>
          <w:p>
            <w:pPr>
              <w:jc w:val="center"/>
              <w:ind w:left="22"/>
              <w:spacing w:after="0"/>
              <w:rPr>
                <w:sz w:val="20"/>
                <w:szCs w:val="20"/>
                <w:color w:val="auto"/>
              </w:rPr>
            </w:pPr>
            <w:r>
              <w:rPr>
                <w:rFonts w:ascii="Arial" w:cs="Arial" w:eastAsia="Arial" w:hAnsi="Arial"/>
                <w:sz w:val="14"/>
                <w:szCs w:val="14"/>
                <w:b w:val="1"/>
                <w:bCs w:val="1"/>
                <w:color w:val="auto"/>
                <w:w w:val="99"/>
              </w:rPr>
              <w:t>Maximum</w:t>
            </w: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8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Title of Securities to be Registered</w:t>
            </w:r>
          </w:p>
        </w:tc>
        <w:tc>
          <w:tcPr>
            <w:tcW w:w="2460" w:type="dxa"/>
            <w:vAlign w:val="bottom"/>
          </w:tcPr>
          <w:p>
            <w:pPr>
              <w:jc w:val="center"/>
              <w:ind w:left="241"/>
              <w:spacing w:after="0" w:line="133" w:lineRule="exact"/>
              <w:rPr>
                <w:sz w:val="20"/>
                <w:szCs w:val="20"/>
                <w:color w:val="auto"/>
              </w:rPr>
            </w:pPr>
            <w:r>
              <w:rPr>
                <w:rFonts w:ascii="Arial" w:cs="Arial" w:eastAsia="Arial" w:hAnsi="Arial"/>
                <w:sz w:val="14"/>
                <w:szCs w:val="14"/>
                <w:b w:val="1"/>
                <w:bCs w:val="1"/>
                <w:color w:val="auto"/>
                <w:w w:val="89"/>
              </w:rPr>
              <w:t>to be</w:t>
            </w:r>
          </w:p>
        </w:tc>
        <w:tc>
          <w:tcPr>
            <w:tcW w:w="1640" w:type="dxa"/>
            <w:vAlign w:val="bottom"/>
          </w:tcPr>
          <w:p>
            <w:pPr>
              <w:jc w:val="center"/>
              <w:ind w:left="2"/>
              <w:spacing w:after="0" w:line="133" w:lineRule="exact"/>
              <w:rPr>
                <w:sz w:val="20"/>
                <w:szCs w:val="20"/>
                <w:color w:val="auto"/>
              </w:rPr>
            </w:pPr>
            <w:r>
              <w:rPr>
                <w:rFonts w:ascii="Arial" w:cs="Arial" w:eastAsia="Arial" w:hAnsi="Arial"/>
                <w:sz w:val="14"/>
                <w:szCs w:val="14"/>
                <w:b w:val="1"/>
                <w:bCs w:val="1"/>
                <w:color w:val="auto"/>
                <w:w w:val="94"/>
              </w:rPr>
              <w:t>Offering Price</w:t>
            </w:r>
          </w:p>
        </w:tc>
        <w:tc>
          <w:tcPr>
            <w:tcW w:w="1740" w:type="dxa"/>
            <w:vAlign w:val="bottom"/>
          </w:tcPr>
          <w:p>
            <w:pPr>
              <w:jc w:val="center"/>
              <w:ind w:left="2"/>
              <w:spacing w:after="0" w:line="133" w:lineRule="exact"/>
              <w:rPr>
                <w:sz w:val="20"/>
                <w:szCs w:val="20"/>
                <w:color w:val="auto"/>
              </w:rPr>
            </w:pPr>
            <w:r>
              <w:rPr>
                <w:rFonts w:ascii="Arial" w:cs="Arial" w:eastAsia="Arial" w:hAnsi="Arial"/>
                <w:sz w:val="14"/>
                <w:szCs w:val="14"/>
                <w:b w:val="1"/>
                <w:bCs w:val="1"/>
                <w:color w:val="auto"/>
                <w:w w:val="89"/>
              </w:rPr>
              <w:t>Aggregate</w:t>
            </w: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Registration Fee</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2460" w:type="dxa"/>
            <w:vAlign w:val="bottom"/>
            <w:tcBorders>
              <w:bottom w:val="single" w:sz="8" w:color="auto"/>
            </w:tcBorders>
          </w:tcPr>
          <w:p>
            <w:pPr>
              <w:jc w:val="center"/>
              <w:ind w:left="241"/>
              <w:spacing w:after="0"/>
              <w:rPr>
                <w:sz w:val="20"/>
                <w:szCs w:val="20"/>
                <w:color w:val="auto"/>
              </w:rPr>
            </w:pPr>
            <w:r>
              <w:rPr>
                <w:rFonts w:ascii="Arial" w:cs="Arial" w:eastAsia="Arial" w:hAnsi="Arial"/>
                <w:sz w:val="14"/>
                <w:szCs w:val="14"/>
                <w:b w:val="1"/>
                <w:bCs w:val="1"/>
                <w:color w:val="auto"/>
                <w:w w:val="91"/>
              </w:rPr>
              <w:t>Registered(1)</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 Share</w:t>
            </w:r>
          </w:p>
        </w:tc>
        <w:tc>
          <w:tcPr>
            <w:tcW w:w="174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4"/>
              </w:rPr>
              <w:t>Offering Price</w:t>
            </w: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Common Stock, par value $0.0001 per share</w:t>
            </w:r>
          </w:p>
        </w:tc>
        <w:tc>
          <w:tcPr>
            <w:tcW w:w="2460" w:type="dxa"/>
            <w:vAlign w:val="bottom"/>
          </w:tcPr>
          <w:p>
            <w:pPr>
              <w:jc w:val="center"/>
              <w:ind w:left="141"/>
              <w:spacing w:after="0"/>
              <w:rPr>
                <w:sz w:val="20"/>
                <w:szCs w:val="20"/>
                <w:color w:val="auto"/>
              </w:rPr>
            </w:pPr>
            <w:r>
              <w:rPr>
                <w:rFonts w:ascii="Arial" w:cs="Arial" w:eastAsia="Arial" w:hAnsi="Arial"/>
                <w:sz w:val="18"/>
                <w:szCs w:val="18"/>
                <w:color w:val="auto"/>
                <w:w w:val="87"/>
              </w:rPr>
              <w:t>407,819 shares(2)</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$9.30 (3)</w:t>
            </w:r>
          </w:p>
        </w:tc>
        <w:tc>
          <w:tcPr>
            <w:tcW w:w="1740" w:type="dxa"/>
            <w:vAlign w:val="bottom"/>
          </w:tcPr>
          <w:p>
            <w:pPr>
              <w:jc w:val="right"/>
              <w:ind w:right="222"/>
              <w:spacing w:after="0"/>
              <w:rPr>
                <w:sz w:val="20"/>
                <w:szCs w:val="20"/>
                <w:color w:val="auto"/>
              </w:rPr>
            </w:pPr>
            <w:r>
              <w:rPr>
                <w:rFonts w:ascii="Arial" w:cs="Arial" w:eastAsia="Arial" w:hAnsi="Arial"/>
                <w:sz w:val="18"/>
                <w:szCs w:val="18"/>
                <w:color w:val="auto"/>
              </w:rPr>
              <w:t>$3,792,716.70</w:t>
            </w:r>
          </w:p>
        </w:tc>
        <w:tc>
          <w:tcPr>
            <w:tcW w:w="1680" w:type="dxa"/>
            <w:vAlign w:val="bottom"/>
          </w:tcPr>
          <w:p>
            <w:pPr>
              <w:jc w:val="right"/>
              <w:ind w:right="53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
        </w:trPr>
        <w:tc>
          <w:tcPr>
            <w:tcW w:w="38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rPr>
              <w:t>Common Stock, par value $0.0001 per share</w:t>
            </w:r>
          </w:p>
        </w:tc>
        <w:tc>
          <w:tcPr>
            <w:tcW w:w="2460" w:type="dxa"/>
            <w:vAlign w:val="bottom"/>
          </w:tcPr>
          <w:p>
            <w:pPr>
              <w:jc w:val="center"/>
              <w:ind w:left="121"/>
              <w:spacing w:after="0"/>
              <w:rPr>
                <w:sz w:val="20"/>
                <w:szCs w:val="20"/>
                <w:color w:val="auto"/>
              </w:rPr>
            </w:pPr>
            <w:r>
              <w:rPr>
                <w:rFonts w:ascii="Arial" w:cs="Arial" w:eastAsia="Arial" w:hAnsi="Arial"/>
                <w:sz w:val="18"/>
                <w:szCs w:val="18"/>
                <w:color w:val="auto"/>
                <w:w w:val="88"/>
              </w:rPr>
              <w:t>1,631,279 shares(4)</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$9.30 (3)</w:t>
            </w:r>
          </w:p>
        </w:tc>
        <w:tc>
          <w:tcPr>
            <w:tcW w:w="1740" w:type="dxa"/>
            <w:vAlign w:val="bottom"/>
          </w:tcPr>
          <w:p>
            <w:pPr>
              <w:jc w:val="right"/>
              <w:ind w:right="182"/>
              <w:spacing w:after="0"/>
              <w:rPr>
                <w:sz w:val="20"/>
                <w:szCs w:val="20"/>
                <w:color w:val="auto"/>
              </w:rPr>
            </w:pPr>
            <w:r>
              <w:rPr>
                <w:rFonts w:ascii="Arial" w:cs="Arial" w:eastAsia="Arial" w:hAnsi="Arial"/>
                <w:sz w:val="18"/>
                <w:szCs w:val="18"/>
                <w:color w:val="auto"/>
              </w:rPr>
              <w:t>$15,170,894.70</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7"/>
        </w:trPr>
        <w:tc>
          <w:tcPr>
            <w:tcW w:w="38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40" w:right="20" w:hanging="316"/>
        <w:spacing w:after="0" w:line="261"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accordance with Rule 416 under the Securities Act of 1933, as amended, this registration statement shall be deemed to cover any additional securities that may from time to time be offered or issued under the Selecta Biosciences, Inc. 2016 Employee Stock Purchase Plan (“ESPP”) and the Selecta Biosciences, Inc. 2016 Incentive Award Plan (the “Incentive Plan”) to prevent dilution resulting from stock splits, stock dividends or similar transactions.</w:t>
      </w:r>
    </w:p>
    <w:p>
      <w:pPr>
        <w:spacing w:after="0" w:line="156" w:lineRule="exact"/>
        <w:rPr>
          <w:rFonts w:ascii="Arial" w:cs="Arial" w:eastAsia="Arial" w:hAnsi="Arial"/>
          <w:sz w:val="16"/>
          <w:szCs w:val="16"/>
          <w:color w:val="auto"/>
        </w:rPr>
      </w:pPr>
    </w:p>
    <w:p>
      <w:pPr>
        <w:ind w:left="540" w:hanging="316"/>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Consists of 407,819 shares of Common Stock that may become issuable under the ESPP pursuant to its terms.</w:t>
      </w:r>
    </w:p>
    <w:p>
      <w:pPr>
        <w:spacing w:after="0" w:line="194" w:lineRule="exact"/>
        <w:rPr>
          <w:rFonts w:ascii="Arial" w:cs="Arial" w:eastAsia="Arial" w:hAnsi="Arial"/>
          <w:sz w:val="16"/>
          <w:szCs w:val="16"/>
          <w:color w:val="auto"/>
        </w:rPr>
      </w:pPr>
    </w:p>
    <w:p>
      <w:pPr>
        <w:ind w:left="540" w:right="100" w:hanging="316"/>
        <w:spacing w:after="0" w:line="275"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Rules 457(c) and 457(h) of the Securities Act of 1933, as amended, and based upon the average of the high and low prices of the Registrant’s Common Stock as reported on the Nasdaq Global Market on March 28, 2018.</w:t>
      </w:r>
    </w:p>
    <w:p>
      <w:pPr>
        <w:spacing w:after="0" w:line="145" w:lineRule="exact"/>
        <w:rPr>
          <w:rFonts w:ascii="Arial" w:cs="Arial" w:eastAsia="Arial" w:hAnsi="Arial"/>
          <w:sz w:val="16"/>
          <w:szCs w:val="16"/>
          <w:color w:val="auto"/>
        </w:rPr>
      </w:pPr>
    </w:p>
    <w:p>
      <w:pPr>
        <w:ind w:left="540" w:hanging="316"/>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Consists of 1,631,279 shares of Common Stock that may become issuable under the Incentive Plan pursuant to its terms.</w:t>
      </w:r>
    </w:p>
    <w:p>
      <w:pPr>
        <w:sectPr>
          <w:pgSz w:w="11900" w:h="16838" w:orient="portrait"/>
          <w:cols w:equalWidth="0" w:num="1">
            <w:col w:w="11400"/>
          </w:cols>
          <w:pgMar w:left="240" w:top="796" w:right="2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This Registration Statement on Form S-8 is being filed for the purpose of registering an additional 407,819 shares of the common stock of Selecta Biosciences, Inc. (the “Registrant”) to be issued pursuant to the ESPP and an additional 1,631,279 shares of the Registrant’s common stock to be issued pursuant to the Incentive Plan. A Registration Statement of the Registrant on Form S-8 relating to the same employee benefit plans is effective.</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BY REFERENCE OF CONTENTS OF</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REGISTRATION STATEMENTS ON FORM S-8</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as set forth below, the contents of the Registration Statement on Form S-8 (File No. 333-212215) filed with the Securities and Exchange Commission, relating to the ESPP and Incentive Plan, are incorporated by reference herein.</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8. 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4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7280" w:type="dxa"/>
            <w:vAlign w:val="bottom"/>
            <w:gridSpan w:val="10"/>
          </w:tcPr>
          <w:p>
            <w:pPr>
              <w:spacing w:after="0"/>
              <w:rPr>
                <w:sz w:val="20"/>
                <w:szCs w:val="20"/>
                <w:color w:val="auto"/>
              </w:rPr>
            </w:pPr>
            <w:r>
              <w:rPr>
                <w:rFonts w:ascii="Arial" w:cs="Arial" w:eastAsia="Arial" w:hAnsi="Arial"/>
                <w:sz w:val="14"/>
                <w:szCs w:val="14"/>
                <w:b w:val="1"/>
                <w:bCs w:val="1"/>
                <w:color w:val="auto"/>
              </w:rPr>
              <w:t>Description</w:t>
            </w:r>
          </w:p>
        </w:tc>
      </w:tr>
      <w:tr>
        <w:trPr>
          <w:trHeight w:val="364"/>
        </w:trPr>
        <w:tc>
          <w:tcPr>
            <w:tcW w:w="1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080" w:type="dxa"/>
            <w:vAlign w:val="bottom"/>
            <w:tcBorders>
              <w:top w:val="single" w:sz="8" w:color="auto"/>
              <w:bottom w:val="single" w:sz="8" w:color="0000FF"/>
            </w:tcBorders>
            <w:gridSpan w:val="8"/>
          </w:tcPr>
          <w:p>
            <w:pPr>
              <w:spacing w:after="0"/>
              <w:rPr>
                <w:rFonts w:ascii="Arial" w:cs="Arial" w:eastAsia="Arial" w:hAnsi="Arial"/>
                <w:sz w:val="18"/>
                <w:szCs w:val="18"/>
                <w:color w:val="0000FF"/>
                <w:w w:val="91"/>
              </w:rPr>
            </w:pPr>
            <w:hyperlink r:id="rId10">
              <w:r>
                <w:rPr>
                  <w:rFonts w:ascii="Arial" w:cs="Arial" w:eastAsia="Arial" w:hAnsi="Arial"/>
                  <w:sz w:val="18"/>
                  <w:szCs w:val="18"/>
                  <w:color w:val="0000FF"/>
                  <w:w w:val="91"/>
                </w:rPr>
                <w:t>Restated Certificate of Incorporation of the Registrant (incorporated by reference to Exhibit 3.1 to</w:t>
              </w:r>
            </w:hyperlink>
          </w:p>
        </w:tc>
        <w:tc>
          <w:tcPr>
            <w:tcW w:w="200" w:type="dxa"/>
            <w:vAlign w:val="bottom"/>
            <w:tcBorders>
              <w:top w:val="single" w:sz="8" w:color="auto"/>
            </w:tcBorders>
            <w:gridSpan w:val="2"/>
          </w:tcPr>
          <w:p>
            <w:pPr>
              <w:spacing w:after="0"/>
              <w:rPr>
                <w:sz w:val="24"/>
                <w:szCs w:val="24"/>
                <w:color w:val="auto"/>
              </w:rPr>
            </w:pPr>
          </w:p>
        </w:tc>
      </w:tr>
      <w:tr>
        <w:trPr>
          <w:trHeight w:val="196"/>
        </w:trPr>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4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10">
              <w:r>
                <w:rPr>
                  <w:rFonts w:ascii="Arial" w:cs="Arial" w:eastAsia="Arial" w:hAnsi="Arial"/>
                  <w:sz w:val="18"/>
                  <w:szCs w:val="18"/>
                  <w:color w:val="0000FF"/>
                  <w:w w:val="91"/>
                </w:rPr>
                <w:t>the Registrant’s Current Report on Form 8-K (File No. 001-37798) filed on June 29, 2016)</w:t>
              </w:r>
            </w:hyperlink>
          </w:p>
        </w:tc>
        <w:tc>
          <w:tcPr>
            <w:tcW w:w="740" w:type="dxa"/>
            <w:vAlign w:val="bottom"/>
            <w:gridSpan w:val="5"/>
          </w:tcPr>
          <w:p>
            <w:pPr>
              <w:spacing w:after="0"/>
              <w:rPr>
                <w:sz w:val="17"/>
                <w:szCs w:val="17"/>
                <w:color w:val="auto"/>
              </w:rPr>
            </w:pPr>
          </w:p>
        </w:tc>
      </w:tr>
      <w:tr>
        <w:trPr>
          <w:trHeight w:val="480"/>
        </w:trPr>
        <w:tc>
          <w:tcPr>
            <w:tcW w:w="1500" w:type="dxa"/>
            <w:vAlign w:val="bottom"/>
          </w:tcPr>
          <w:p>
            <w:pPr>
              <w:ind w:left="40"/>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0" w:type="dxa"/>
            <w:vAlign w:val="bottom"/>
            <w:tcBorders>
              <w:bottom w:val="single" w:sz="8" w:color="0000FF"/>
            </w:tcBorders>
            <w:gridSpan w:val="6"/>
          </w:tcPr>
          <w:p>
            <w:pPr>
              <w:spacing w:after="0"/>
              <w:rPr>
                <w:rFonts w:ascii="Arial" w:cs="Arial" w:eastAsia="Arial" w:hAnsi="Arial"/>
                <w:sz w:val="18"/>
                <w:szCs w:val="18"/>
                <w:color w:val="0000FF"/>
                <w:w w:val="90"/>
              </w:rPr>
            </w:pPr>
            <w:hyperlink r:id="rId10">
              <w:r>
                <w:rPr>
                  <w:rFonts w:ascii="Arial" w:cs="Arial" w:eastAsia="Arial" w:hAnsi="Arial"/>
                  <w:sz w:val="18"/>
                  <w:szCs w:val="18"/>
                  <w:color w:val="0000FF"/>
                  <w:w w:val="90"/>
                </w:rPr>
                <w:t>Amended and Restated By-laws of the Registrant (incorporated by reference to Exhibit 3.2 to the</w:t>
              </w:r>
            </w:hyperlink>
          </w:p>
        </w:tc>
        <w:tc>
          <w:tcPr>
            <w:tcW w:w="280" w:type="dxa"/>
            <w:vAlign w:val="bottom"/>
            <w:gridSpan w:val="4"/>
          </w:tcPr>
          <w:p>
            <w:pPr>
              <w:spacing w:after="0"/>
              <w:rPr>
                <w:sz w:val="24"/>
                <w:szCs w:val="24"/>
                <w:color w:val="auto"/>
              </w:rPr>
            </w:pPr>
          </w:p>
        </w:tc>
      </w:tr>
      <w:tr>
        <w:trPr>
          <w:trHeight w:val="196"/>
        </w:trPr>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8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10">
              <w:r>
                <w:rPr>
                  <w:rFonts w:ascii="Arial" w:cs="Arial" w:eastAsia="Arial" w:hAnsi="Arial"/>
                  <w:sz w:val="18"/>
                  <w:szCs w:val="18"/>
                  <w:color w:val="0000FF"/>
                  <w:w w:val="91"/>
                </w:rPr>
                <w:t>Registrant’s Current Report on Form 8-K (File No. 001-37798) filed on June 29, 2016)</w:t>
              </w:r>
            </w:hyperlink>
          </w:p>
        </w:tc>
        <w:tc>
          <w:tcPr>
            <w:tcW w:w="1000" w:type="dxa"/>
            <w:vAlign w:val="bottom"/>
            <w:gridSpan w:val="6"/>
          </w:tcPr>
          <w:p>
            <w:pPr>
              <w:spacing w:after="0"/>
              <w:rPr>
                <w:sz w:val="17"/>
                <w:szCs w:val="17"/>
                <w:color w:val="auto"/>
              </w:rPr>
            </w:pPr>
          </w:p>
        </w:tc>
      </w:tr>
      <w:tr>
        <w:trPr>
          <w:trHeight w:val="480"/>
        </w:trPr>
        <w:tc>
          <w:tcPr>
            <w:tcW w:w="1500" w:type="dxa"/>
            <w:vAlign w:val="bottom"/>
          </w:tcPr>
          <w:p>
            <w:pPr>
              <w:ind w:left="40"/>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80" w:type="dxa"/>
            <w:vAlign w:val="bottom"/>
            <w:gridSpan w:val="10"/>
          </w:tcPr>
          <w:p>
            <w:pPr>
              <w:spacing w:after="0"/>
              <w:rPr>
                <w:sz w:val="20"/>
                <w:szCs w:val="20"/>
                <w:color w:val="auto"/>
              </w:rPr>
            </w:pPr>
            <w:r>
              <w:rPr>
                <w:rFonts w:ascii="Arial" w:cs="Arial" w:eastAsia="Arial" w:hAnsi="Arial"/>
                <w:sz w:val="18"/>
                <w:szCs w:val="18"/>
                <w:color w:val="0000FF"/>
              </w:rPr>
              <w:t>Opinion of Latham &amp; Watkins LLP, counsel to the Registrant</w:t>
            </w:r>
          </w:p>
        </w:tc>
      </w:tr>
      <w:tr>
        <w:trPr>
          <w:trHeight w:val="20"/>
        </w:trPr>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1500" w:type="dxa"/>
            <w:vAlign w:val="bottom"/>
          </w:tcPr>
          <w:p>
            <w:pPr>
              <w:ind w:left="40"/>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80" w:type="dxa"/>
            <w:vAlign w:val="bottom"/>
            <w:gridSpan w:val="10"/>
          </w:tcPr>
          <w:p>
            <w:pPr>
              <w:spacing w:after="0"/>
              <w:rPr>
                <w:sz w:val="20"/>
                <w:szCs w:val="20"/>
                <w:color w:val="auto"/>
              </w:rPr>
            </w:pPr>
            <w:r>
              <w:rPr>
                <w:rFonts w:ascii="Arial" w:cs="Arial" w:eastAsia="Arial" w:hAnsi="Arial"/>
                <w:sz w:val="18"/>
                <w:szCs w:val="18"/>
                <w:color w:val="0000FF"/>
              </w:rPr>
              <w:t>Consent of Ernst &amp; Young LLP, Independent Registered Public Accounting Firm</w:t>
            </w:r>
          </w:p>
        </w:tc>
      </w:tr>
      <w:tr>
        <w:trPr>
          <w:trHeight w:val="480"/>
        </w:trPr>
        <w:tc>
          <w:tcPr>
            <w:tcW w:w="1500" w:type="dxa"/>
            <w:vAlign w:val="bottom"/>
          </w:tcPr>
          <w:p>
            <w:pPr>
              <w:ind w:left="40"/>
              <w:spacing w:after="0"/>
              <w:rPr>
                <w:sz w:val="20"/>
                <w:szCs w:val="20"/>
                <w:color w:val="auto"/>
              </w:rPr>
            </w:pPr>
            <w:r>
              <w:rPr>
                <w:rFonts w:ascii="Arial" w:cs="Arial" w:eastAsia="Arial" w:hAnsi="Arial"/>
                <w:sz w:val="18"/>
                <w:szCs w:val="18"/>
                <w:color w:val="auto"/>
              </w:rPr>
              <w:t>23.2 +</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Consent of Latham &amp; Watkins LLP (included in Exhibit 5.1)</w:t>
            </w:r>
          </w:p>
        </w:tc>
        <w:tc>
          <w:tcPr>
            <w:tcW w:w="1440" w:type="dxa"/>
            <w:vAlign w:val="bottom"/>
            <w:gridSpan w:val="7"/>
          </w:tcPr>
          <w:p>
            <w:pPr>
              <w:spacing w:after="0"/>
              <w:rPr>
                <w:sz w:val="24"/>
                <w:szCs w:val="24"/>
                <w:color w:val="auto"/>
              </w:rPr>
            </w:pPr>
          </w:p>
        </w:tc>
      </w:tr>
      <w:tr>
        <w:trPr>
          <w:trHeight w:val="520"/>
        </w:trPr>
        <w:tc>
          <w:tcPr>
            <w:tcW w:w="1500" w:type="dxa"/>
            <w:vAlign w:val="bottom"/>
          </w:tcPr>
          <w:p>
            <w:pPr>
              <w:ind w:left="40"/>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Power of attorney (included on signature pages below)</w:t>
            </w:r>
          </w:p>
        </w:tc>
        <w:tc>
          <w:tcPr>
            <w:tcW w:w="2860" w:type="dxa"/>
            <w:vAlign w:val="bottom"/>
            <w:gridSpan w:val="8"/>
          </w:tcPr>
          <w:p>
            <w:pPr>
              <w:spacing w:after="0"/>
              <w:rPr>
                <w:sz w:val="24"/>
                <w:szCs w:val="24"/>
                <w:color w:val="auto"/>
              </w:rPr>
            </w:pPr>
          </w:p>
        </w:tc>
      </w:tr>
      <w:tr>
        <w:trPr>
          <w:trHeight w:val="459"/>
        </w:trPr>
        <w:tc>
          <w:tcPr>
            <w:tcW w:w="1500" w:type="dxa"/>
            <w:vAlign w:val="bottom"/>
          </w:tcPr>
          <w:p>
            <w:pPr>
              <w:ind w:left="4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60" w:type="dxa"/>
            <w:vAlign w:val="bottom"/>
            <w:tcBorders>
              <w:bottom w:val="single" w:sz="8" w:color="0000FF"/>
            </w:tcBorders>
            <w:gridSpan w:val="7"/>
          </w:tcPr>
          <w:p>
            <w:pPr>
              <w:spacing w:after="0"/>
              <w:rPr>
                <w:rFonts w:ascii="Arial" w:cs="Arial" w:eastAsia="Arial" w:hAnsi="Arial"/>
                <w:sz w:val="18"/>
                <w:szCs w:val="18"/>
                <w:color w:val="0000FF"/>
                <w:w w:val="90"/>
              </w:rPr>
            </w:pPr>
            <w:hyperlink r:id="rId11">
              <w:r>
                <w:rPr>
                  <w:rFonts w:ascii="Arial" w:cs="Arial" w:eastAsia="Arial" w:hAnsi="Arial"/>
                  <w:sz w:val="18"/>
                  <w:szCs w:val="18"/>
                  <w:color w:val="0000FF"/>
                  <w:w w:val="90"/>
                </w:rPr>
                <w:t>Selecta Biosciences, Inc. 2016 Incentive Award Plan (incorporated by reference to Exhibit 10.2 to</w:t>
              </w:r>
            </w:hyperlink>
          </w:p>
        </w:tc>
        <w:tc>
          <w:tcPr>
            <w:tcW w:w="220" w:type="dxa"/>
            <w:vAlign w:val="bottom"/>
            <w:gridSpan w:val="3"/>
          </w:tcPr>
          <w:p>
            <w:pPr>
              <w:spacing w:after="0"/>
              <w:rPr>
                <w:sz w:val="24"/>
                <w:szCs w:val="24"/>
                <w:color w:val="auto"/>
              </w:rPr>
            </w:pPr>
          </w:p>
        </w:tc>
      </w:tr>
      <w:tr>
        <w:trPr>
          <w:trHeight w:val="196"/>
        </w:trPr>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11">
              <w:r>
                <w:rPr>
                  <w:rFonts w:ascii="Arial" w:cs="Arial" w:eastAsia="Arial" w:hAnsi="Arial"/>
                  <w:sz w:val="18"/>
                  <w:szCs w:val="18"/>
                  <w:color w:val="0000FF"/>
                  <w:w w:val="90"/>
                </w:rPr>
                <w:t>the Registrant’s Registration Statement on Form S-1 (Reg. No. 333-2111555) filed on June 8, 2016)</w:t>
              </w:r>
            </w:hyperlink>
          </w:p>
        </w:tc>
        <w:tc>
          <w:tcPr>
            <w:tcW w:w="80" w:type="dxa"/>
            <w:vAlign w:val="bottom"/>
          </w:tcPr>
          <w:p>
            <w:pPr>
              <w:spacing w:after="0"/>
              <w:rPr>
                <w:sz w:val="17"/>
                <w:szCs w:val="17"/>
                <w:color w:val="auto"/>
              </w:rPr>
            </w:pPr>
          </w:p>
        </w:tc>
      </w:tr>
      <w:tr>
        <w:trPr>
          <w:trHeight w:val="480"/>
        </w:trPr>
        <w:tc>
          <w:tcPr>
            <w:tcW w:w="1500" w:type="dxa"/>
            <w:vAlign w:val="bottom"/>
          </w:tcPr>
          <w:p>
            <w:pPr>
              <w:ind w:left="40"/>
              <w:spacing w:after="0"/>
              <w:rPr>
                <w:sz w:val="20"/>
                <w:szCs w:val="20"/>
                <w:color w:val="auto"/>
              </w:rPr>
            </w:pPr>
            <w:r>
              <w:rPr>
                <w:rFonts w:ascii="Arial" w:cs="Arial" w:eastAsia="Arial" w:hAnsi="Arial"/>
                <w:sz w:val="18"/>
                <w:szCs w:val="18"/>
                <w:color w:val="auto"/>
              </w:rPr>
              <w:t>99.2</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80" w:type="dxa"/>
            <w:vAlign w:val="bottom"/>
            <w:gridSpan w:val="10"/>
          </w:tcPr>
          <w:p>
            <w:pPr>
              <w:spacing w:after="0"/>
              <w:rPr>
                <w:rFonts w:ascii="Arial" w:cs="Arial" w:eastAsia="Arial" w:hAnsi="Arial"/>
                <w:sz w:val="18"/>
                <w:szCs w:val="18"/>
                <w:color w:val="0000FF"/>
                <w:w w:val="91"/>
              </w:rPr>
            </w:pPr>
            <w:hyperlink r:id="rId11">
              <w:r>
                <w:rPr>
                  <w:rFonts w:ascii="Arial" w:cs="Arial" w:eastAsia="Arial" w:hAnsi="Arial"/>
                  <w:sz w:val="18"/>
                  <w:szCs w:val="18"/>
                  <w:color w:val="0000FF"/>
                  <w:w w:val="91"/>
                </w:rPr>
                <w:t>Selecta Biosciences, Inc. 2016 Employee Stock Purchase Plan (incorporated by reference to Exhibit</w:t>
              </w:r>
            </w:hyperlink>
          </w:p>
        </w:tc>
      </w:tr>
      <w:tr>
        <w:trPr>
          <w:trHeight w:val="196"/>
        </w:trPr>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11">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3</w:t>
              </w:r>
              <w:r>
                <w:rPr>
                  <w:rFonts w:ascii="Arial" w:cs="Arial" w:eastAsia="Arial" w:hAnsi="Arial"/>
                  <w:sz w:val="18"/>
                  <w:szCs w:val="18"/>
                  <w:color w:val="0000FF"/>
                  <w:w w:val="90"/>
                </w:rPr>
                <w:t xml:space="preserve"> to the Registrant’s Registration Statement on Form S-1 (Reg. No. 333-211555) filed on June 8,</w:t>
              </w:r>
            </w:hyperlink>
          </w:p>
        </w:tc>
        <w:tc>
          <w:tcPr>
            <w:tcW w:w="80" w:type="dxa"/>
            <w:vAlign w:val="bottom"/>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11">
              <w:r>
                <w:rPr>
                  <w:rFonts w:ascii="Arial" w:cs="Arial" w:eastAsia="Arial" w:hAnsi="Arial"/>
                  <w:sz w:val="18"/>
                  <w:szCs w:val="18"/>
                  <w:color w:val="0000FF"/>
                  <w:w w:val="86"/>
                </w:rPr>
                <w:t>2016)</w:t>
              </w:r>
            </w:hyperlink>
          </w:p>
        </w:tc>
        <w:tc>
          <w:tcPr>
            <w:tcW w:w="4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360"/>
          </w:cols>
          <w:pgMar w:left="240" w:top="580" w:right="29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Watertown, Commonwealth of Massachusetts, on this 3rd day of April, 2018.</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SELECTA BIOSCIENCES, INC.</w:t>
      </w:r>
    </w:p>
    <w:p>
      <w:pPr>
        <w:spacing w:after="0" w:line="391" w:lineRule="exact"/>
        <w:rPr>
          <w:sz w:val="20"/>
          <w:szCs w:val="20"/>
          <w:color w:val="auto"/>
        </w:rPr>
      </w:pPr>
    </w:p>
    <w:p>
      <w:pPr>
        <w:ind w:left="532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22466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Werner Cautreels, Ph.D.</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Chief Executive Officer and Director</w:t>
      </w:r>
    </w:p>
    <w:p>
      <w:pPr>
        <w:sectPr>
          <w:pgSz w:w="11900" w:h="16838" w:orient="portrait"/>
          <w:cols w:equalWidth="0" w:num="1">
            <w:col w:w="11380"/>
          </w:cols>
          <w:pgMar w:left="240" w:top="580" w:right="2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the undersigned officers and directors of Selecta Biosciences, Inc. (the "Company"), hereby severally constitute and appoint the Chief Executive Officer of the Company, who is currently Werner Cautreels, Ph.D., and the Chief Financial Officer of the Company, who is currently John Leaman, M.D.,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80" w:type="dxa"/>
            <w:vAlign w:val="bottom"/>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Title</w:t>
            </w:r>
          </w:p>
        </w:tc>
        <w:tc>
          <w:tcPr>
            <w:tcW w:w="2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3300" w:type="dxa"/>
            <w:vAlign w:val="bottom"/>
            <w:gridSpan w:val="3"/>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575"/>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89"/>
              </w:rPr>
              <w:t>/s/ Werner Cautreels, Ph.D.</w:t>
            </w:r>
          </w:p>
        </w:tc>
        <w:tc>
          <w:tcPr>
            <w:tcW w:w="4520" w:type="dxa"/>
            <w:vAlign w:val="bottom"/>
            <w:gridSpan w:val="3"/>
          </w:tcPr>
          <w:p>
            <w:pPr>
              <w:ind w:left="280"/>
              <w:spacing w:after="0"/>
              <w:rPr>
                <w:sz w:val="20"/>
                <w:szCs w:val="20"/>
                <w:color w:val="auto"/>
              </w:rPr>
            </w:pPr>
            <w:r>
              <w:rPr>
                <w:rFonts w:ascii="Arial" w:cs="Arial" w:eastAsia="Arial" w:hAnsi="Arial"/>
                <w:sz w:val="18"/>
                <w:szCs w:val="18"/>
                <w:color w:val="auto"/>
              </w:rPr>
              <w:t>President, Chief Executive Officer and Director</w:t>
            </w:r>
          </w:p>
        </w:tc>
        <w:tc>
          <w:tcPr>
            <w:tcW w:w="1120" w:type="dxa"/>
            <w:vAlign w:val="bottom"/>
            <w:gridSpan w:val="3"/>
          </w:tcPr>
          <w:p>
            <w:pPr>
              <w:jc w:val="center"/>
              <w:ind w:left="70"/>
              <w:spacing w:after="0"/>
              <w:rPr>
                <w:sz w:val="20"/>
                <w:szCs w:val="20"/>
                <w:color w:val="auto"/>
              </w:rPr>
            </w:pPr>
            <w:r>
              <w:rPr>
                <w:rFonts w:ascii="Arial" w:cs="Arial" w:eastAsia="Arial" w:hAnsi="Arial"/>
                <w:sz w:val="18"/>
                <w:szCs w:val="18"/>
                <w:color w:val="auto"/>
                <w:w w:val="94"/>
              </w:rPr>
              <w:t>April 3, 2018</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89"/>
              </w:rPr>
              <w:t>Werner Cautreels, Ph.D.</w:t>
            </w:r>
          </w:p>
        </w:tc>
        <w:tc>
          <w:tcPr>
            <w:tcW w:w="4520" w:type="dxa"/>
            <w:vAlign w:val="bottom"/>
            <w:gridSpan w:val="3"/>
          </w:tcPr>
          <w:p>
            <w:pPr>
              <w:ind w:left="280"/>
              <w:spacing w:after="0"/>
              <w:rPr>
                <w:sz w:val="20"/>
                <w:szCs w:val="20"/>
                <w:color w:val="auto"/>
              </w:rPr>
            </w:pPr>
            <w:r>
              <w:rPr>
                <w:rFonts w:ascii="Arial" w:cs="Arial" w:eastAsia="Arial" w:hAnsi="Arial"/>
                <w:sz w:val="18"/>
                <w:szCs w:val="18"/>
                <w:color w:val="auto"/>
              </w:rPr>
              <w:t>(Principal Executive Officer)</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580"/>
        </w:trPr>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520" w:type="dxa"/>
            <w:vAlign w:val="bottom"/>
            <w:gridSpan w:val="3"/>
          </w:tcPr>
          <w:p>
            <w:pPr>
              <w:ind w:left="280"/>
              <w:spacing w:after="0"/>
              <w:rPr>
                <w:sz w:val="20"/>
                <w:szCs w:val="20"/>
                <w:color w:val="auto"/>
              </w:rPr>
            </w:pPr>
            <w:r>
              <w:rPr>
                <w:rFonts w:ascii="Arial" w:cs="Arial" w:eastAsia="Arial" w:hAnsi="Arial"/>
                <w:sz w:val="18"/>
                <w:szCs w:val="18"/>
                <w:color w:val="auto"/>
                <w:w w:val="94"/>
              </w:rPr>
              <w:t>Chief Financial Officer, Head of Corporate Strategy, and</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0"/>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0"/>
              </w:rPr>
              <w:t>/s/ John Leaman, M.D.</w:t>
            </w:r>
          </w:p>
        </w:tc>
        <w:tc>
          <w:tcPr>
            <w:tcW w:w="4520" w:type="dxa"/>
            <w:vAlign w:val="bottom"/>
            <w:gridSpan w:val="3"/>
          </w:tcPr>
          <w:p>
            <w:pPr>
              <w:ind w:left="280"/>
              <w:spacing w:after="0"/>
              <w:rPr>
                <w:sz w:val="20"/>
                <w:szCs w:val="20"/>
                <w:color w:val="auto"/>
              </w:rPr>
            </w:pPr>
            <w:r>
              <w:rPr>
                <w:rFonts w:ascii="Arial" w:cs="Arial" w:eastAsia="Arial" w:hAnsi="Arial"/>
                <w:sz w:val="18"/>
                <w:szCs w:val="18"/>
                <w:color w:val="auto"/>
              </w:rPr>
              <w:t>Treasurer</w:t>
            </w:r>
          </w:p>
        </w:tc>
        <w:tc>
          <w:tcPr>
            <w:tcW w:w="1120" w:type="dxa"/>
            <w:vAlign w:val="bottom"/>
            <w:gridSpan w:val="3"/>
          </w:tcPr>
          <w:p>
            <w:pPr>
              <w:jc w:val="center"/>
              <w:ind w:left="70"/>
              <w:spacing w:after="0"/>
              <w:rPr>
                <w:sz w:val="20"/>
                <w:szCs w:val="20"/>
                <w:color w:val="auto"/>
              </w:rPr>
            </w:pPr>
            <w:r>
              <w:rPr>
                <w:rFonts w:ascii="Arial" w:cs="Arial" w:eastAsia="Arial" w:hAnsi="Arial"/>
                <w:sz w:val="18"/>
                <w:szCs w:val="18"/>
                <w:color w:val="auto"/>
                <w:w w:val="94"/>
              </w:rPr>
              <w:t>April 3, 2018</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1"/>
              </w:rPr>
              <w:t>John Leaman, M.D.</w:t>
            </w:r>
          </w:p>
        </w:tc>
        <w:tc>
          <w:tcPr>
            <w:tcW w:w="4520" w:type="dxa"/>
            <w:vAlign w:val="bottom"/>
            <w:gridSpan w:val="3"/>
          </w:tcPr>
          <w:p>
            <w:pPr>
              <w:ind w:left="280"/>
              <w:spacing w:after="0"/>
              <w:rPr>
                <w:sz w:val="20"/>
                <w:szCs w:val="20"/>
                <w:color w:val="auto"/>
              </w:rPr>
            </w:pPr>
            <w:r>
              <w:rPr>
                <w:rFonts w:ascii="Arial" w:cs="Arial" w:eastAsia="Arial" w:hAnsi="Arial"/>
                <w:sz w:val="18"/>
                <w:szCs w:val="18"/>
                <w:color w:val="auto"/>
              </w:rPr>
              <w:t>(Principal Financial and Accounting Officer)</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1"/>
              </w:rPr>
              <w:t>/s/ Timothy C. Barabe</w:t>
            </w:r>
          </w:p>
        </w:tc>
        <w:tc>
          <w:tcPr>
            <w:tcW w:w="45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120" w:type="dxa"/>
            <w:vAlign w:val="bottom"/>
            <w:gridSpan w:val="3"/>
          </w:tcPr>
          <w:p>
            <w:pPr>
              <w:jc w:val="center"/>
              <w:ind w:left="70"/>
              <w:spacing w:after="0"/>
              <w:rPr>
                <w:sz w:val="20"/>
                <w:szCs w:val="20"/>
                <w:color w:val="auto"/>
              </w:rPr>
            </w:pPr>
            <w:r>
              <w:rPr>
                <w:rFonts w:ascii="Arial" w:cs="Arial" w:eastAsia="Arial" w:hAnsi="Arial"/>
                <w:sz w:val="18"/>
                <w:szCs w:val="18"/>
                <w:color w:val="auto"/>
                <w:w w:val="94"/>
              </w:rPr>
              <w:t>April 3, 2018</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1"/>
              </w:rPr>
              <w:t>Timothy C. Barabe</w:t>
            </w:r>
          </w:p>
        </w:tc>
        <w:tc>
          <w:tcPr>
            <w:tcW w:w="2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2"/>
              </w:rPr>
              <w:t>/s/ Omid Farokhzad, M.D.</w:t>
            </w:r>
          </w:p>
        </w:tc>
        <w:tc>
          <w:tcPr>
            <w:tcW w:w="45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120" w:type="dxa"/>
            <w:vAlign w:val="bottom"/>
            <w:gridSpan w:val="3"/>
          </w:tcPr>
          <w:p>
            <w:pPr>
              <w:jc w:val="center"/>
              <w:ind w:left="70"/>
              <w:spacing w:after="0"/>
              <w:rPr>
                <w:sz w:val="20"/>
                <w:szCs w:val="20"/>
                <w:color w:val="auto"/>
              </w:rPr>
            </w:pPr>
            <w:r>
              <w:rPr>
                <w:rFonts w:ascii="Arial" w:cs="Arial" w:eastAsia="Arial" w:hAnsi="Arial"/>
                <w:sz w:val="18"/>
                <w:szCs w:val="18"/>
                <w:color w:val="auto"/>
                <w:w w:val="94"/>
              </w:rPr>
              <w:t>April 3, 2018</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2"/>
              </w:rPr>
              <w:t>Omid Farokhzad, M.D.</w:t>
            </w:r>
          </w:p>
        </w:tc>
        <w:tc>
          <w:tcPr>
            <w:tcW w:w="2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0"/>
              </w:rPr>
              <w:t>/s/ Peter Barton Hutt</w:t>
            </w:r>
          </w:p>
        </w:tc>
        <w:tc>
          <w:tcPr>
            <w:tcW w:w="45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120" w:type="dxa"/>
            <w:vAlign w:val="bottom"/>
            <w:gridSpan w:val="3"/>
          </w:tcPr>
          <w:p>
            <w:pPr>
              <w:jc w:val="center"/>
              <w:ind w:left="70"/>
              <w:spacing w:after="0"/>
              <w:rPr>
                <w:sz w:val="20"/>
                <w:szCs w:val="20"/>
                <w:color w:val="auto"/>
              </w:rPr>
            </w:pPr>
            <w:r>
              <w:rPr>
                <w:rFonts w:ascii="Arial" w:cs="Arial" w:eastAsia="Arial" w:hAnsi="Arial"/>
                <w:sz w:val="18"/>
                <w:szCs w:val="18"/>
                <w:color w:val="auto"/>
                <w:w w:val="94"/>
              </w:rPr>
              <w:t>April 3, 2018</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2"/>
              </w:rPr>
              <w:t>Peter Barton Hutt</w:t>
            </w:r>
          </w:p>
        </w:tc>
        <w:tc>
          <w:tcPr>
            <w:tcW w:w="2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2"/>
              </w:rPr>
              <w:t>/s/ Amir Nashat, Ph.D</w:t>
            </w:r>
          </w:p>
        </w:tc>
        <w:tc>
          <w:tcPr>
            <w:tcW w:w="45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120" w:type="dxa"/>
            <w:vAlign w:val="bottom"/>
            <w:gridSpan w:val="3"/>
          </w:tcPr>
          <w:p>
            <w:pPr>
              <w:jc w:val="center"/>
              <w:ind w:left="70"/>
              <w:spacing w:after="0"/>
              <w:rPr>
                <w:sz w:val="20"/>
                <w:szCs w:val="20"/>
                <w:color w:val="auto"/>
              </w:rPr>
            </w:pPr>
            <w:r>
              <w:rPr>
                <w:rFonts w:ascii="Arial" w:cs="Arial" w:eastAsia="Arial" w:hAnsi="Arial"/>
                <w:sz w:val="18"/>
                <w:szCs w:val="18"/>
                <w:color w:val="auto"/>
                <w:w w:val="94"/>
              </w:rPr>
              <w:t>April 3, 2018</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2"/>
              </w:rPr>
              <w:t>Amir Nashat, Ph.D</w:t>
            </w:r>
          </w:p>
        </w:tc>
        <w:tc>
          <w:tcPr>
            <w:tcW w:w="2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4"/>
              </w:rPr>
              <w:t>/s/ Aymeric Sallin</w:t>
            </w:r>
          </w:p>
        </w:tc>
        <w:tc>
          <w:tcPr>
            <w:tcW w:w="45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120" w:type="dxa"/>
            <w:vAlign w:val="bottom"/>
            <w:gridSpan w:val="3"/>
          </w:tcPr>
          <w:p>
            <w:pPr>
              <w:jc w:val="center"/>
              <w:ind w:left="70"/>
              <w:spacing w:after="0"/>
              <w:rPr>
                <w:sz w:val="20"/>
                <w:szCs w:val="20"/>
                <w:color w:val="auto"/>
              </w:rPr>
            </w:pPr>
            <w:r>
              <w:rPr>
                <w:rFonts w:ascii="Arial" w:cs="Arial" w:eastAsia="Arial" w:hAnsi="Arial"/>
                <w:sz w:val="18"/>
                <w:szCs w:val="18"/>
                <w:color w:val="auto"/>
                <w:w w:val="94"/>
              </w:rPr>
              <w:t>April 3, 2018</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4"/>
              </w:rPr>
              <w:t>Aymeric Sallin</w:t>
            </w:r>
          </w:p>
        </w:tc>
        <w:tc>
          <w:tcPr>
            <w:tcW w:w="2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1"/>
              </w:rPr>
              <w:t>/s/ Timothy Springer, Ph.D.</w:t>
            </w:r>
          </w:p>
        </w:tc>
        <w:tc>
          <w:tcPr>
            <w:tcW w:w="45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120" w:type="dxa"/>
            <w:vAlign w:val="bottom"/>
            <w:gridSpan w:val="3"/>
          </w:tcPr>
          <w:p>
            <w:pPr>
              <w:jc w:val="center"/>
              <w:ind w:left="70"/>
              <w:spacing w:after="0"/>
              <w:rPr>
                <w:sz w:val="20"/>
                <w:szCs w:val="20"/>
                <w:color w:val="auto"/>
              </w:rPr>
            </w:pPr>
            <w:r>
              <w:rPr>
                <w:rFonts w:ascii="Arial" w:cs="Arial" w:eastAsia="Arial" w:hAnsi="Arial"/>
                <w:sz w:val="18"/>
                <w:szCs w:val="18"/>
                <w:color w:val="auto"/>
                <w:w w:val="94"/>
              </w:rPr>
              <w:t>April 3, 2018</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1"/>
              </w:rPr>
              <w:t>Timothy Springer, Ph.D.</w:t>
            </w:r>
          </w:p>
        </w:tc>
        <w:tc>
          <w:tcPr>
            <w:tcW w:w="2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0"/>
              </w:rPr>
              <w:t>/s/ Patrick Zenner</w:t>
            </w:r>
          </w:p>
        </w:tc>
        <w:tc>
          <w:tcPr>
            <w:tcW w:w="45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120" w:type="dxa"/>
            <w:vAlign w:val="bottom"/>
            <w:gridSpan w:val="3"/>
          </w:tcPr>
          <w:p>
            <w:pPr>
              <w:jc w:val="center"/>
              <w:ind w:left="70"/>
              <w:spacing w:after="0"/>
              <w:rPr>
                <w:sz w:val="20"/>
                <w:szCs w:val="20"/>
                <w:color w:val="auto"/>
              </w:rPr>
            </w:pPr>
            <w:r>
              <w:rPr>
                <w:rFonts w:ascii="Arial" w:cs="Arial" w:eastAsia="Arial" w:hAnsi="Arial"/>
                <w:sz w:val="18"/>
                <w:szCs w:val="18"/>
                <w:color w:val="auto"/>
                <w:w w:val="94"/>
              </w:rPr>
              <w:t>April 3, 2018</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0"/>
              </w:rPr>
              <w:t>Patrick Zenner</w:t>
            </w:r>
          </w:p>
        </w:tc>
        <w:tc>
          <w:tcPr>
            <w:tcW w:w="2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r>
    </w:tbl>
    <w:p>
      <w:pPr>
        <w:sectPr>
          <w:pgSz w:w="11900" w:h="16838" w:orient="portrait"/>
          <w:cols w:equalWidth="0" w:num="1">
            <w:col w:w="11400"/>
          </w:cols>
          <w:pgMar w:left="240" w:top="580" w:right="2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1804035</wp:posOffset>
            </wp:positionV>
            <wp:extent cx="2332355"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33235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April 3,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Selecta Biosciences, Inc.</w:t>
      </w:r>
    </w:p>
    <w:p>
      <w:pPr>
        <w:spacing w:after="0" w:line="8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480 Arsenal Way</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Watertown, MA 02139</w:t>
      </w:r>
    </w:p>
    <w:p>
      <w:pPr>
        <w:spacing w:after="0" w:line="20" w:lineRule="exact"/>
        <w:rPr>
          <w:sz w:val="20"/>
          <w:szCs w:val="20"/>
          <w:color w:val="auto"/>
        </w:rPr>
      </w:pPr>
      <w:r>
        <w:rPr>
          <w:sz w:val="20"/>
          <w:szCs w:val="20"/>
          <w:color w:val="auto"/>
        </w:rPr>
        <w:br w:type="column"/>
      </w:r>
    </w:p>
    <w:p>
      <w:pPr>
        <w:jc w:val="right"/>
        <w:ind w:right="1180"/>
        <w:spacing w:after="0"/>
        <w:rPr>
          <w:sz w:val="20"/>
          <w:szCs w:val="20"/>
          <w:color w:val="auto"/>
        </w:rPr>
      </w:pPr>
      <w:r>
        <w:rPr>
          <w:rFonts w:ascii="Arial" w:cs="Arial" w:eastAsia="Arial" w:hAnsi="Arial"/>
          <w:sz w:val="18"/>
          <w:szCs w:val="18"/>
          <w:b w:val="1"/>
          <w:bCs w:val="1"/>
          <w:color w:val="auto"/>
        </w:rPr>
        <w:t>Exhibit 5.1</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200 Clarendon Street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Boston, Massachusetts 02116</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Tel: +1.617.948.6000 Fax: +1.617.948.6001</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www.lw.com</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FIRM / AFFILIATE OFFICES</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Beijing</w:t>
      </w:r>
      <w:r>
        <w:rPr>
          <w:sz w:val="20"/>
          <w:szCs w:val="20"/>
          <w:color w:val="auto"/>
        </w:rPr>
        <w:tab/>
      </w:r>
      <w:r>
        <w:rPr>
          <w:rFonts w:ascii="Arial" w:cs="Arial" w:eastAsia="Arial" w:hAnsi="Arial"/>
          <w:sz w:val="14"/>
          <w:szCs w:val="14"/>
          <w:color w:val="auto"/>
        </w:rPr>
        <w:t>Moscow</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Boston</w:t>
      </w:r>
      <w:r>
        <w:rPr>
          <w:sz w:val="20"/>
          <w:szCs w:val="20"/>
          <w:color w:val="auto"/>
        </w:rPr>
        <w:tab/>
      </w:r>
      <w:r>
        <w:rPr>
          <w:rFonts w:ascii="Arial" w:cs="Arial" w:eastAsia="Arial" w:hAnsi="Arial"/>
          <w:sz w:val="14"/>
          <w:szCs w:val="14"/>
          <w:color w:val="auto"/>
        </w:rPr>
        <w:t>Munich</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Brussels</w:t>
      </w:r>
      <w:r>
        <w:rPr>
          <w:sz w:val="20"/>
          <w:szCs w:val="20"/>
          <w:color w:val="auto"/>
        </w:rPr>
        <w:tab/>
      </w:r>
      <w:r>
        <w:rPr>
          <w:rFonts w:ascii="Arial" w:cs="Arial" w:eastAsia="Arial" w:hAnsi="Arial"/>
          <w:sz w:val="14"/>
          <w:szCs w:val="14"/>
          <w:color w:val="auto"/>
        </w:rPr>
        <w:t>New York</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Century City</w:t>
      </w:r>
      <w:r>
        <w:rPr>
          <w:sz w:val="20"/>
          <w:szCs w:val="20"/>
          <w:color w:val="auto"/>
        </w:rPr>
        <w:tab/>
      </w:r>
      <w:r>
        <w:rPr>
          <w:rFonts w:ascii="Arial" w:cs="Arial" w:eastAsia="Arial" w:hAnsi="Arial"/>
          <w:sz w:val="12"/>
          <w:szCs w:val="12"/>
          <w:color w:val="auto"/>
        </w:rPr>
        <w:t>Orange County</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Chicago</w:t>
      </w:r>
      <w:r>
        <w:rPr>
          <w:sz w:val="20"/>
          <w:szCs w:val="20"/>
          <w:color w:val="auto"/>
        </w:rPr>
        <w:tab/>
      </w:r>
      <w:r>
        <w:rPr>
          <w:rFonts w:ascii="Arial" w:cs="Arial" w:eastAsia="Arial" w:hAnsi="Arial"/>
          <w:sz w:val="14"/>
          <w:szCs w:val="14"/>
          <w:color w:val="auto"/>
        </w:rPr>
        <w:t>Paris</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Dubai</w:t>
      </w:r>
      <w:r>
        <w:rPr>
          <w:sz w:val="20"/>
          <w:szCs w:val="20"/>
          <w:color w:val="auto"/>
        </w:rPr>
        <w:tab/>
      </w:r>
      <w:r>
        <w:rPr>
          <w:rFonts w:ascii="Arial" w:cs="Arial" w:eastAsia="Arial" w:hAnsi="Arial"/>
          <w:sz w:val="14"/>
          <w:szCs w:val="14"/>
          <w:color w:val="auto"/>
        </w:rPr>
        <w:t>Riyadh</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Dusseldorf</w:t>
      </w:r>
      <w:r>
        <w:rPr>
          <w:sz w:val="20"/>
          <w:szCs w:val="20"/>
          <w:color w:val="auto"/>
        </w:rPr>
        <w:tab/>
      </w:r>
      <w:r>
        <w:rPr>
          <w:rFonts w:ascii="Arial" w:cs="Arial" w:eastAsia="Arial" w:hAnsi="Arial"/>
          <w:sz w:val="14"/>
          <w:szCs w:val="14"/>
          <w:color w:val="auto"/>
        </w:rPr>
        <w:t>Rome</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Franfurt</w:t>
      </w:r>
      <w:r>
        <w:rPr>
          <w:sz w:val="20"/>
          <w:szCs w:val="20"/>
          <w:color w:val="auto"/>
        </w:rPr>
        <w:tab/>
      </w:r>
      <w:r>
        <w:rPr>
          <w:rFonts w:ascii="Arial" w:cs="Arial" w:eastAsia="Arial" w:hAnsi="Arial"/>
          <w:sz w:val="14"/>
          <w:szCs w:val="14"/>
          <w:color w:val="auto"/>
        </w:rPr>
        <w:t>San Diego</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Hamburg</w:t>
      </w:r>
      <w:r>
        <w:rPr>
          <w:sz w:val="20"/>
          <w:szCs w:val="20"/>
          <w:color w:val="auto"/>
        </w:rPr>
        <w:tab/>
      </w:r>
      <w:r>
        <w:rPr>
          <w:rFonts w:ascii="Arial" w:cs="Arial" w:eastAsia="Arial" w:hAnsi="Arial"/>
          <w:sz w:val="14"/>
          <w:szCs w:val="14"/>
          <w:color w:val="auto"/>
        </w:rPr>
        <w:t>San Francisco</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Hong Kong</w:t>
      </w:r>
      <w:r>
        <w:rPr>
          <w:sz w:val="20"/>
          <w:szCs w:val="20"/>
          <w:color w:val="auto"/>
        </w:rPr>
        <w:tab/>
      </w:r>
      <w:r>
        <w:rPr>
          <w:rFonts w:ascii="Arial" w:cs="Arial" w:eastAsia="Arial" w:hAnsi="Arial"/>
          <w:sz w:val="13"/>
          <w:szCs w:val="13"/>
          <w:color w:val="auto"/>
        </w:rPr>
        <w:t>Seoul</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Houston</w:t>
      </w:r>
      <w:r>
        <w:rPr>
          <w:sz w:val="20"/>
          <w:szCs w:val="20"/>
          <w:color w:val="auto"/>
        </w:rPr>
        <w:tab/>
      </w:r>
      <w:r>
        <w:rPr>
          <w:rFonts w:ascii="Arial" w:cs="Arial" w:eastAsia="Arial" w:hAnsi="Arial"/>
          <w:sz w:val="14"/>
          <w:szCs w:val="14"/>
          <w:color w:val="auto"/>
        </w:rPr>
        <w:t>Shanghai</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London</w:t>
      </w:r>
      <w:r>
        <w:rPr>
          <w:sz w:val="20"/>
          <w:szCs w:val="20"/>
          <w:color w:val="auto"/>
        </w:rPr>
        <w:tab/>
      </w:r>
      <w:r>
        <w:rPr>
          <w:rFonts w:ascii="Arial" w:cs="Arial" w:eastAsia="Arial" w:hAnsi="Arial"/>
          <w:sz w:val="14"/>
          <w:szCs w:val="14"/>
          <w:color w:val="auto"/>
        </w:rPr>
        <w:t>Silicon Valley</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Los Angeles</w:t>
      </w:r>
      <w:r>
        <w:rPr>
          <w:sz w:val="20"/>
          <w:szCs w:val="20"/>
          <w:color w:val="auto"/>
        </w:rPr>
        <w:tab/>
      </w:r>
      <w:r>
        <w:rPr>
          <w:rFonts w:ascii="Arial" w:cs="Arial" w:eastAsia="Arial" w:hAnsi="Arial"/>
          <w:sz w:val="12"/>
          <w:szCs w:val="12"/>
          <w:color w:val="auto"/>
        </w:rPr>
        <w:t>Singapore</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Madrid</w:t>
      </w:r>
      <w:r>
        <w:rPr>
          <w:sz w:val="20"/>
          <w:szCs w:val="20"/>
          <w:color w:val="auto"/>
        </w:rPr>
        <w:tab/>
      </w:r>
      <w:r>
        <w:rPr>
          <w:rFonts w:ascii="Arial" w:cs="Arial" w:eastAsia="Arial" w:hAnsi="Arial"/>
          <w:sz w:val="14"/>
          <w:szCs w:val="14"/>
          <w:color w:val="auto"/>
        </w:rPr>
        <w:t>Tokyo</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Milan</w:t>
      </w:r>
      <w:r>
        <w:rPr>
          <w:sz w:val="20"/>
          <w:szCs w:val="20"/>
          <w:color w:val="auto"/>
        </w:rPr>
        <w:tab/>
      </w:r>
      <w:r>
        <w:rPr>
          <w:rFonts w:ascii="Arial" w:cs="Arial" w:eastAsia="Arial" w:hAnsi="Arial"/>
          <w:sz w:val="14"/>
          <w:szCs w:val="14"/>
          <w:color w:val="auto"/>
        </w:rPr>
        <w:t>Washington, D.C.</w:t>
      </w:r>
    </w:p>
    <w:p>
      <w:pPr>
        <w:spacing w:after="0" w:line="379" w:lineRule="exact"/>
        <w:rPr>
          <w:sz w:val="20"/>
          <w:szCs w:val="20"/>
          <w:color w:val="auto"/>
        </w:rPr>
      </w:pPr>
    </w:p>
    <w:p>
      <w:pPr>
        <w:jc w:val="center"/>
        <w:ind w:right="3440"/>
        <w:spacing w:after="0"/>
        <w:rPr>
          <w:sz w:val="20"/>
          <w:szCs w:val="20"/>
          <w:color w:val="auto"/>
        </w:rPr>
      </w:pPr>
      <w:r>
        <w:rPr>
          <w:rFonts w:ascii="Arial" w:cs="Arial" w:eastAsia="Arial" w:hAnsi="Arial"/>
          <w:sz w:val="13"/>
          <w:szCs w:val="13"/>
          <w:color w:val="auto"/>
        </w:rPr>
        <w:t>File No. 049821-0014</w:t>
      </w:r>
    </w:p>
    <w:p>
      <w:pPr>
        <w:spacing w:after="0" w:line="200" w:lineRule="exact"/>
        <w:rPr>
          <w:sz w:val="20"/>
          <w:szCs w:val="20"/>
          <w:color w:val="auto"/>
        </w:rPr>
      </w:pPr>
    </w:p>
    <w:p>
      <w:pPr>
        <w:sectPr>
          <w:pgSz w:w="11900" w:h="16838" w:orient="portrait"/>
          <w:cols w:equalWidth="0" w:num="2">
            <w:col w:w="5980" w:space="720"/>
            <w:col w:w="4720"/>
          </w:cols>
          <w:pgMar w:left="240" w:top="742" w:right="239" w:bottom="1440" w:gutter="0" w:footer="0" w:header="0"/>
        </w:sectPr>
      </w:pPr>
    </w:p>
    <w:p>
      <w:pPr>
        <w:spacing w:after="0" w:line="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Registration Statement on Form S-8; 2,039,098 shares of Selecta Biosciences, Inc. Common Stock, $0.0001 par value per share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acted as special counsel to Selecta Biosciences,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preparation and filing by the Company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of a registration statement on Form S-8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relating to the issuance by the Company of up to 2,039,098 shares of common stock of the Company, $0.0001 par value per share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issuable under the Selecta Biosciences, Inc. 2016 Incentive Award Plan (the “</w:t>
      </w:r>
      <w:r>
        <w:rPr>
          <w:rFonts w:ascii="Arial" w:cs="Arial" w:eastAsia="Arial" w:hAnsi="Arial"/>
          <w:sz w:val="16"/>
          <w:szCs w:val="16"/>
          <w:b w:val="1"/>
          <w:bCs w:val="1"/>
          <w:i w:val="1"/>
          <w:iCs w:val="1"/>
          <w:color w:val="auto"/>
        </w:rPr>
        <w:t>2016 Plan</w:t>
      </w:r>
      <w:r>
        <w:rPr>
          <w:rFonts w:ascii="Arial" w:cs="Arial" w:eastAsia="Arial" w:hAnsi="Arial"/>
          <w:sz w:val="16"/>
          <w:szCs w:val="16"/>
          <w:color w:val="auto"/>
        </w:rPr>
        <w:t>”) and the Selecta Biosciences, Inc. 2016 Employee Stock Purchase Plan (the “</w:t>
      </w:r>
      <w:r>
        <w:rPr>
          <w:rFonts w:ascii="Arial" w:cs="Arial" w:eastAsia="Arial" w:hAnsi="Arial"/>
          <w:sz w:val="16"/>
          <w:szCs w:val="16"/>
          <w:b w:val="1"/>
          <w:bCs w:val="1"/>
          <w:i w:val="1"/>
          <w:iCs w:val="1"/>
          <w:color w:val="auto"/>
        </w:rPr>
        <w:t>2016 ESPP</w:t>
      </w:r>
      <w:r>
        <w:rPr>
          <w:rFonts w:ascii="Arial" w:cs="Arial" w:eastAsia="Arial" w:hAnsi="Arial"/>
          <w:sz w:val="16"/>
          <w:szCs w:val="16"/>
          <w:color w:val="auto"/>
        </w:rPr>
        <w:t>” and, together with the 2016 Plan, the “</w:t>
      </w:r>
      <w:r>
        <w:rPr>
          <w:rFonts w:ascii="Arial" w:cs="Arial" w:eastAsia="Arial" w:hAnsi="Arial"/>
          <w:sz w:val="16"/>
          <w:szCs w:val="16"/>
          <w:b w:val="1"/>
          <w:bCs w:val="1"/>
          <w:i w:val="1"/>
          <w:iCs w:val="1"/>
          <w:color w:val="auto"/>
        </w:rPr>
        <w:t>Plans</w:t>
      </w:r>
      <w:r>
        <w:rPr>
          <w:rFonts w:ascii="Arial" w:cs="Arial" w:eastAsia="Arial" w:hAnsi="Arial"/>
          <w:sz w:val="16"/>
          <w:szCs w:val="16"/>
          <w:color w:val="auto"/>
        </w:rPr>
        <w:t>”). This opinion is being furnished in connection with the requirements of Item 601(b)(5) of Regulation S-K under the Act, and no opinion is expressed herein as to any matter pertaining to the contents of the Registration Statement or the prospectus forming a part thereof, other than as expressly stated herein with respect to the issue of the Shares.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we express no opinion with respect to any other laws.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for legal consideration in excess of par value in the circumstances contemplated by the Plans, assuming in each case that the individual grants or awards under the Plans are duly authorized by all necessary corporate action and duly granted or awarded and exercised in accordance with the requirements of law and the Plans (and the agreements and awards duly adopted thereunder and in accordance therewith), the issue and sale of the Shares will have been duly authorized by</w:t>
      </w:r>
    </w:p>
    <w:p>
      <w:pPr>
        <w:sectPr>
          <w:pgSz w:w="11900" w:h="16838" w:orient="portrait"/>
          <w:cols w:equalWidth="0" w:num="1">
            <w:col w:w="11420"/>
          </w:cols>
          <w:pgMar w:left="240" w:top="742" w:right="239" w:bottom="1440" w:gutter="0" w:footer="0" w:header="0"/>
          <w:type w:val="continuous"/>
        </w:sectPr>
      </w:pPr>
    </w:p>
    <w:bookmarkStart w:id="6" w:name="page7"/>
    <w:bookmarkEnd w:id="6"/>
    <w:p>
      <w:pPr>
        <w:jc w:val="both"/>
        <w:spacing w:after="0" w:line="308" w:lineRule="auto"/>
        <w:rPr>
          <w:sz w:val="20"/>
          <w:szCs w:val="20"/>
          <w:color w:val="auto"/>
        </w:rPr>
      </w:pPr>
      <w:r>
        <w:rPr>
          <w:rFonts w:ascii="Arial" w:cs="Arial" w:eastAsia="Arial" w:hAnsi="Arial"/>
          <w:sz w:val="17"/>
          <w:szCs w:val="17"/>
          <w:color w:val="auto"/>
        </w:rPr>
        <w:t>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Latham and Watkins LLP</w:t>
      </w:r>
    </w:p>
    <w:p>
      <w:pPr>
        <w:sectPr>
          <w:pgSz w:w="11900" w:h="16838" w:orient="portrait"/>
          <w:cols w:equalWidth="0" w:num="1">
            <w:col w:w="11420"/>
          </w:cols>
          <w:pgMar w:left="240" w:top="584"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on Form S-8 for the registration of 2,039,098 shares of its common stock pertaining to the 2016 Incentive Award Plan and the 2016 Employee Stock Purchase Plan of Selecta Biosciences, Inc. and subsidiaries of our report dated March 15, 2018 with respect to the consolidated financial statements of Selecta Biosciences, Inc. and subsidiaries included in its Annual Report (Form 10-K) for the year ended December 31, 2017, filed with the Securities and Exchange Commission.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jpeg"/><Relationship Id="rId10" Type="http://schemas.openxmlformats.org/officeDocument/2006/relationships/hyperlink" Target="http://www.sec.gov/Archives/edgar/data/1453687/000110465916129891/a16-14002_18k.htm" TargetMode="External"/><Relationship Id="rId11" Type="http://schemas.openxmlformats.org/officeDocument/2006/relationships/hyperlink" Target="http://www.sec.gov/Archives/edgar/data/1453687/000104746916013718/a2228810zs-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2019-12-07T14:43:52Z</dcterms:created>
  <dcterms:modified xsi:type="dcterms:W3CDTF">2019-12-07T14:43:52Z</dcterms:modified>
</cp:coreProperties>
</file>