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III LLC</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firstLine="63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w w:val="91"/>
              </w:rPr>
              <w:t>CUSIP No. 816212104</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3100" w:type="dxa"/>
            <w:vAlign w:val="bottom"/>
            <w:tcBorders>
              <w:bottom w:val="single" w:sz="8" w:color="auto"/>
            </w:tcBorders>
            <w:gridSpan w:val="5"/>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2280" w:type="dxa"/>
            <w:vAlign w:val="bottom"/>
            <w:gridSpan w:val="4"/>
          </w:tcPr>
          <w:p>
            <w:pPr>
              <w:ind w:left="60"/>
              <w:spacing w:after="0"/>
              <w:rPr>
                <w:sz w:val="20"/>
                <w:szCs w:val="20"/>
                <w:color w:val="auto"/>
              </w:rPr>
            </w:pPr>
            <w:r>
              <w:rPr>
                <w:rFonts w:ascii="Arial" w:cs="Arial" w:eastAsia="Arial" w:hAnsi="Arial"/>
                <w:sz w:val="18"/>
                <w:szCs w:val="18"/>
                <w:color w:val="auto"/>
              </w:rPr>
              <w:t>OrbiMed Advisors LLC</w:t>
            </w: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3"/>
              </w:rPr>
              <w:t>SOURCE OF FUNDS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9780" w:type="dxa"/>
            <w:vAlign w:val="bottom"/>
            <w:tcBorders>
              <w:bottom w:val="single" w:sz="8" w:color="auto"/>
              <w:right w:val="single" w:sz="8" w:color="auto"/>
            </w:tcBorders>
            <w:gridSpan w:val="6"/>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Delaware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1,849,371 (1)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BENEFICIALLY OWNED</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50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40" w:type="dxa"/>
            <w:vAlign w:val="bottom"/>
            <w:tcBorders>
              <w:left w:val="single" w:sz="8" w:color="auto"/>
              <w:right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32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6"/>
              </w:rPr>
              <w:t>PERSON WITH</w:t>
            </w: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500" w:type="dxa"/>
            <w:vAlign w:val="bottom"/>
            <w:tcBorders>
              <w:right w:val="single" w:sz="8" w:color="auto"/>
            </w:tcBorders>
            <w:gridSpan w:val="2"/>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tcBorders>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1,849,371</w:t>
            </w:r>
          </w:p>
        </w:tc>
        <w:tc>
          <w:tcPr>
            <w:tcW w:w="6680" w:type="dxa"/>
            <w:vAlign w:val="bottom"/>
            <w:tcBorders>
              <w:right w:val="single" w:sz="8" w:color="auto"/>
            </w:tcBorders>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4"/>
              </w:rPr>
              <w:t>1,849,371</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7500" w:type="dxa"/>
            <w:vAlign w:val="bottom"/>
            <w:tcBorders>
              <w:bottom w:val="single" w:sz="8" w:color="auto"/>
              <w:right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8.28%(2)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8"/>
        <w:spacing w:after="0" w:line="277" w:lineRule="auto"/>
        <w:tabs>
          <w:tab w:leader="none" w:pos="29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 1,842,797 outstanding shares of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(ii) 6,574 Shares issuable upon the exercise of warrants to purchase shares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8"/>
        <w:spacing w:after="0" w:line="277" w:lineRule="auto"/>
        <w:tabs>
          <w:tab w:leader="none" w:pos="26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percentage is calculated based upon 22,336,576 outstanding Shares, as set forth in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7, 2017, and includes 6,574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18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w w:val="91"/>
              </w:rPr>
              <w:t>CUSIP No. 816212104</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3100" w:type="dxa"/>
            <w:vAlign w:val="bottom"/>
            <w:tcBorders>
              <w:bottom w:val="single" w:sz="8" w:color="auto"/>
            </w:tcBorders>
            <w:gridSpan w:val="5"/>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2280" w:type="dxa"/>
            <w:vAlign w:val="bottom"/>
            <w:gridSpan w:val="4"/>
          </w:tcPr>
          <w:p>
            <w:pPr>
              <w:ind w:left="60"/>
              <w:spacing w:after="0"/>
              <w:rPr>
                <w:sz w:val="20"/>
                <w:szCs w:val="20"/>
                <w:color w:val="auto"/>
              </w:rPr>
            </w:pPr>
            <w:r>
              <w:rPr>
                <w:rFonts w:ascii="Arial" w:cs="Arial" w:eastAsia="Arial" w:hAnsi="Arial"/>
                <w:sz w:val="18"/>
                <w:szCs w:val="18"/>
                <w:color w:val="auto"/>
                <w:w w:val="99"/>
              </w:rPr>
              <w:t>OrbiMed Capital GP III LLC</w:t>
            </w: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3"/>
              </w:rPr>
              <w:t>SOURCE OF FUNDS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9780" w:type="dxa"/>
            <w:vAlign w:val="bottom"/>
            <w:tcBorders>
              <w:bottom w:val="single" w:sz="8" w:color="auto"/>
              <w:right w:val="single" w:sz="8" w:color="auto"/>
            </w:tcBorders>
            <w:gridSpan w:val="6"/>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Delaware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1,831,928 (1)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BENEFICIALLY OWNED</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50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40" w:type="dxa"/>
            <w:vAlign w:val="bottom"/>
            <w:tcBorders>
              <w:left w:val="single" w:sz="8" w:color="auto"/>
              <w:right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32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6"/>
              </w:rPr>
              <w:t>PERSON WITH</w:t>
            </w: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500" w:type="dxa"/>
            <w:vAlign w:val="bottom"/>
            <w:tcBorders>
              <w:right w:val="single" w:sz="8" w:color="auto"/>
            </w:tcBorders>
            <w:gridSpan w:val="2"/>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tcBorders>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1,831,928</w:t>
            </w:r>
          </w:p>
        </w:tc>
        <w:tc>
          <w:tcPr>
            <w:tcW w:w="6680" w:type="dxa"/>
            <w:vAlign w:val="bottom"/>
            <w:tcBorders>
              <w:right w:val="single" w:sz="8" w:color="auto"/>
            </w:tcBorders>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4"/>
              </w:rPr>
              <w:t>1,831,928</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7500" w:type="dxa"/>
            <w:vAlign w:val="bottom"/>
            <w:tcBorders>
              <w:bottom w:val="single" w:sz="8" w:color="auto"/>
              <w:right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7"/>
              </w:rPr>
              <w:t>8.20% (2)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77" w:lineRule="auto"/>
        <w:tabs>
          <w:tab w:leader="none" w:pos="291"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 1,825,415 outstanding shares of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(ii) 6,513 Shares issuable upon the exercise of warrants to purchase shares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8"/>
        <w:spacing w:after="0" w:line="277" w:lineRule="auto"/>
        <w:tabs>
          <w:tab w:leader="none" w:pos="26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upon 22,336,576 outstanding Shares, as set forth in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7, 2017, and includes 6,513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This Amendment No. 2 (“</w:t>
      </w:r>
      <w:r>
        <w:rPr>
          <w:rFonts w:ascii="Arial" w:cs="Arial" w:eastAsia="Arial" w:hAnsi="Arial"/>
          <w:sz w:val="18"/>
          <w:szCs w:val="18"/>
          <w:u w:val="single" w:color="auto"/>
          <w:color w:val="auto"/>
        </w:rPr>
        <w:t>Amendment No. 2</w:t>
      </w:r>
      <w:r>
        <w:rPr>
          <w:rFonts w:ascii="Arial" w:cs="Arial" w:eastAsia="Arial" w:hAnsi="Arial"/>
          <w:sz w:val="18"/>
          <w:szCs w:val="18"/>
          <w:color w:val="auto"/>
        </w:rPr>
        <w:t>”) to Schedule 13D supplements and amends the Statement on Schedule 13D originally filed by OrbiMed Advisors LLC, OrbiMed Capital GP III LLC and Samuel D. Isaly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7, 2016 (the “</w:t>
      </w:r>
      <w:r>
        <w:rPr>
          <w:rFonts w:ascii="Arial" w:cs="Arial" w:eastAsia="Arial" w:hAnsi="Arial"/>
          <w:sz w:val="18"/>
          <w:szCs w:val="18"/>
          <w:u w:val="single" w:color="auto"/>
          <w:color w:val="auto"/>
        </w:rPr>
        <w:t>Statement</w:t>
      </w:r>
      <w:r>
        <w:rPr>
          <w:rFonts w:ascii="Arial" w:cs="Arial" w:eastAsia="Arial" w:hAnsi="Arial"/>
          <w:sz w:val="18"/>
          <w:szCs w:val="18"/>
          <w:color w:val="auto"/>
        </w:rPr>
        <w:t>”) and amended by Amendment No. 1 thereto filed with the SEC on August 15, 2017. This Statement relates to the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corporation organized under the laws of Delaware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480 Arsenal Way, Watertown, Massachusetts 02472. Information given in response to each item shall be deemed incorporated by reference in all other items, as applicable.</w:t>
      </w:r>
    </w:p>
    <w:p>
      <w:pPr>
        <w:spacing w:after="0" w:line="22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This Amendment No. 2 is being filed to report that Samuel D. Isaly, who was previously identified as a reporting person, has ceased to be the beneficial owner of more than five percent of the outstanding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Statement is amended to read in full as set forth below.</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firstLine="368"/>
        <w:spacing w:after="0" w:line="264" w:lineRule="auto"/>
        <w:tabs>
          <w:tab w:leader="none" w:pos="127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No. 2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and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368"/>
        <w:spacing w:after="0" w:line="259" w:lineRule="auto"/>
        <w:tabs>
          <w:tab w:leader="none" w:pos="622" w:val="left"/>
        </w:tabs>
        <w:numPr>
          <w:ilvl w:val="0"/>
          <w:numId w:val="3"/>
        </w:numPr>
        <w:rPr>
          <w:rFonts w:ascii="Arial" w:cs="Arial" w:eastAsia="Arial" w:hAnsi="Arial"/>
          <w:sz w:val="18"/>
          <w:szCs w:val="18"/>
          <w:color w:val="auto"/>
        </w:rPr>
      </w:pPr>
      <w:r>
        <w:rPr>
          <w:rFonts w:ascii="Arial" w:cs="Arial" w:eastAsia="Arial" w:hAnsi="Arial"/>
          <w:sz w:val="18"/>
          <w:szCs w:val="18"/>
          <w:color w:val="auto"/>
        </w:rPr>
        <w:t>– (c), (f)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and GP III have their principal offices at 601 Lexington Avenue, 54th Floor, New York, New York 10022.</w:t>
      </w:r>
    </w:p>
    <w:p>
      <w:pPr>
        <w:spacing w:after="0" w:line="18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170" w:lineRule="exact"/>
        <w:rPr>
          <w:sz w:val="20"/>
          <w:szCs w:val="20"/>
          <w:color w:val="auto"/>
        </w:rPr>
      </w:pPr>
    </w:p>
    <w:p>
      <w:pPr>
        <w:ind w:left="800" w:hanging="44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w:t>
      </w:r>
    </w:p>
    <w:p>
      <w:pPr>
        <w:spacing w:after="0" w:line="252" w:lineRule="exact"/>
        <w:rPr>
          <w:rFonts w:ascii="Arial" w:cs="Arial" w:eastAsia="Arial" w:hAnsi="Arial"/>
          <w:sz w:val="18"/>
          <w:szCs w:val="18"/>
          <w:color w:val="auto"/>
        </w:rPr>
      </w:pPr>
    </w:p>
    <w:p>
      <w:pPr>
        <w:ind w:left="800" w:hanging="44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52" w:lineRule="exact"/>
        <w:rPr>
          <w:rFonts w:ascii="Arial" w:cs="Arial" w:eastAsia="Arial" w:hAnsi="Arial"/>
          <w:sz w:val="18"/>
          <w:szCs w:val="18"/>
          <w:color w:val="auto"/>
        </w:rPr>
      </w:pPr>
    </w:p>
    <w:p>
      <w:pPr>
        <w:ind w:left="800" w:right="180" w:hanging="44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197" w:lineRule="exact"/>
        <w:rPr>
          <w:rFonts w:ascii="Arial" w:cs="Arial" w:eastAsia="Arial" w:hAnsi="Arial"/>
          <w:sz w:val="18"/>
          <w:szCs w:val="18"/>
          <w:color w:val="auto"/>
        </w:rPr>
      </w:pPr>
    </w:p>
    <w:p>
      <w:pPr>
        <w:ind w:left="800" w:hanging="44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jc w:val="both"/>
        <w:ind w:firstLine="368"/>
        <w:spacing w:after="0" w:line="259" w:lineRule="auto"/>
        <w:tabs>
          <w:tab w:leader="none" w:pos="635" w:val="left"/>
        </w:tabs>
        <w:numPr>
          <w:ilvl w:val="1"/>
          <w:numId w:val="4"/>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5 of the Statement is amended to read in full as set forth below.</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368"/>
        <w:spacing w:after="0" w:line="288" w:lineRule="auto"/>
        <w:tabs>
          <w:tab w:leader="none" w:pos="605" w:val="left"/>
        </w:tabs>
        <w:numPr>
          <w:ilvl w:val="1"/>
          <w:numId w:val="5"/>
        </w:numPr>
        <w:rPr>
          <w:rFonts w:ascii="Arial" w:cs="Arial" w:eastAsia="Arial" w:hAnsi="Arial"/>
          <w:sz w:val="16"/>
          <w:szCs w:val="16"/>
          <w:color w:val="auto"/>
        </w:rPr>
      </w:pPr>
      <w:r>
        <w:rPr>
          <w:rFonts w:ascii="Arial" w:cs="Arial" w:eastAsia="Arial" w:hAnsi="Arial"/>
          <w:sz w:val="16"/>
          <w:szCs w:val="16"/>
          <w:color w:val="auto"/>
        </w:rPr>
        <w:t>– (b) As of the date of this filing, the Reporting Persons may be deemed, for purposes of Rule 13d-3 of the Act, directly or indirectly, including by reason of their mutual affiliation, to be the beneficial owners of the Shares. Based upon information contained in the Issuer’s Form 10-Q, filed with the SEC on November 7, 2017, such Shares deemed to be indirectly beneficially owned by GP III constitutes approximately 8.20% of the issued and outstanding Shares, and such Shares deemed to be indirectly beneficially owned by Advisors constitutes approximately 8.28%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IIII. GP III, pursuant to its authority as the general partner of OPI III, may be deemed to indirectly beneficially own the Shares held by OPI III. As a result, Advisors and GP III share the power to direct the vote and the disposition of the Shares held by OPI III described in Item 6 below, and Advisors has the power to direct the vote and the disposition of the Shares held by Associates III. Advisors exercises this investment and voting power through a management committee comprised of Carl L. Gordon, Sven H. Borho and Jonathan T. Silverstein, each of whom disclaims beneficial ownership of the Shares held by OPI III and Associates III.</w:t>
      </w:r>
    </w:p>
    <w:p>
      <w:pPr>
        <w:spacing w:after="0" w:line="16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Reporting Persons have not effected any transaction during the past sixty (60) days in any Shares.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8"/>
        <w:spacing w:after="0" w:line="277"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January 24, 2018, Samuel D. Isaly, who was previously identified as a reporting person, has ceased to be the beneficial owner of more than five percent of the outstanding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first paragraph of Item 6 of the Statement is amended to read in full as follows.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 with Respect to Securities of the Issuer</w:t>
      </w:r>
    </w:p>
    <w:p>
      <w:pPr>
        <w:spacing w:after="0" w:line="25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ind w:right="140" w:firstLine="8"/>
        <w:spacing w:after="0" w:line="290"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by OPI III is 1,825,415, and the number of Warrants held by OPI III is 6,513. The number of outstanding Shares held by Associates III is 17,382 and the number of Warrants held by Associates III is 61. Advisors may be considered to hold indirectly 1,842,797 Shares and 6,574 Warrants, and GP III may be considered to hold indirectly 1,825,415 Shares and 6,513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1260" w:hanging="732"/>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1435735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2018</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Capital GP III LLC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Schedule I</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60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400" w:type="dxa"/>
            <w:vAlign w:val="bottom"/>
            <w:tcBorders>
              <w:top w:val="single" w:sz="8" w:color="auto"/>
              <w:right w:val="single" w:sz="8" w:color="auto"/>
            </w:tcBorders>
          </w:tcPr>
          <w:p>
            <w:pPr>
              <w:spacing w:after="0"/>
              <w:rPr>
                <w:sz w:val="24"/>
                <w:szCs w:val="24"/>
                <w:color w:val="auto"/>
              </w:rPr>
            </w:pPr>
          </w:p>
        </w:tc>
      </w:tr>
      <w:tr>
        <w:trPr>
          <w:trHeight w:val="230"/>
        </w:trPr>
        <w:tc>
          <w:tcPr>
            <w:tcW w:w="460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4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Principal Occupation</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Samuel D. Isaly</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269"/>
        </w:trPr>
        <w:tc>
          <w:tcPr>
            <w:tcW w:w="4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Evan D. Sotiriou</w:t>
            </w: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OrbiMed Advisors LLC</w:t>
            </w:r>
          </w:p>
        </w:tc>
      </w:tr>
      <w:tr>
        <w:trPr>
          <w:trHeight w:val="75"/>
        </w:trPr>
        <w:tc>
          <w:tcPr>
            <w:tcW w:w="4600" w:type="dxa"/>
            <w:vAlign w:val="bottom"/>
            <w:tcBorders>
              <w:left w:val="single" w:sz="8" w:color="auto"/>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right w:val="single" w:sz="8" w:color="auto"/>
            </w:tcBorders>
          </w:tcPr>
          <w:p>
            <w:pPr>
              <w:spacing w:after="0"/>
              <w:rPr>
                <w:sz w:val="6"/>
                <w:szCs w:val="6"/>
                <w:color w:val="auto"/>
              </w:rPr>
            </w:pPr>
          </w:p>
        </w:tc>
      </w:tr>
      <w:tr>
        <w:trPr>
          <w:trHeight w:val="1884"/>
        </w:trPr>
        <w:tc>
          <w:tcPr>
            <w:tcW w:w="4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2098675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9" w:name="page10"/>
    <w:bookmarkEnd w:id="9"/>
    <w:p>
      <w:pPr>
        <w:ind w:left="47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172085</wp:posOffset>
            </wp:positionV>
            <wp:extent cx="724662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940" w:hanging="732"/>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1701800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99"/>
          </w:cols>
          <w:pgMar w:left="560" w:top="607"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jc w:val="both"/>
        <w:ind w:firstLine="1426"/>
        <w:spacing w:after="0" w:line="292" w:lineRule="auto"/>
        <w:rPr>
          <w:sz w:val="20"/>
          <w:szCs w:val="20"/>
          <w:color w:val="auto"/>
        </w:rPr>
      </w:pPr>
      <w:r>
        <w:rPr>
          <w:rFonts w:ascii="Arial" w:cs="Arial" w:eastAsia="Arial" w:hAnsi="Arial"/>
          <w:sz w:val="16"/>
          <w:szCs w:val="16"/>
          <w:color w:val="auto"/>
        </w:rPr>
        <w:t>The undersigned hereby agree that the Statement on this Schedule 13D, dated January 26, 2018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of Selecta Biosciences, Inc. is filed on behalf of each of us pursuant to and in accordance with the provisions of Rule 13d-1(k) under the Securities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have executed this Agreement as of the 26th day of January, 2018.</w:t>
      </w:r>
    </w:p>
    <w:p>
      <w:pPr>
        <w:spacing w:after="0" w:line="200" w:lineRule="exact"/>
        <w:rPr>
          <w:sz w:val="20"/>
          <w:szCs w:val="20"/>
          <w:color w:val="auto"/>
        </w:rPr>
      </w:pPr>
    </w:p>
    <w:p>
      <w:pPr>
        <w:spacing w:after="0" w:line="29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OrbiMed Capital GP III LLC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Name:Jonathan T. Silverstein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Name:Sven H. Borho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930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Name:Carl L.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1137920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Roman"/>
      <w:start w:val="1"/>
    </w:lvl>
    <w:lvl w:ilvl="1">
      <w:lvlJc w:val="left"/>
      <w:lvlText w:val="(%2)"/>
      <w:numFmt w:val="lowerLetter"/>
      <w:start w:val="4"/>
    </w:lvl>
  </w:abstractNum>
  <w:abstractNum w:abstractNumId="4">
    <w:nsid w:val="41B71EFB"/>
    <w:multiLevelType w:val="hybridMultilevel"/>
    <w:lvl w:ilvl="0">
      <w:lvlJc w:val="left"/>
      <w:lvlText w:val="%1"/>
      <w:numFmt w:val="upperLetter"/>
      <w:start w:val="1"/>
    </w:lvl>
    <w:lvl w:ilvl="1">
      <w:lvlJc w:val="left"/>
      <w:lvlText w:val="(%2)"/>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upperLetter"/>
      <w:start w:val="6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2019-12-16T11:12:47Z</dcterms:created>
  <dcterms:modified xsi:type="dcterms:W3CDTF">2019-12-16T11:12:47Z</dcterms:modified>
</cp:coreProperties>
</file>