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52"/>
        </w:trPr>
        <w:tc>
          <w:tcPr>
            <w:tcW w:w="1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100" w:type="dxa"/>
            <w:vAlign w:val="bottom"/>
            <w:gridSpan w:val="2"/>
          </w:tcPr>
          <w:p>
            <w:pPr>
              <w:ind w:left="1620"/>
              <w:spacing w:after="0"/>
              <w:rPr>
                <w:sz w:val="20"/>
                <w:szCs w:val="20"/>
                <w:color w:val="auto"/>
              </w:rPr>
            </w:pPr>
            <w:r>
              <w:rPr>
                <w:rFonts w:ascii="Arial" w:cs="Arial" w:eastAsia="Arial" w:hAnsi="Arial"/>
                <w:sz w:val="13"/>
                <w:szCs w:val="13"/>
                <w:color w:val="auto"/>
              </w:rPr>
              <w:t>John Hancock Tower, 27th Floor</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w w:val="98"/>
              </w:rPr>
              <w:t>200 Clarendon Street</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100" w:type="dxa"/>
            <w:vAlign w:val="bottom"/>
            <w:gridSpan w:val="2"/>
          </w:tcPr>
          <w:p>
            <w:pPr>
              <w:ind w:left="1620"/>
              <w:spacing w:after="0"/>
              <w:rPr>
                <w:sz w:val="20"/>
                <w:szCs w:val="20"/>
                <w:color w:val="auto"/>
              </w:rPr>
            </w:pPr>
            <w:r>
              <w:rPr>
                <w:rFonts w:ascii="Arial" w:cs="Arial" w:eastAsia="Arial" w:hAnsi="Arial"/>
                <w:sz w:val="13"/>
                <w:szCs w:val="13"/>
                <w:color w:val="auto"/>
              </w:rPr>
              <w:t>Boston, Massachusetts 02116</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w w:val="98"/>
              </w:rPr>
              <w:t>Tel: +1.617.948.6000</w:t>
            </w:r>
          </w:p>
        </w:tc>
        <w:tc>
          <w:tcPr>
            <w:tcW w:w="1240" w:type="dxa"/>
            <w:vAlign w:val="bottom"/>
          </w:tcPr>
          <w:p>
            <w:pPr>
              <w:ind w:left="20"/>
              <w:spacing w:after="0"/>
              <w:rPr>
                <w:sz w:val="20"/>
                <w:szCs w:val="20"/>
                <w:color w:val="auto"/>
              </w:rPr>
            </w:pPr>
            <w:r>
              <w:rPr>
                <w:rFonts w:ascii="Arial" w:cs="Arial" w:eastAsia="Arial" w:hAnsi="Arial"/>
                <w:sz w:val="13"/>
                <w:szCs w:val="13"/>
                <w:color w:val="auto"/>
                <w:w w:val="94"/>
              </w:rPr>
              <w:t>Fax: +1.617.948.6001</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www.lw.com</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100" w:type="dxa"/>
            <w:vAlign w:val="bottom"/>
            <w:gridSpan w:val="2"/>
          </w:tcPr>
          <w:p>
            <w:pPr>
              <w:ind w:left="1620"/>
              <w:spacing w:after="0"/>
              <w:rPr>
                <w:sz w:val="20"/>
                <w:szCs w:val="20"/>
                <w:color w:val="auto"/>
              </w:rPr>
            </w:pPr>
            <w:r>
              <w:rPr>
                <w:rFonts w:ascii="Arial" w:cs="Arial" w:eastAsia="Arial" w:hAnsi="Arial"/>
                <w:sz w:val="13"/>
                <w:szCs w:val="13"/>
                <w:color w:val="auto"/>
              </w:rPr>
              <w:t>FIRM / AFFILIATE OFFICES</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Barcelona</w:t>
            </w:r>
          </w:p>
        </w:tc>
        <w:tc>
          <w:tcPr>
            <w:tcW w:w="1240" w:type="dxa"/>
            <w:vAlign w:val="bottom"/>
          </w:tcPr>
          <w:p>
            <w:pPr>
              <w:ind w:left="140"/>
              <w:spacing w:after="0"/>
              <w:rPr>
                <w:sz w:val="20"/>
                <w:szCs w:val="20"/>
                <w:color w:val="auto"/>
              </w:rPr>
            </w:pPr>
            <w:r>
              <w:rPr>
                <w:rFonts w:ascii="Arial" w:cs="Arial" w:eastAsia="Arial" w:hAnsi="Arial"/>
                <w:sz w:val="13"/>
                <w:szCs w:val="13"/>
                <w:color w:val="auto"/>
              </w:rPr>
              <w:t>Moscow</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Beijing</w:t>
            </w:r>
          </w:p>
        </w:tc>
        <w:tc>
          <w:tcPr>
            <w:tcW w:w="1240" w:type="dxa"/>
            <w:vAlign w:val="bottom"/>
          </w:tcPr>
          <w:p>
            <w:pPr>
              <w:ind w:left="140"/>
              <w:spacing w:after="0"/>
              <w:rPr>
                <w:sz w:val="20"/>
                <w:szCs w:val="20"/>
                <w:color w:val="auto"/>
              </w:rPr>
            </w:pPr>
            <w:r>
              <w:rPr>
                <w:rFonts w:ascii="Arial" w:cs="Arial" w:eastAsia="Arial" w:hAnsi="Arial"/>
                <w:sz w:val="13"/>
                <w:szCs w:val="13"/>
                <w:color w:val="auto"/>
              </w:rPr>
              <w:t>Munich</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Boston</w:t>
            </w:r>
          </w:p>
        </w:tc>
        <w:tc>
          <w:tcPr>
            <w:tcW w:w="1240" w:type="dxa"/>
            <w:vAlign w:val="bottom"/>
          </w:tcPr>
          <w:p>
            <w:pPr>
              <w:ind w:left="140"/>
              <w:spacing w:after="0"/>
              <w:rPr>
                <w:sz w:val="20"/>
                <w:szCs w:val="20"/>
                <w:color w:val="auto"/>
              </w:rPr>
            </w:pPr>
            <w:r>
              <w:rPr>
                <w:rFonts w:ascii="Arial" w:cs="Arial" w:eastAsia="Arial" w:hAnsi="Arial"/>
                <w:sz w:val="13"/>
                <w:szCs w:val="13"/>
                <w:color w:val="auto"/>
              </w:rPr>
              <w:t>New Jersey</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Brussels</w:t>
            </w:r>
          </w:p>
        </w:tc>
        <w:tc>
          <w:tcPr>
            <w:tcW w:w="1240" w:type="dxa"/>
            <w:vAlign w:val="bottom"/>
          </w:tcPr>
          <w:p>
            <w:pPr>
              <w:ind w:left="140"/>
              <w:spacing w:after="0"/>
              <w:rPr>
                <w:sz w:val="20"/>
                <w:szCs w:val="20"/>
                <w:color w:val="auto"/>
              </w:rPr>
            </w:pPr>
            <w:r>
              <w:rPr>
                <w:rFonts w:ascii="Arial" w:cs="Arial" w:eastAsia="Arial" w:hAnsi="Arial"/>
                <w:sz w:val="13"/>
                <w:szCs w:val="13"/>
                <w:color w:val="auto"/>
              </w:rPr>
              <w:t>New York</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Century City</w:t>
            </w:r>
          </w:p>
        </w:tc>
        <w:tc>
          <w:tcPr>
            <w:tcW w:w="1240" w:type="dxa"/>
            <w:vAlign w:val="bottom"/>
          </w:tcPr>
          <w:p>
            <w:pPr>
              <w:ind w:left="140"/>
              <w:spacing w:after="0"/>
              <w:rPr>
                <w:sz w:val="20"/>
                <w:szCs w:val="20"/>
                <w:color w:val="auto"/>
              </w:rPr>
            </w:pPr>
            <w:r>
              <w:rPr>
                <w:rFonts w:ascii="Arial" w:cs="Arial" w:eastAsia="Arial" w:hAnsi="Arial"/>
                <w:sz w:val="13"/>
                <w:szCs w:val="13"/>
                <w:color w:val="auto"/>
              </w:rPr>
              <w:t>Orange County</w:t>
            </w:r>
          </w:p>
        </w:tc>
        <w:tc>
          <w:tcPr>
            <w:tcW w:w="0" w:type="dxa"/>
            <w:vAlign w:val="bottom"/>
          </w:tcPr>
          <w:p>
            <w:pPr>
              <w:spacing w:after="0"/>
              <w:rPr>
                <w:sz w:val="1"/>
                <w:szCs w:val="1"/>
                <w:color w:val="auto"/>
              </w:rPr>
            </w:pPr>
          </w:p>
        </w:tc>
      </w:tr>
      <w:tr>
        <w:trPr>
          <w:trHeight w:val="189"/>
        </w:trPr>
        <w:tc>
          <w:tcPr>
            <w:tcW w:w="5280" w:type="dxa"/>
            <w:vAlign w:val="bottom"/>
            <w:gridSpan w:val="3"/>
            <w:vMerge w:val="restart"/>
          </w:tcPr>
          <w:p>
            <w:pPr>
              <w:spacing w:after="0"/>
              <w:rPr>
                <w:sz w:val="20"/>
                <w:szCs w:val="20"/>
                <w:color w:val="auto"/>
              </w:rPr>
            </w:pPr>
            <w:r>
              <w:rPr>
                <w:rFonts w:ascii="Arial" w:cs="Arial" w:eastAsia="Arial" w:hAnsi="Arial"/>
                <w:sz w:val="22"/>
                <w:szCs w:val="22"/>
                <w:color w:val="auto"/>
              </w:rPr>
              <w:t>May 31, 2016</w:t>
            </w:r>
          </w:p>
        </w:tc>
        <w:tc>
          <w:tcPr>
            <w:tcW w:w="2860" w:type="dxa"/>
            <w:vAlign w:val="bottom"/>
          </w:tcPr>
          <w:p>
            <w:pPr>
              <w:ind w:left="1620"/>
              <w:spacing w:after="0"/>
              <w:rPr>
                <w:sz w:val="20"/>
                <w:szCs w:val="20"/>
                <w:color w:val="auto"/>
              </w:rPr>
            </w:pPr>
            <w:r>
              <w:rPr>
                <w:rFonts w:ascii="Arial" w:cs="Arial" w:eastAsia="Arial" w:hAnsi="Arial"/>
                <w:sz w:val="13"/>
                <w:szCs w:val="13"/>
                <w:color w:val="auto"/>
              </w:rPr>
              <w:t>Chicago</w:t>
            </w:r>
          </w:p>
        </w:tc>
        <w:tc>
          <w:tcPr>
            <w:tcW w:w="1240" w:type="dxa"/>
            <w:vAlign w:val="bottom"/>
          </w:tcPr>
          <w:p>
            <w:pPr>
              <w:ind w:left="140"/>
              <w:spacing w:after="0"/>
              <w:rPr>
                <w:sz w:val="20"/>
                <w:szCs w:val="20"/>
                <w:color w:val="auto"/>
              </w:rPr>
            </w:pPr>
            <w:r>
              <w:rPr>
                <w:rFonts w:ascii="Arial" w:cs="Arial" w:eastAsia="Arial" w:hAnsi="Arial"/>
                <w:sz w:val="13"/>
                <w:szCs w:val="13"/>
                <w:color w:val="auto"/>
              </w:rPr>
              <w:t>Paris</w:t>
            </w:r>
          </w:p>
        </w:tc>
        <w:tc>
          <w:tcPr>
            <w:tcW w:w="0" w:type="dxa"/>
            <w:vAlign w:val="bottom"/>
          </w:tcPr>
          <w:p>
            <w:pPr>
              <w:spacing w:after="0"/>
              <w:rPr>
                <w:sz w:val="1"/>
                <w:szCs w:val="1"/>
                <w:color w:val="auto"/>
              </w:rPr>
            </w:pPr>
          </w:p>
        </w:tc>
      </w:tr>
      <w:tr>
        <w:trPr>
          <w:trHeight w:val="215"/>
        </w:trPr>
        <w:tc>
          <w:tcPr>
            <w:tcW w:w="5280" w:type="dxa"/>
            <w:vAlign w:val="bottom"/>
            <w:gridSpan w:val="3"/>
            <w:vMerge w:val="continue"/>
          </w:tcPr>
          <w:p>
            <w:pPr>
              <w:spacing w:after="0"/>
              <w:rPr>
                <w:sz w:val="18"/>
                <w:szCs w:val="18"/>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Dubai</w:t>
            </w:r>
          </w:p>
        </w:tc>
        <w:tc>
          <w:tcPr>
            <w:tcW w:w="1240" w:type="dxa"/>
            <w:vAlign w:val="bottom"/>
          </w:tcPr>
          <w:p>
            <w:pPr>
              <w:ind w:left="140"/>
              <w:spacing w:after="0"/>
              <w:rPr>
                <w:sz w:val="20"/>
                <w:szCs w:val="20"/>
                <w:color w:val="auto"/>
              </w:rPr>
            </w:pPr>
            <w:r>
              <w:rPr>
                <w:rFonts w:ascii="Arial" w:cs="Arial" w:eastAsia="Arial" w:hAnsi="Arial"/>
                <w:sz w:val="13"/>
                <w:szCs w:val="13"/>
                <w:color w:val="auto"/>
              </w:rPr>
              <w:t>Riyadh</w:t>
            </w:r>
          </w:p>
        </w:tc>
        <w:tc>
          <w:tcPr>
            <w:tcW w:w="0" w:type="dxa"/>
            <w:vAlign w:val="bottom"/>
          </w:tcPr>
          <w:p>
            <w:pPr>
              <w:spacing w:after="0"/>
              <w:rPr>
                <w:sz w:val="1"/>
                <w:szCs w:val="1"/>
                <w:color w:val="auto"/>
              </w:rPr>
            </w:pPr>
          </w:p>
        </w:tc>
      </w:tr>
      <w:tr>
        <w:trPr>
          <w:trHeight w:val="163"/>
        </w:trPr>
        <w:tc>
          <w:tcPr>
            <w:tcW w:w="1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Düsseldorf</w:t>
            </w:r>
          </w:p>
        </w:tc>
        <w:tc>
          <w:tcPr>
            <w:tcW w:w="1240" w:type="dxa"/>
            <w:vAlign w:val="bottom"/>
          </w:tcPr>
          <w:p>
            <w:pPr>
              <w:ind w:left="140"/>
              <w:spacing w:after="0"/>
              <w:rPr>
                <w:sz w:val="20"/>
                <w:szCs w:val="20"/>
                <w:color w:val="auto"/>
              </w:rPr>
            </w:pPr>
            <w:r>
              <w:rPr>
                <w:rFonts w:ascii="Arial" w:cs="Arial" w:eastAsia="Arial" w:hAnsi="Arial"/>
                <w:sz w:val="13"/>
                <w:szCs w:val="13"/>
                <w:color w:val="auto"/>
              </w:rPr>
              <w:t>Rome</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Frankfurt</w:t>
            </w:r>
          </w:p>
        </w:tc>
        <w:tc>
          <w:tcPr>
            <w:tcW w:w="1240" w:type="dxa"/>
            <w:vAlign w:val="bottom"/>
          </w:tcPr>
          <w:p>
            <w:pPr>
              <w:ind w:left="140"/>
              <w:spacing w:after="0"/>
              <w:rPr>
                <w:sz w:val="20"/>
                <w:szCs w:val="20"/>
                <w:color w:val="auto"/>
              </w:rPr>
            </w:pPr>
            <w:r>
              <w:rPr>
                <w:rFonts w:ascii="Arial" w:cs="Arial" w:eastAsia="Arial" w:hAnsi="Arial"/>
                <w:sz w:val="13"/>
                <w:szCs w:val="13"/>
                <w:color w:val="auto"/>
              </w:rPr>
              <w:t>San Diego</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Hamburg</w:t>
            </w:r>
          </w:p>
        </w:tc>
        <w:tc>
          <w:tcPr>
            <w:tcW w:w="1240" w:type="dxa"/>
            <w:vAlign w:val="bottom"/>
          </w:tcPr>
          <w:p>
            <w:pPr>
              <w:ind w:left="140"/>
              <w:spacing w:after="0"/>
              <w:rPr>
                <w:sz w:val="20"/>
                <w:szCs w:val="20"/>
                <w:color w:val="auto"/>
              </w:rPr>
            </w:pPr>
            <w:r>
              <w:rPr>
                <w:rFonts w:ascii="Arial" w:cs="Arial" w:eastAsia="Arial" w:hAnsi="Arial"/>
                <w:sz w:val="13"/>
                <w:szCs w:val="13"/>
                <w:color w:val="auto"/>
              </w:rPr>
              <w:t>San Francisco</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Hong Kong</w:t>
            </w:r>
          </w:p>
        </w:tc>
        <w:tc>
          <w:tcPr>
            <w:tcW w:w="1240" w:type="dxa"/>
            <w:vAlign w:val="bottom"/>
          </w:tcPr>
          <w:p>
            <w:pPr>
              <w:ind w:left="140"/>
              <w:spacing w:after="0"/>
              <w:rPr>
                <w:sz w:val="20"/>
                <w:szCs w:val="20"/>
                <w:color w:val="auto"/>
              </w:rPr>
            </w:pPr>
            <w:r>
              <w:rPr>
                <w:rFonts w:ascii="Arial" w:cs="Arial" w:eastAsia="Arial" w:hAnsi="Arial"/>
                <w:sz w:val="13"/>
                <w:szCs w:val="13"/>
                <w:color w:val="auto"/>
              </w:rPr>
              <w:t>Shanghai</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Houston</w:t>
            </w:r>
          </w:p>
        </w:tc>
        <w:tc>
          <w:tcPr>
            <w:tcW w:w="1240" w:type="dxa"/>
            <w:vAlign w:val="bottom"/>
          </w:tcPr>
          <w:p>
            <w:pPr>
              <w:ind w:left="140"/>
              <w:spacing w:after="0"/>
              <w:rPr>
                <w:sz w:val="20"/>
                <w:szCs w:val="20"/>
                <w:color w:val="auto"/>
              </w:rPr>
            </w:pPr>
            <w:r>
              <w:rPr>
                <w:rFonts w:ascii="Arial" w:cs="Arial" w:eastAsia="Arial" w:hAnsi="Arial"/>
                <w:sz w:val="13"/>
                <w:szCs w:val="13"/>
                <w:color w:val="auto"/>
              </w:rPr>
              <w:t>Silicon Valley</w:t>
            </w:r>
          </w:p>
        </w:tc>
        <w:tc>
          <w:tcPr>
            <w:tcW w:w="0" w:type="dxa"/>
            <w:vAlign w:val="bottom"/>
          </w:tcPr>
          <w:p>
            <w:pPr>
              <w:spacing w:after="0"/>
              <w:rPr>
                <w:sz w:val="1"/>
                <w:szCs w:val="1"/>
                <w:color w:val="auto"/>
              </w:rPr>
            </w:pPr>
          </w:p>
        </w:tc>
      </w:tr>
      <w:tr>
        <w:trPr>
          <w:trHeight w:val="189"/>
        </w:trPr>
        <w:tc>
          <w:tcPr>
            <w:tcW w:w="3640" w:type="dxa"/>
            <w:vAlign w:val="bottom"/>
            <w:gridSpan w:val="2"/>
            <w:vMerge w:val="restart"/>
          </w:tcPr>
          <w:p>
            <w:pPr>
              <w:spacing w:after="0" w:line="246" w:lineRule="exact"/>
              <w:rPr>
                <w:sz w:val="20"/>
                <w:szCs w:val="20"/>
                <w:color w:val="auto"/>
              </w:rPr>
            </w:pPr>
            <w:r>
              <w:rPr>
                <w:rFonts w:ascii="Arial" w:cs="Arial" w:eastAsia="Arial" w:hAnsi="Arial"/>
                <w:sz w:val="22"/>
                <w:szCs w:val="22"/>
                <w:b w:val="1"/>
                <w:bCs w:val="1"/>
                <w:color w:val="auto"/>
              </w:rPr>
              <w:t>VIA EDGAR AND HAND DELIVERY</w:t>
            </w:r>
          </w:p>
        </w:tc>
        <w:tc>
          <w:tcPr>
            <w:tcW w:w="1640" w:type="dxa"/>
            <w:vAlign w:val="bottom"/>
            <w:vMerge w:val="restart"/>
          </w:tcPr>
          <w:p>
            <w:pPr>
              <w:spacing w:after="0"/>
              <w:rPr>
                <w:sz w:val="16"/>
                <w:szCs w:val="16"/>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London</w:t>
            </w:r>
          </w:p>
        </w:tc>
        <w:tc>
          <w:tcPr>
            <w:tcW w:w="1240" w:type="dxa"/>
            <w:vAlign w:val="bottom"/>
          </w:tcPr>
          <w:p>
            <w:pPr>
              <w:ind w:left="140"/>
              <w:spacing w:after="0"/>
              <w:rPr>
                <w:sz w:val="20"/>
                <w:szCs w:val="20"/>
                <w:color w:val="auto"/>
              </w:rPr>
            </w:pPr>
            <w:r>
              <w:rPr>
                <w:rFonts w:ascii="Arial" w:cs="Arial" w:eastAsia="Arial" w:hAnsi="Arial"/>
                <w:sz w:val="13"/>
                <w:szCs w:val="13"/>
                <w:color w:val="auto"/>
              </w:rPr>
              <w:t>Singapore</w:t>
            </w:r>
          </w:p>
        </w:tc>
        <w:tc>
          <w:tcPr>
            <w:tcW w:w="0" w:type="dxa"/>
            <w:vAlign w:val="bottom"/>
          </w:tcPr>
          <w:p>
            <w:pPr>
              <w:spacing w:after="0"/>
              <w:rPr>
                <w:sz w:val="1"/>
                <w:szCs w:val="1"/>
                <w:color w:val="auto"/>
              </w:rPr>
            </w:pPr>
          </w:p>
        </w:tc>
      </w:tr>
      <w:tr>
        <w:trPr>
          <w:trHeight w:val="62"/>
        </w:trPr>
        <w:tc>
          <w:tcPr>
            <w:tcW w:w="3640" w:type="dxa"/>
            <w:vAlign w:val="bottom"/>
            <w:tcBorders>
              <w:bottom w:val="single" w:sz="8" w:color="auto"/>
            </w:tcBorders>
            <w:gridSpan w:val="2"/>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2860" w:type="dxa"/>
            <w:vAlign w:val="bottom"/>
            <w:vMerge w:val="restart"/>
          </w:tcPr>
          <w:p>
            <w:pPr>
              <w:ind w:left="1620"/>
              <w:spacing w:after="0"/>
              <w:rPr>
                <w:sz w:val="20"/>
                <w:szCs w:val="20"/>
                <w:color w:val="auto"/>
              </w:rPr>
            </w:pPr>
            <w:r>
              <w:rPr>
                <w:rFonts w:ascii="Arial" w:cs="Arial" w:eastAsia="Arial" w:hAnsi="Arial"/>
                <w:sz w:val="13"/>
                <w:szCs w:val="13"/>
                <w:color w:val="auto"/>
              </w:rPr>
              <w:t>Los Angeles</w:t>
            </w:r>
          </w:p>
        </w:tc>
        <w:tc>
          <w:tcPr>
            <w:tcW w:w="1240" w:type="dxa"/>
            <w:vAlign w:val="bottom"/>
            <w:vMerge w:val="restart"/>
          </w:tcPr>
          <w:p>
            <w:pPr>
              <w:ind w:left="140"/>
              <w:spacing w:after="0"/>
              <w:rPr>
                <w:sz w:val="20"/>
                <w:szCs w:val="20"/>
                <w:color w:val="auto"/>
              </w:rPr>
            </w:pPr>
            <w:r>
              <w:rPr>
                <w:rFonts w:ascii="Arial" w:cs="Arial" w:eastAsia="Arial" w:hAnsi="Arial"/>
                <w:sz w:val="13"/>
                <w:szCs w:val="13"/>
                <w:color w:val="auto"/>
              </w:rPr>
              <w:t>Tokyo</w:t>
            </w:r>
          </w:p>
        </w:tc>
        <w:tc>
          <w:tcPr>
            <w:tcW w:w="0" w:type="dxa"/>
            <w:vAlign w:val="bottom"/>
          </w:tcPr>
          <w:p>
            <w:pPr>
              <w:spacing w:after="0"/>
              <w:rPr>
                <w:sz w:val="1"/>
                <w:szCs w:val="1"/>
                <w:color w:val="auto"/>
              </w:rPr>
            </w:pPr>
          </w:p>
        </w:tc>
      </w:tr>
      <w:tr>
        <w:trPr>
          <w:trHeight w:val="113"/>
        </w:trPr>
        <w:tc>
          <w:tcPr>
            <w:tcW w:w="528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CONFIDENTIAL</w:t>
            </w:r>
          </w:p>
        </w:tc>
        <w:tc>
          <w:tcPr>
            <w:tcW w:w="28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5280" w:type="dxa"/>
            <w:vAlign w:val="bottom"/>
            <w:gridSpan w:val="3"/>
            <w:vMerge w:val="continue"/>
          </w:tcPr>
          <w:p>
            <w:pPr>
              <w:spacing w:after="0"/>
              <w:rPr>
                <w:sz w:val="17"/>
                <w:szCs w:val="17"/>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Madrid</w:t>
            </w:r>
          </w:p>
        </w:tc>
        <w:tc>
          <w:tcPr>
            <w:tcW w:w="1240" w:type="dxa"/>
            <w:vAlign w:val="bottom"/>
          </w:tcPr>
          <w:p>
            <w:pPr>
              <w:ind w:left="140"/>
              <w:spacing w:after="0"/>
              <w:rPr>
                <w:sz w:val="20"/>
                <w:szCs w:val="20"/>
                <w:color w:val="auto"/>
              </w:rPr>
            </w:pPr>
            <w:r>
              <w:rPr>
                <w:rFonts w:ascii="Arial" w:cs="Arial" w:eastAsia="Arial" w:hAnsi="Arial"/>
                <w:sz w:val="13"/>
                <w:szCs w:val="13"/>
                <w:color w:val="auto"/>
              </w:rPr>
              <w:t>Washington, D.C.</w:t>
            </w:r>
          </w:p>
        </w:tc>
        <w:tc>
          <w:tcPr>
            <w:tcW w:w="0" w:type="dxa"/>
            <w:vAlign w:val="bottom"/>
          </w:tcPr>
          <w:p>
            <w:pPr>
              <w:spacing w:after="0"/>
              <w:rPr>
                <w:sz w:val="1"/>
                <w:szCs w:val="1"/>
                <w:color w:val="auto"/>
              </w:rPr>
            </w:pPr>
          </w:p>
        </w:tc>
      </w:tr>
      <w:tr>
        <w:trPr>
          <w:trHeight w:val="153"/>
        </w:trPr>
        <w:tc>
          <w:tcPr>
            <w:tcW w:w="1680" w:type="dxa"/>
            <w:vAlign w:val="bottom"/>
            <w:tcBorders>
              <w:top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60" w:type="dxa"/>
            <w:vAlign w:val="bottom"/>
          </w:tcPr>
          <w:p>
            <w:pPr>
              <w:ind w:left="1620"/>
              <w:spacing w:after="0"/>
              <w:rPr>
                <w:sz w:val="20"/>
                <w:szCs w:val="20"/>
                <w:color w:val="auto"/>
              </w:rPr>
            </w:pPr>
            <w:r>
              <w:rPr>
                <w:rFonts w:ascii="Arial" w:cs="Arial" w:eastAsia="Arial" w:hAnsi="Arial"/>
                <w:sz w:val="13"/>
                <w:szCs w:val="13"/>
                <w:color w:val="auto"/>
              </w:rPr>
              <w:t>Milan</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-2056130</wp:posOffset>
            </wp:positionV>
            <wp:extent cx="2400935"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6260" w:type="dxa"/>
            <w:vAlign w:val="bottom"/>
            <w:tcBorders>
              <w:right w:val="single" w:sz="8" w:color="auto"/>
            </w:tcBorders>
          </w:tcPr>
          <w:p>
            <w:pPr>
              <w:spacing w:after="0" w:line="236" w:lineRule="exact"/>
              <w:rPr>
                <w:sz w:val="20"/>
                <w:szCs w:val="20"/>
                <w:color w:val="auto"/>
              </w:rPr>
            </w:pPr>
            <w:r>
              <w:rPr>
                <w:rFonts w:ascii="Arial" w:cs="Arial" w:eastAsia="Arial" w:hAnsi="Arial"/>
                <w:sz w:val="22"/>
                <w:szCs w:val="22"/>
                <w:color w:val="auto"/>
              </w:rPr>
              <w:t>Securities and Exchange Commission</w:t>
            </w:r>
          </w:p>
        </w:tc>
        <w:tc>
          <w:tcPr>
            <w:tcW w:w="4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FOIA Confidential Treatment Request</w:t>
            </w:r>
          </w:p>
        </w:tc>
        <w:tc>
          <w:tcPr>
            <w:tcW w:w="0" w:type="dxa"/>
            <w:vAlign w:val="bottom"/>
          </w:tcPr>
          <w:p>
            <w:pPr>
              <w:spacing w:after="0"/>
              <w:rPr>
                <w:sz w:val="1"/>
                <w:szCs w:val="1"/>
                <w:color w:val="auto"/>
              </w:rPr>
            </w:pPr>
          </w:p>
        </w:tc>
      </w:tr>
      <w:tr>
        <w:trPr>
          <w:trHeight w:val="108"/>
        </w:trPr>
        <w:tc>
          <w:tcPr>
            <w:tcW w:w="6260" w:type="dxa"/>
            <w:vAlign w:val="bottom"/>
            <w:tcBorders>
              <w:right w:val="single" w:sz="8" w:color="auto"/>
            </w:tcBorders>
            <w:vMerge w:val="restart"/>
          </w:tcPr>
          <w:p>
            <w:pPr>
              <w:spacing w:after="0" w:line="243" w:lineRule="exact"/>
              <w:rPr>
                <w:sz w:val="20"/>
                <w:szCs w:val="20"/>
                <w:color w:val="auto"/>
              </w:rPr>
            </w:pPr>
            <w:r>
              <w:rPr>
                <w:rFonts w:ascii="Arial" w:cs="Arial" w:eastAsia="Arial" w:hAnsi="Arial"/>
                <w:sz w:val="22"/>
                <w:szCs w:val="22"/>
                <w:color w:val="auto"/>
              </w:rPr>
              <w:t>Division of Corporation Finance</w:t>
            </w:r>
          </w:p>
        </w:tc>
        <w:tc>
          <w:tcPr>
            <w:tcW w:w="4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60" w:type="dxa"/>
            <w:vAlign w:val="bottom"/>
            <w:tcBorders>
              <w:right w:val="single" w:sz="8" w:color="auto"/>
            </w:tcBorders>
            <w:vMerge w:val="continue"/>
          </w:tcPr>
          <w:p>
            <w:pPr>
              <w:spacing w:after="0"/>
              <w:rPr>
                <w:sz w:val="11"/>
                <w:szCs w:val="11"/>
                <w:color w:val="auto"/>
              </w:rPr>
            </w:pPr>
          </w:p>
        </w:tc>
        <w:tc>
          <w:tcPr>
            <w:tcW w:w="4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Under 17 C.F.R. §200.83</w:t>
            </w:r>
          </w:p>
        </w:tc>
        <w:tc>
          <w:tcPr>
            <w:tcW w:w="0" w:type="dxa"/>
            <w:vAlign w:val="bottom"/>
          </w:tcPr>
          <w:p>
            <w:pPr>
              <w:spacing w:after="0"/>
              <w:rPr>
                <w:sz w:val="1"/>
                <w:szCs w:val="1"/>
                <w:color w:val="auto"/>
              </w:rPr>
            </w:pPr>
          </w:p>
        </w:tc>
      </w:tr>
      <w:tr>
        <w:trPr>
          <w:trHeight w:val="139"/>
        </w:trPr>
        <w:tc>
          <w:tcPr>
            <w:tcW w:w="6260" w:type="dxa"/>
            <w:vAlign w:val="bottom"/>
            <w:tcBorders>
              <w:right w:val="single" w:sz="8" w:color="auto"/>
            </w:tcBorders>
            <w:vMerge w:val="restart"/>
          </w:tcPr>
          <w:p>
            <w:pPr>
              <w:spacing w:after="0" w:line="224" w:lineRule="exact"/>
              <w:rPr>
                <w:sz w:val="20"/>
                <w:szCs w:val="20"/>
                <w:color w:val="auto"/>
              </w:rPr>
            </w:pPr>
            <w:r>
              <w:rPr>
                <w:rFonts w:ascii="Arial" w:cs="Arial" w:eastAsia="Arial" w:hAnsi="Arial"/>
                <w:sz w:val="22"/>
                <w:szCs w:val="22"/>
                <w:color w:val="auto"/>
              </w:rPr>
              <w:t>100 F Street, N.E.</w:t>
            </w:r>
          </w:p>
        </w:tc>
        <w:tc>
          <w:tcPr>
            <w:tcW w:w="4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6260" w:type="dxa"/>
            <w:vAlign w:val="bottom"/>
            <w:tcBorders>
              <w:right w:val="single" w:sz="8" w:color="auto"/>
            </w:tcBorders>
            <w:vMerge w:val="continue"/>
          </w:tcPr>
          <w:p>
            <w:pPr>
              <w:spacing w:after="0"/>
              <w:rPr>
                <w:sz w:val="7"/>
                <w:szCs w:val="7"/>
                <w:color w:val="auto"/>
              </w:rPr>
            </w:pPr>
          </w:p>
        </w:tc>
        <w:tc>
          <w:tcPr>
            <w:tcW w:w="4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260" w:type="dxa"/>
            <w:vAlign w:val="bottom"/>
          </w:tcPr>
          <w:p>
            <w:pPr>
              <w:spacing w:after="0" w:line="236" w:lineRule="exact"/>
              <w:rPr>
                <w:sz w:val="20"/>
                <w:szCs w:val="20"/>
                <w:color w:val="auto"/>
              </w:rPr>
            </w:pPr>
            <w:r>
              <w:rPr>
                <w:rFonts w:ascii="Arial" w:cs="Arial" w:eastAsia="Arial" w:hAnsi="Arial"/>
                <w:sz w:val="22"/>
                <w:szCs w:val="22"/>
                <w:color w:val="auto"/>
              </w:rPr>
              <w:t>Mail Stop 4720</w:t>
            </w: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line="243" w:lineRule="exact"/>
              <w:rPr>
                <w:sz w:val="20"/>
                <w:szCs w:val="20"/>
                <w:color w:val="auto"/>
              </w:rPr>
            </w:pPr>
            <w:r>
              <w:rPr>
                <w:rFonts w:ascii="Arial" w:cs="Arial" w:eastAsia="Arial" w:hAnsi="Arial"/>
                <w:sz w:val="22"/>
                <w:szCs w:val="22"/>
                <w:color w:val="auto"/>
              </w:rPr>
              <w:t>Washington, D.C. 20549</w:t>
            </w:r>
          </w:p>
        </w:tc>
        <w:tc>
          <w:tcPr>
            <w:tcW w:w="4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60" w:type="dxa"/>
            <w:vAlign w:val="bottom"/>
          </w:tcPr>
          <w:p>
            <w:pPr>
              <w:spacing w:after="0"/>
              <w:rPr>
                <w:sz w:val="20"/>
                <w:szCs w:val="20"/>
                <w:color w:val="auto"/>
              </w:rPr>
            </w:pPr>
            <w:r>
              <w:rPr>
                <w:rFonts w:ascii="Arial" w:cs="Arial" w:eastAsia="Arial" w:hAnsi="Arial"/>
                <w:sz w:val="22"/>
                <w:szCs w:val="22"/>
                <w:color w:val="auto"/>
              </w:rPr>
              <w:t>Attention: Ms. Suzanne Hayes and Mr. Jacob Luxenburg</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06"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Selecta Biosciences, Inc. | Anticipated Price Range | Registration Statement on Form S-1 (File No. 333-211555</w:t>
      </w:r>
      <w:r>
        <w:rPr>
          <w:rFonts w:ascii="Arial" w:cs="Arial" w:eastAsia="Arial" w:hAnsi="Arial"/>
          <w:sz w:val="19"/>
          <w:szCs w:val="19"/>
          <w:color w:val="auto"/>
        </w:rPr>
        <w:t>)</w:t>
      </w: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19"/>
          <w:szCs w:val="19"/>
          <w:color w:val="auto"/>
        </w:rPr>
        <w:t>This letter is furnished supplementally on behalf of Selecta Biosciences,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w:t>
      </w:r>
    </w:p>
    <w:p>
      <w:pPr>
        <w:spacing w:after="0" w:line="43" w:lineRule="exact"/>
        <w:rPr>
          <w:sz w:val="24"/>
          <w:szCs w:val="24"/>
          <w:color w:val="auto"/>
        </w:rPr>
      </w:pPr>
    </w:p>
    <w:p>
      <w:pPr>
        <w:spacing w:after="0"/>
        <w:rPr>
          <w:sz w:val="20"/>
          <w:szCs w:val="20"/>
          <w:color w:val="auto"/>
        </w:rPr>
      </w:pPr>
      <w:r>
        <w:rPr>
          <w:rFonts w:ascii="Arial" w:cs="Arial" w:eastAsia="Arial" w:hAnsi="Arial"/>
          <w:sz w:val="19"/>
          <w:szCs w:val="19"/>
          <w:color w:val="auto"/>
        </w:rPr>
        <w:t>review by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of the above-mentioned Registration Statement on</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Form S-1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To assist the staff (the “</w:t>
      </w:r>
      <w:r>
        <w:rPr>
          <w:rFonts w:ascii="Arial" w:cs="Arial" w:eastAsia="Arial" w:hAnsi="Arial"/>
          <w:sz w:val="19"/>
          <w:szCs w:val="19"/>
          <w:b w:val="1"/>
          <w:bCs w:val="1"/>
          <w:i w:val="1"/>
          <w:iCs w:val="1"/>
          <w:color w:val="auto"/>
        </w:rPr>
        <w:t>Staff</w:t>
      </w:r>
      <w:r>
        <w:rPr>
          <w:rFonts w:ascii="Arial" w:cs="Arial" w:eastAsia="Arial" w:hAnsi="Arial"/>
          <w:sz w:val="19"/>
          <w:szCs w:val="19"/>
          <w:color w:val="auto"/>
        </w:rPr>
        <w:t>”) of the Commission in its review, the Company advises the</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Staff that it presently estimates, based in part on input recently received from its underwriters, that the public offering price per</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share for the offering pursuant to the Registration Statement will be between $[***] and $[***] (without giving effect to any stock</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split that the Company may effect prior to the offering), considering information currently available and current market conditions.</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For clarity, the Company advises the Staff that, given the volatility of the public trading markets and the uncertainty of the timing</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of the offering, the Company and the underwriters have not yet finally agreed to a price range for the offering. The Company</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advises the Staff that the final range to be included in a pre-effective amendment to the Registration Statement will include a price</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range of no more than $2.00, if the maximum price is $10.00 per share or less, or 20%, if the maximum price is greater than $10.00</w:t>
      </w:r>
    </w:p>
    <w:p>
      <w:pPr>
        <w:spacing w:after="0" w:line="25" w:lineRule="exact"/>
        <w:rPr>
          <w:sz w:val="24"/>
          <w:szCs w:val="24"/>
          <w:color w:val="auto"/>
        </w:rPr>
      </w:pPr>
    </w:p>
    <w:p>
      <w:pPr>
        <w:spacing w:after="0"/>
        <w:rPr>
          <w:sz w:val="20"/>
          <w:szCs w:val="20"/>
          <w:color w:val="auto"/>
        </w:rPr>
      </w:pPr>
      <w:r>
        <w:rPr>
          <w:rFonts w:ascii="Arial" w:cs="Arial" w:eastAsia="Arial" w:hAnsi="Arial"/>
          <w:sz w:val="22"/>
          <w:szCs w:val="22"/>
          <w:color w:val="auto"/>
        </w:rPr>
        <w:t>per share, unless otherwise approved by the Staff.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HAS BEEN REQUESTED BY 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May 31, 2016</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24333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16319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340" w:firstLine="648"/>
        <w:spacing w:after="0" w:line="269" w:lineRule="auto"/>
        <w:rPr>
          <w:sz w:val="20"/>
          <w:szCs w:val="20"/>
          <w:color w:val="auto"/>
        </w:rPr>
      </w:pPr>
      <w:r>
        <w:rPr>
          <w:rFonts w:ascii="Arial" w:cs="Arial" w:eastAsia="Arial" w:hAnsi="Arial"/>
          <w:sz w:val="19"/>
          <w:szCs w:val="19"/>
          <w:color w:val="auto"/>
        </w:rPr>
        <w:t>As described in the Registration Statement under the heading “Management’s Discussion and Analysis of Financial Condition and Results of Operations—Critical Accounting Policies and Use of Estimates—Stock-Based Compensation,” the Company’s most recent grants of stock options were made on April 5, 2016 with an exercise price of $2.09 per share, which the Company determined to be the fair value of its common stock on that date based on a third-party valuation of its common stock conducted as of March 31, 2016. The March 31, 2016 valuation estimated the fair value of the Company’s common stock to be $2.09 per share on that date. A “Discount for Lack of Marketability” of 12.52% was applied to $2.39 per share, resulting in a common stock price per share of $2.09. A third-party valuation of the Company’s common stock was also conducted as of</w:t>
      </w:r>
    </w:p>
    <w:p>
      <w:pPr>
        <w:spacing w:after="0" w:line="5" w:lineRule="exact"/>
        <w:rPr>
          <w:sz w:val="24"/>
          <w:szCs w:val="24"/>
          <w:color w:val="auto"/>
        </w:rPr>
      </w:pPr>
    </w:p>
    <w:p>
      <w:pPr>
        <w:spacing w:after="0" w:line="233" w:lineRule="auto"/>
        <w:rPr>
          <w:sz w:val="20"/>
          <w:szCs w:val="20"/>
          <w:color w:val="auto"/>
        </w:rPr>
      </w:pPr>
      <w:r>
        <w:rPr>
          <w:rFonts w:ascii="Arial" w:cs="Arial" w:eastAsia="Arial" w:hAnsi="Arial"/>
          <w:sz w:val="22"/>
          <w:szCs w:val="22"/>
          <w:color w:val="auto"/>
        </w:rPr>
        <w:t>April 30, 2016. The April 30, 2016 valuation estimated the fair value of the Company’s common stock to be $2.30 per share on that date, which the Company determined to be the fair value of its common stock in connection with the automatic cashless exercise of warrants on May 24, 2016. A “Discount for Lack of Marketability” of 12.05% was applied to $2.62 per share, resulting in a common stock price per share of $2.30.</w:t>
      </w:r>
    </w:p>
    <w:p>
      <w:pPr>
        <w:spacing w:after="0" w:line="188" w:lineRule="exact"/>
        <w:rPr>
          <w:sz w:val="24"/>
          <w:szCs w:val="24"/>
          <w:color w:val="auto"/>
        </w:rPr>
      </w:pPr>
    </w:p>
    <w:p>
      <w:pPr>
        <w:ind w:right="220" w:firstLine="648"/>
        <w:spacing w:after="0" w:line="297" w:lineRule="auto"/>
        <w:rPr>
          <w:sz w:val="20"/>
          <w:szCs w:val="20"/>
          <w:color w:val="auto"/>
        </w:rPr>
      </w:pPr>
      <w:r>
        <w:rPr>
          <w:rFonts w:ascii="Arial" w:cs="Arial" w:eastAsia="Arial" w:hAnsi="Arial"/>
          <w:sz w:val="19"/>
          <w:szCs w:val="19"/>
          <w:color w:val="auto"/>
        </w:rPr>
        <w:t>In conclusion, the Company respectfully submits that the difference between the latest valuation and the estimated IPO price (</w:t>
      </w:r>
      <w:r>
        <w:rPr>
          <w:rFonts w:ascii="Arial" w:cs="Arial" w:eastAsia="Arial" w:hAnsi="Arial"/>
          <w:sz w:val="19"/>
          <w:szCs w:val="19"/>
          <w:i w:val="1"/>
          <w:iCs w:val="1"/>
          <w:color w:val="auto"/>
        </w:rPr>
        <w:t>i.e.</w:t>
      </w:r>
      <w:r>
        <w:rPr>
          <w:rFonts w:ascii="Arial" w:cs="Arial" w:eastAsia="Arial" w:hAnsi="Arial"/>
          <w:sz w:val="19"/>
          <w:szCs w:val="19"/>
          <w:color w:val="auto"/>
        </w:rPr>
        <w:t>, the midpoint price) is reasonable. As requested by the Staff, the Company will continue to update its disclosure for all equity related transactions through the effective date of the Registration Statement. Please see “Management’s Discussion and</w:t>
      </w:r>
    </w:p>
    <w:p>
      <w:pPr>
        <w:sectPr>
          <w:pgSz w:w="11900" w:h="16971" w:orient="portrait"/>
          <w:cols w:equalWidth="0" w:num="1">
            <w:col w:w="11400"/>
          </w:cols>
          <w:pgMar w:left="240" w:top="498" w:right="259" w:bottom="0" w:gutter="0" w:footer="0" w:header="0"/>
        </w:sectPr>
      </w:pPr>
    </w:p>
    <w:bookmarkStart w:id="1" w:name="page2"/>
    <w:bookmarkEnd w:id="1"/>
    <w:p>
      <w:pPr>
        <w:ind w:right="400"/>
        <w:spacing w:after="0" w:line="251" w:lineRule="auto"/>
        <w:rPr>
          <w:sz w:val="20"/>
          <w:szCs w:val="20"/>
          <w:color w:val="auto"/>
        </w:rPr>
      </w:pPr>
      <w:r>
        <w:rPr>
          <w:rFonts w:ascii="Arial" w:cs="Arial" w:eastAsia="Arial" w:hAnsi="Arial"/>
          <w:sz w:val="22"/>
          <w:szCs w:val="22"/>
          <w:color w:val="auto"/>
        </w:rPr>
        <w:t>Analysis of Financial Condition and Results of Operations—Critical Accounting Policies and Use of Estimates—Stock-Based Compensation,” for an additional discussion of the valuation of the Company’s common stock.</w:t>
      </w:r>
    </w:p>
    <w:p>
      <w:pPr>
        <w:spacing w:after="0" w:line="168" w:lineRule="exact"/>
        <w:rPr>
          <w:sz w:val="20"/>
          <w:szCs w:val="20"/>
          <w:color w:val="auto"/>
        </w:rPr>
      </w:pPr>
    </w:p>
    <w:p>
      <w:pPr>
        <w:jc w:val="both"/>
        <w:ind w:right="200" w:firstLine="648"/>
        <w:spacing w:after="0" w:line="289" w:lineRule="auto"/>
        <w:rPr>
          <w:sz w:val="20"/>
          <w:szCs w:val="20"/>
          <w:color w:val="auto"/>
        </w:rPr>
      </w:pPr>
      <w:r>
        <w:rPr>
          <w:rFonts w:ascii="Arial" w:cs="Arial" w:eastAsia="Arial" w:hAnsi="Arial"/>
          <w:sz w:val="19"/>
          <w:szCs w:val="19"/>
          <w:b w:val="1"/>
          <w:bCs w:val="1"/>
          <w:color w:val="auto"/>
        </w:rPr>
        <w:t>The Company respectfully requests that the information contained in this request letter be treated as confidential information and that the Commission provide timely notice to Werner Cautreels, Ph.D., Chief Executive Officer, Selecta Biosciences, Inc., 480 Arsenal Street, Building One, Watertown, Massachusetts 02472, telephone (617) 923-1400, before it permits any disclosure of the underlined and highlighted information contained in this request letter.</w:t>
      </w:r>
    </w:p>
    <w:p>
      <w:pPr>
        <w:spacing w:after="0" w:line="142"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Please direct any questions or comments regarding this letter or the Registration Statement to the undersigned at (202) 637-2117 or to Peter N. Handrinos of this firm at (617) 948-6060. Thank you for your assistance.</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Brandon J. Bortner</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Brandon J. Bortner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of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819150</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HAS BEEN REQUESTED BY 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2019-12-08T18:52:48Z</dcterms:created>
  <dcterms:modified xsi:type="dcterms:W3CDTF">2019-12-08T18:52:48Z</dcterms:modified>
</cp:coreProperties>
</file>