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A. Haddad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23,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700" w:type="dxa"/>
            <w:vAlign w:val="bottom"/>
          </w:tcPr>
          <w:p>
            <w:pPr>
              <w:ind w:left="1420"/>
              <w:spacing w:after="0"/>
              <w:rPr>
                <w:sz w:val="20"/>
                <w:szCs w:val="20"/>
                <w:color w:val="auto"/>
              </w:rPr>
            </w:pPr>
            <w:r>
              <w:rPr>
                <w:rFonts w:ascii="Arial" w:cs="Arial" w:eastAsia="Arial" w:hAnsi="Arial"/>
                <w:sz w:val="18"/>
                <w:szCs w:val="18"/>
                <w:b w:val="1"/>
                <w:bCs w:val="1"/>
                <w:color w:val="auto"/>
              </w:rPr>
              <w:t>13D</w:t>
            </w:r>
          </w:p>
        </w:tc>
        <w:tc>
          <w:tcPr>
            <w:tcW w:w="3280" w:type="dxa"/>
            <w:vAlign w:val="bottom"/>
          </w:tcPr>
          <w:p>
            <w:pPr>
              <w:ind w:left="1940"/>
              <w:spacing w:after="0"/>
              <w:rPr>
                <w:sz w:val="20"/>
                <w:szCs w:val="20"/>
                <w:color w:val="auto"/>
              </w:rPr>
            </w:pPr>
            <w:r>
              <w:rPr>
                <w:rFonts w:ascii="Arial" w:cs="Arial" w:eastAsia="Arial" w:hAnsi="Arial"/>
                <w:sz w:val="18"/>
                <w:szCs w:val="18"/>
                <w:b w:val="1"/>
                <w:bCs w:val="1"/>
                <w:color w:val="auto"/>
                <w:w w:val="86"/>
              </w:rPr>
              <w:t>Page 2 of 8 Pages</w:t>
            </w:r>
          </w:p>
        </w:tc>
      </w:tr>
      <w:tr>
        <w:trPr>
          <w:trHeight w:val="149"/>
        </w:trPr>
        <w:tc>
          <w:tcPr>
            <w:tcW w:w="20" w:type="dxa"/>
            <w:vAlign w:val="bottom"/>
          </w:tcPr>
          <w:p>
            <w:pPr>
              <w:spacing w:after="0"/>
              <w:rPr>
                <w:sz w:val="12"/>
                <w:szCs w:val="12"/>
                <w:color w:val="auto"/>
              </w:rPr>
            </w:pPr>
          </w:p>
        </w:tc>
        <w:tc>
          <w:tcPr>
            <w:tcW w:w="404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0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Timothy A. Springer</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93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9380" w:type="dxa"/>
            <w:vAlign w:val="bottom"/>
          </w:tcPr>
          <w:p>
            <w:pPr>
              <w:ind w:left="80"/>
              <w:spacing w:after="0"/>
              <w:rPr>
                <w:sz w:val="20"/>
                <w:szCs w:val="20"/>
                <w:color w:val="auto"/>
              </w:rPr>
            </w:pPr>
            <w:r>
              <w:rPr>
                <w:rFonts w:ascii="Arial" w:cs="Arial" w:eastAsia="Arial" w:hAnsi="Arial"/>
                <w:sz w:val="22"/>
                <w:szCs w:val="22"/>
                <w:color w:val="auto"/>
              </w:rPr>
              <w:t>14,932,489 shares</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8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8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14,932,489 shares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14,932,489 shares</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9"/>
              </w:rPr>
              <w:t>17.0%</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0"/>
              </w:rPr>
              <w:t>IN, OO</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700" w:type="dxa"/>
            <w:vAlign w:val="bottom"/>
          </w:tcPr>
          <w:p>
            <w:pPr>
              <w:ind w:left="1420"/>
              <w:spacing w:after="0"/>
              <w:rPr>
                <w:sz w:val="20"/>
                <w:szCs w:val="20"/>
                <w:color w:val="auto"/>
              </w:rPr>
            </w:pPr>
            <w:r>
              <w:rPr>
                <w:rFonts w:ascii="Arial" w:cs="Arial" w:eastAsia="Arial" w:hAnsi="Arial"/>
                <w:sz w:val="18"/>
                <w:szCs w:val="18"/>
                <w:b w:val="1"/>
                <w:bCs w:val="1"/>
                <w:color w:val="auto"/>
              </w:rPr>
              <w:t>13D</w:t>
            </w:r>
          </w:p>
        </w:tc>
        <w:tc>
          <w:tcPr>
            <w:tcW w:w="3280" w:type="dxa"/>
            <w:vAlign w:val="bottom"/>
          </w:tcPr>
          <w:p>
            <w:pPr>
              <w:ind w:left="1940"/>
              <w:spacing w:after="0"/>
              <w:rPr>
                <w:sz w:val="20"/>
                <w:szCs w:val="20"/>
                <w:color w:val="auto"/>
              </w:rPr>
            </w:pPr>
            <w:r>
              <w:rPr>
                <w:rFonts w:ascii="Arial" w:cs="Arial" w:eastAsia="Arial" w:hAnsi="Arial"/>
                <w:sz w:val="18"/>
                <w:szCs w:val="18"/>
                <w:b w:val="1"/>
                <w:bCs w:val="1"/>
                <w:color w:val="auto"/>
                <w:w w:val="86"/>
              </w:rPr>
              <w:t>Page 3 of 8 Pages</w:t>
            </w:r>
          </w:p>
        </w:tc>
      </w:tr>
      <w:tr>
        <w:trPr>
          <w:trHeight w:val="149"/>
        </w:trPr>
        <w:tc>
          <w:tcPr>
            <w:tcW w:w="20" w:type="dxa"/>
            <w:vAlign w:val="bottom"/>
          </w:tcPr>
          <w:p>
            <w:pPr>
              <w:spacing w:after="0"/>
              <w:rPr>
                <w:sz w:val="12"/>
                <w:szCs w:val="12"/>
                <w:color w:val="auto"/>
              </w:rPr>
            </w:pPr>
          </w:p>
        </w:tc>
        <w:tc>
          <w:tcPr>
            <w:tcW w:w="404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0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TAS Partners LLC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Delaware</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93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9380" w:type="dxa"/>
            <w:vAlign w:val="bottom"/>
          </w:tcPr>
          <w:p>
            <w:pPr>
              <w:ind w:left="80"/>
              <w:spacing w:after="0"/>
              <w:rPr>
                <w:sz w:val="20"/>
                <w:szCs w:val="20"/>
                <w:color w:val="auto"/>
              </w:rPr>
            </w:pPr>
            <w:r>
              <w:rPr>
                <w:rFonts w:ascii="Arial" w:cs="Arial" w:eastAsia="Arial" w:hAnsi="Arial"/>
                <w:sz w:val="22"/>
                <w:szCs w:val="22"/>
                <w:color w:val="auto"/>
              </w:rPr>
              <w:t>7,456,906 shares</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8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8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7,456,906 shares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7,456,906 shares</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8.5%</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700" w:type="dxa"/>
            <w:vAlign w:val="bottom"/>
          </w:tcPr>
          <w:p>
            <w:pPr>
              <w:ind w:left="1420"/>
              <w:spacing w:after="0"/>
              <w:rPr>
                <w:sz w:val="20"/>
                <w:szCs w:val="20"/>
                <w:color w:val="auto"/>
              </w:rPr>
            </w:pPr>
            <w:r>
              <w:rPr>
                <w:rFonts w:ascii="Arial" w:cs="Arial" w:eastAsia="Arial" w:hAnsi="Arial"/>
                <w:sz w:val="18"/>
                <w:szCs w:val="18"/>
                <w:b w:val="1"/>
                <w:bCs w:val="1"/>
                <w:color w:val="auto"/>
              </w:rPr>
              <w:t>13D</w:t>
            </w:r>
          </w:p>
        </w:tc>
        <w:tc>
          <w:tcPr>
            <w:tcW w:w="3280" w:type="dxa"/>
            <w:vAlign w:val="bottom"/>
          </w:tcPr>
          <w:p>
            <w:pPr>
              <w:ind w:left="1940"/>
              <w:spacing w:after="0"/>
              <w:rPr>
                <w:sz w:val="20"/>
                <w:szCs w:val="20"/>
                <w:color w:val="auto"/>
              </w:rPr>
            </w:pPr>
            <w:r>
              <w:rPr>
                <w:rFonts w:ascii="Arial" w:cs="Arial" w:eastAsia="Arial" w:hAnsi="Arial"/>
                <w:sz w:val="18"/>
                <w:szCs w:val="18"/>
                <w:b w:val="1"/>
                <w:bCs w:val="1"/>
                <w:color w:val="auto"/>
                <w:w w:val="86"/>
              </w:rPr>
              <w:t>Page 4 of 8 Pages</w:t>
            </w:r>
          </w:p>
        </w:tc>
      </w:tr>
      <w:tr>
        <w:trPr>
          <w:trHeight w:val="149"/>
        </w:trPr>
        <w:tc>
          <w:tcPr>
            <w:tcW w:w="20" w:type="dxa"/>
            <w:vAlign w:val="bottom"/>
          </w:tcPr>
          <w:p>
            <w:pPr>
              <w:spacing w:after="0"/>
              <w:rPr>
                <w:sz w:val="12"/>
                <w:szCs w:val="12"/>
                <w:color w:val="auto"/>
              </w:rPr>
            </w:pPr>
          </w:p>
        </w:tc>
        <w:tc>
          <w:tcPr>
            <w:tcW w:w="404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0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Chafen Lu</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93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9380" w:type="dxa"/>
            <w:vAlign w:val="bottom"/>
          </w:tcPr>
          <w:p>
            <w:pPr>
              <w:ind w:left="8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8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8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8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0.1%</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0"/>
              </w:rPr>
              <w:t>IN, OO</w:t>
            </w: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4" w:name="page5"/>
    <w:bookmarkEnd w:id="4"/>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5"/>
          <w:szCs w:val="15"/>
          <w:b w:val="1"/>
          <w:bCs w:val="1"/>
          <w:color w:val="auto"/>
        </w:rPr>
        <w:t>Page 5 of 8 Pages</w:t>
      </w:r>
    </w:p>
    <w:p>
      <w:pPr>
        <w:spacing w:after="0" w:line="16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This Amendment No. 4 to the statement on Schedule 13D (this “Statement”) with respect to the shares of common stock, par value $0.0001 per share (the “Shares”), of Selecta Biosciences, Inc., a Delaware corporation (the “Issuer”), originally filed by Timothy A. Springer (“Dr. Springer”),</w:t>
      </w:r>
    </w:p>
    <w:p>
      <w:pPr>
        <w:ind w:right="180"/>
        <w:spacing w:after="0" w:line="273" w:lineRule="auto"/>
        <w:rPr>
          <w:sz w:val="20"/>
          <w:szCs w:val="20"/>
          <w:color w:val="auto"/>
        </w:rPr>
      </w:pPr>
      <w:r>
        <w:rPr>
          <w:rFonts w:ascii="Arial" w:cs="Arial" w:eastAsia="Arial" w:hAnsi="Arial"/>
          <w:sz w:val="17"/>
          <w:szCs w:val="17"/>
          <w:color w:val="auto"/>
        </w:rPr>
        <w:t>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and Amendment No. 3 to the statement on Schedule 13D filed on December 17, 2019 (such statement and amendments, as further amended herein, the “Schedule 13D”) amends the Schedule 13D as set forth below.</w:t>
      </w:r>
    </w:p>
    <w:p>
      <w:pPr>
        <w:spacing w:after="0" w:line="17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4, items in the Schedule 13D are unchanged.</w:t>
      </w:r>
    </w:p>
    <w:p>
      <w:pPr>
        <w:spacing w:after="0" w:line="3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December 23, 2019, TAS purchased from the Issuer, pursuant to a securities purchase agreement by and among the Issuer, TAS, and certain other investors (the “Securities Purchase Agreement”), 3,940,887 Shares (the “Private Placement Shares”) at a price of $1.46 per Share, which was equal to the most recent consolidated closing bid price on the Nasdaq Global Market on December 18, 2019, and warrants to purchase 1,970,443 Shares (the “Warrant Shares”), exercisable at $1.46 per Share, at a purchase price of $0.125 per Warrant Share. The Warrant Shares were issued to Dr. Springer pursuant to a separate Common Stock Purchase Warrant (the “Warrant”). The Warrant Shares are exercisable as of the date of grant and have a term of five years. To date, Dr. Springer has not exercised any of the Warrant Shares. TAS paid an aggregate purchase price of approximately $6.0 million for the Private Placement Shares and the Warrant Shares. TAS drew from its investment capital for such acquisitions.</w:t>
      </w:r>
    </w:p>
    <w:p>
      <w:pPr>
        <w:spacing w:after="0" w:line="16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December 23, 2019, in connection with the Securities Purchase Agreement, TAS entered into a registration rights agreement (the “Registration Rights Agreement”) with the Issuer and certain other investors, pursuant to which the Issuer agreed to prepare and file a registration statement with the Securities and Exchange Commission (the “SEC”) within 45 days after the closing of the transactions contemplated by the Securities Purchase Agreement for purposes of registering the resale of the Shares, including any Shares issuable upon exercise of the Warrant Shares. The Issuer agreed to use its reasonable best efforts to cause this registration statement to be declared effective by the SEC within 90 days after the closing of the transactions contemplated by the Securities Purchase Agreement (or within 120 days if the SEC reviews the registration statement). The Issuer has also agreed, among other things, to indemnify TAS and any of its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Issuer’s obligations under the Registration Rights Agreement.</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Securities Purchase Agreement is incorporated herein as </w:t>
      </w:r>
      <w:r>
        <w:rPr>
          <w:rFonts w:ascii="Arial" w:cs="Arial" w:eastAsia="Arial" w:hAnsi="Arial"/>
          <w:sz w:val="17"/>
          <w:szCs w:val="17"/>
          <w:u w:val="single" w:color="auto"/>
          <w:color w:val="auto"/>
        </w:rPr>
        <w:t>Exhibit 99.4</w:t>
      </w:r>
      <w:r>
        <w:rPr>
          <w:rFonts w:ascii="Arial" w:cs="Arial" w:eastAsia="Arial" w:hAnsi="Arial"/>
          <w:sz w:val="17"/>
          <w:szCs w:val="17"/>
          <w:color w:val="auto"/>
        </w:rPr>
        <w:t xml:space="preserve"> by reference to Exhibit 10.1 to the Report on Form 8-K filed by the Issuer with the Securities and Exchange Commission on December 26, 2019. The Warrant is incorporated herein as </w:t>
      </w:r>
      <w:r>
        <w:rPr>
          <w:rFonts w:ascii="Arial" w:cs="Arial" w:eastAsia="Arial" w:hAnsi="Arial"/>
          <w:sz w:val="17"/>
          <w:szCs w:val="17"/>
          <w:u w:val="single" w:color="auto"/>
          <w:color w:val="auto"/>
        </w:rPr>
        <w:t>Exhibit 4.2</w:t>
      </w:r>
      <w:r>
        <w:rPr>
          <w:rFonts w:ascii="Arial" w:cs="Arial" w:eastAsia="Arial" w:hAnsi="Arial"/>
          <w:sz w:val="17"/>
          <w:szCs w:val="17"/>
          <w:color w:val="auto"/>
        </w:rPr>
        <w:t xml:space="preserve"> by reference to Exhibit 4.1 to the Report on Form 8-K filed by the Issuer with the Securities and Exchange Commission on December 26, 2019. The Registration Rights Agreement is incorporated herein as </w:t>
      </w:r>
      <w:r>
        <w:rPr>
          <w:rFonts w:ascii="Arial" w:cs="Arial" w:eastAsia="Arial" w:hAnsi="Arial"/>
          <w:sz w:val="17"/>
          <w:szCs w:val="17"/>
          <w:u w:val="single" w:color="auto"/>
          <w:color w:val="auto"/>
        </w:rPr>
        <w:t>Exhibit 99.5</w:t>
      </w:r>
      <w:r>
        <w:rPr>
          <w:rFonts w:ascii="Arial" w:cs="Arial" w:eastAsia="Arial" w:hAnsi="Arial"/>
          <w:sz w:val="17"/>
          <w:szCs w:val="17"/>
          <w:color w:val="auto"/>
        </w:rPr>
        <w:t xml:space="preserve"> by reference to Exhibit 10.2 to the Report on Form 8-K filed by the Issuer with the Securities and Exchange Commission on December 26, 2019. In each case, any description thereof is qualified in its entirety by reference thereto.</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5"/>
          <w:szCs w:val="15"/>
          <w:b w:val="1"/>
          <w:bCs w:val="1"/>
          <w:color w:val="auto"/>
        </w:rPr>
        <w:t>Page 6 of 8 Pages</w:t>
      </w:r>
    </w:p>
    <w:p>
      <w:pPr>
        <w:spacing w:after="0" w:line="162" w:lineRule="exact"/>
        <w:rPr>
          <w:sz w:val="20"/>
          <w:szCs w:val="20"/>
          <w:color w:val="auto"/>
        </w:rPr>
      </w:pPr>
    </w:p>
    <w:p>
      <w:pPr>
        <w:ind w:right="60" w:firstLine="996"/>
        <w:spacing w:after="0" w:line="276" w:lineRule="auto"/>
        <w:tabs>
          <w:tab w:leader="none" w:pos="136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percentages of beneficial ownership reported in this Item 5, and on each Reporting Person’s cover page to this Statement, are based on a total of 48,196,387 Shares issued and outstanding as of November 4, 2019, as reported on the Issuer’s Quarterly Report on Form 10-Q, dated November 8, 2019, as well as an additional 37,634,883 Shares issued to certain investors, including TAS, on December 23, 2019 pursuant to the Securities Purchase Agreement, as reported on the Issuer’s Current Report on Form 8-K, dated December 26, 2019. All of the Share numbers reported below, and on each Reporting Person’s cover page to this Statement, are as of December 23,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 14,932,489 Shares, representing approximately 17.0% of such class of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Dr. Springer is the beneficial owner of a total of 14,932,489 Shares, representing approximately 17.0% of the outstanding Shares and consisting of</w:t>
      </w:r>
    </w:p>
    <w:p>
      <w:pPr>
        <w:spacing w:after="0" w:line="35" w:lineRule="exact"/>
        <w:rPr>
          <w:sz w:val="20"/>
          <w:szCs w:val="20"/>
          <w:color w:val="auto"/>
        </w:rPr>
      </w:pPr>
    </w:p>
    <w:p>
      <w:pPr>
        <w:ind w:firstLine="4"/>
        <w:spacing w:after="0" w:line="281"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7,293,625 Shares held directly, (ii) 79,130 Shares underlying warrants exercisable within 60 days of December 23, 2019 and held directly, (iii) 16,410 Shares issuable upon exercise of outstanding options within 60 days of December 23, 2019 and held directly, (iv) 5,486,463 Shares held by TAS,</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1,970,443 Shares underlying warrants exercisable within 60 days of December 23, 2019 held by TAS, and (vi) 86,418 Shares held by Dr. Lu.</w:t>
      </w:r>
    </w:p>
    <w:p>
      <w:pPr>
        <w:spacing w:after="0" w:line="2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TAS is the beneficial owner of a total of 7,456,906 Shares, representing approximately 8.5% of the outstanding Shares and consisting of (i) 5,486,463 Shares and (ii) 1,970,443 Shares underlying warrants exercisable within 60 days of December 23, 2019. TAS holds all such Shares directly. Dr. Springer is the sole managing member of TAS.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Dr. Lu is the beneficial owner of a total of 86,418 Shares, representing approximately 0.1% of the outstanding Shares. Dr. Lu holds all such Shares directly. Dr. Lu is the spouse of Dr. Springer.</w:t>
      </w:r>
    </w:p>
    <w:p>
      <w:pPr>
        <w:spacing w:after="0" w:line="170"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Dr. Springer exercises sole voting and dispositive power over the Shares held by him directly and the Shares held by TAS.</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Dr. Springer disclaims beneficial ownership of the Shares held by TAS, except to the extent of his pecuniary interest therein. Dr. Lu exercises sole voting and dispositive power over the Shares held by her directly.</w:t>
      </w:r>
    </w:p>
    <w:p>
      <w:pPr>
        <w:spacing w:after="0" w:line="184" w:lineRule="exact"/>
        <w:rPr>
          <w:sz w:val="20"/>
          <w:szCs w:val="20"/>
          <w:color w:val="auto"/>
        </w:rPr>
      </w:pPr>
    </w:p>
    <w:p>
      <w:pPr>
        <w:ind w:right="420" w:firstLine="996"/>
        <w:spacing w:after="0" w:line="277"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40" w:firstLine="996"/>
        <w:spacing w:after="0" w:line="277" w:lineRule="auto"/>
        <w:tabs>
          <w:tab w:leader="none" w:pos="1382"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to be supplemented by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260" w:type="dxa"/>
            <w:vAlign w:val="bottom"/>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90"/>
              </w:rPr>
              <w:t>Form of Common Stock Purchase Warrant, dated December 23, 2019 (incorporated by reference to Exhibit 4.1 to the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filed by the Issuer with the Securities and Exchange Commission on December 26, 2019).</w:t>
            </w:r>
          </w:p>
        </w:tc>
        <w:tc>
          <w:tcPr>
            <w:tcW w:w="0" w:type="dxa"/>
            <w:vAlign w:val="bottom"/>
          </w:tcPr>
          <w:p>
            <w:pPr>
              <w:spacing w:after="0"/>
              <w:rPr>
                <w:sz w:val="1"/>
                <w:szCs w:val="1"/>
                <w:color w:val="auto"/>
              </w:rPr>
            </w:pPr>
          </w:p>
        </w:tc>
      </w:tr>
      <w:tr>
        <w:trPr>
          <w:trHeight w:val="310"/>
        </w:trPr>
        <w:tc>
          <w:tcPr>
            <w:tcW w:w="460" w:type="dxa"/>
            <w:vAlign w:val="bottom"/>
            <w:gridSpan w:val="2"/>
          </w:tcPr>
          <w:p>
            <w:pPr>
              <w:spacing w:after="0"/>
              <w:rPr>
                <w:sz w:val="20"/>
                <w:szCs w:val="20"/>
                <w:color w:val="auto"/>
              </w:rPr>
            </w:pPr>
            <w:r>
              <w:rPr>
                <w:rFonts w:ascii="Arial" w:cs="Arial" w:eastAsia="Arial" w:hAnsi="Arial"/>
                <w:sz w:val="18"/>
                <w:szCs w:val="18"/>
                <w:color w:val="auto"/>
              </w:rPr>
              <w:t>99.4</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93"/>
              </w:rPr>
              <w:t>Securities Purchase Agreement, dated December 18, 2019, by and among Selecta Biosciences, Inc. and the Investors named therein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91"/>
              </w:rPr>
              <w:t>(incorporated by reference to Exhibit 10.1 to the Report on Form 8-K filed by the Issuer with the Securities and Exchange Commission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December 26, 2019).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5"/>
          <w:szCs w:val="15"/>
          <w:b w:val="1"/>
          <w:bCs w:val="1"/>
          <w:color w:val="auto"/>
        </w:rPr>
        <w:t>Page 7 of 8 Pages</w:t>
      </w:r>
    </w:p>
    <w:p>
      <w:pPr>
        <w:spacing w:after="0" w:line="270" w:lineRule="exact"/>
        <w:rPr>
          <w:sz w:val="20"/>
          <w:szCs w:val="20"/>
          <w:color w:val="auto"/>
        </w:rPr>
      </w:pPr>
    </w:p>
    <w:p>
      <w:pPr>
        <w:ind w:left="660" w:right="400" w:hanging="661"/>
        <w:spacing w:after="0" w:line="264" w:lineRule="auto"/>
        <w:tabs>
          <w:tab w:leader="none" w:pos="64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Registration Rights Agreement, dated December 23, 2019, by and among Selecta Biosciences, Inc. and the Investors named therein (incorporated by reference to Exhibit 10.2 to the Report on Form 8-K filed by the Issuer with the Securities and Exchange Commission on December 26,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5"/>
          <w:szCs w:val="15"/>
          <w:b w:val="1"/>
          <w:bCs w:val="1"/>
          <w:color w:val="auto"/>
        </w:rPr>
        <w:t>Page 8 of 8 Pages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2020</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5"/>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2020-01-02T15:53:03Z</dcterms:created>
  <dcterms:modified xsi:type="dcterms:W3CDTF">2020-01-02T15:53:03Z</dcterms:modified>
</cp:coreProperties>
</file>