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96"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7" w:lineRule="auto"/>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Polaris Venture Management Co. V,</w:t>
        </w:r>
      </w:hyperlink>
      <w:r>
        <w:rPr>
          <w:rFonts w:ascii="Arial" w:cs="Arial" w:eastAsia="Arial" w:hAnsi="Arial"/>
          <w:sz w:val="22"/>
          <w:szCs w:val="22"/>
          <w:u w:val="single" w:color="auto"/>
          <w:color w:val="0000EE"/>
        </w:rPr>
        <w:t xml:space="preserve"> </w:t>
      </w:r>
      <w:hyperlink r:id="rId11">
        <w:r>
          <w:rPr>
            <w:rFonts w:ascii="Arial" w:cs="Arial" w:eastAsia="Arial" w:hAnsi="Arial"/>
            <w:sz w:val="22"/>
            <w:szCs w:val="22"/>
            <w:u w:val="single" w:color="auto"/>
            <w:color w:val="0000EE"/>
          </w:rPr>
          <w:t>L.L.C.</w:t>
        </w:r>
      </w:hyperlink>
    </w:p>
    <w:p>
      <w:pPr>
        <w:spacing w:after="0" w:line="313"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right="420"/>
        <w:spacing w:after="0" w:line="268" w:lineRule="auto"/>
        <w:rPr>
          <w:sz w:val="20"/>
          <w:szCs w:val="20"/>
          <w:color w:val="auto"/>
        </w:rPr>
      </w:pPr>
      <w:r>
        <w:rPr>
          <w:rFonts w:ascii="Arial" w:cs="Arial" w:eastAsia="Arial" w:hAnsi="Arial"/>
          <w:sz w:val="18"/>
          <w:szCs w:val="18"/>
          <w:color w:val="0000FF"/>
        </w:rPr>
        <w:t>ONE MARINA PARK DRIVE, 10TH FLOOR</w:t>
      </w:r>
    </w:p>
    <w:p>
      <w:pPr>
        <w:spacing w:after="0" w:line="31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42"/>
        </w:trPr>
        <w:tc>
          <w:tcPr>
            <w:tcW w:w="940" w:type="dxa"/>
            <w:vAlign w:val="bottom"/>
          </w:tcPr>
          <w:p>
            <w:pPr>
              <w:ind w:left="40"/>
              <w:spacing w:after="0"/>
              <w:rPr>
                <w:sz w:val="20"/>
                <w:szCs w:val="20"/>
                <w:color w:val="auto"/>
              </w:rPr>
            </w:pPr>
            <w:r>
              <w:rPr>
                <w:rFonts w:ascii="Arial" w:cs="Arial" w:eastAsia="Arial" w:hAnsi="Arial"/>
                <w:sz w:val="18"/>
                <w:szCs w:val="18"/>
                <w:color w:val="0000FF"/>
              </w:rPr>
              <w:t>BOSTON</w:t>
            </w:r>
          </w:p>
        </w:tc>
        <w:tc>
          <w:tcPr>
            <w:tcW w:w="880" w:type="dxa"/>
            <w:vAlign w:val="bottom"/>
          </w:tcPr>
          <w:p>
            <w:pPr>
              <w:ind w:left="200"/>
              <w:spacing w:after="0"/>
              <w:rPr>
                <w:sz w:val="20"/>
                <w:szCs w:val="20"/>
                <w:color w:val="auto"/>
              </w:rPr>
            </w:pPr>
            <w:r>
              <w:rPr>
                <w:rFonts w:ascii="Arial" w:cs="Arial" w:eastAsia="Arial" w:hAnsi="Arial"/>
                <w:sz w:val="18"/>
                <w:szCs w:val="18"/>
                <w:color w:val="0000FF"/>
              </w:rPr>
              <w:t>MA</w:t>
            </w:r>
          </w:p>
        </w:tc>
        <w:tc>
          <w:tcPr>
            <w:tcW w:w="820" w:type="dxa"/>
            <w:vAlign w:val="bottom"/>
          </w:tcPr>
          <w:p>
            <w:pPr>
              <w:jc w:val="right"/>
              <w:spacing w:after="0"/>
              <w:rPr>
                <w:sz w:val="20"/>
                <w:szCs w:val="20"/>
                <w:color w:val="auto"/>
              </w:rPr>
            </w:pPr>
            <w:r>
              <w:rPr>
                <w:rFonts w:ascii="Arial" w:cs="Arial" w:eastAsia="Arial" w:hAnsi="Arial"/>
                <w:sz w:val="18"/>
                <w:szCs w:val="18"/>
                <w:color w:val="0000FF"/>
              </w:rPr>
              <w:t>02210</w:t>
            </w:r>
          </w:p>
        </w:tc>
      </w:tr>
    </w:tbl>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ind w:left="8"/>
        <w:spacing w:after="0"/>
        <w:rPr>
          <w:sz w:val="20"/>
          <w:szCs w:val="20"/>
          <w:color w:val="auto"/>
        </w:rPr>
      </w:pPr>
      <w:r>
        <w:rPr>
          <w:rFonts w:ascii="Arial" w:cs="Arial" w:eastAsia="Arial" w:hAnsi="Arial"/>
          <w:sz w:val="18"/>
          <w:szCs w:val="18"/>
          <w:color w:val="0000FF"/>
        </w:rPr>
        <w:t>06/21/2016</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0"/>
          <w:szCs w:val="20"/>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SELECTA BIOSCIENCES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SELB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4"/>
                <w:szCs w:val="4"/>
                <w:color w:val="auto"/>
              </w:rPr>
            </w:pPr>
          </w:p>
        </w:tc>
        <w:tc>
          <w:tcPr>
            <w:tcW w:w="26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66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81"/>
        </w:trPr>
        <w:tc>
          <w:tcPr>
            <w:tcW w:w="1660" w:type="dxa"/>
            <w:vAlign w:val="bottom"/>
          </w:tcPr>
          <w:p>
            <w:pPr>
              <w:ind w:left="540"/>
              <w:spacing w:after="0" w:line="68" w:lineRule="exact"/>
              <w:rPr>
                <w:sz w:val="20"/>
                <w:szCs w:val="20"/>
                <w:color w:val="auto"/>
              </w:rPr>
            </w:pPr>
            <w:r>
              <w:rPr>
                <w:rFonts w:ascii="Arial" w:cs="Arial" w:eastAsia="Arial" w:hAnsi="Arial"/>
                <w:sz w:val="7"/>
                <w:szCs w:val="7"/>
                <w:color w:val="auto"/>
              </w:rPr>
              <w:t>below)</w:t>
            </w:r>
          </w:p>
        </w:tc>
        <w:tc>
          <w:tcPr>
            <w:tcW w:w="1660" w:type="dxa"/>
            <w:vAlign w:val="bottom"/>
          </w:tcPr>
          <w:p>
            <w:pPr>
              <w:ind w:left="500"/>
              <w:spacing w:after="0" w:line="68" w:lineRule="exact"/>
              <w:rPr>
                <w:sz w:val="20"/>
                <w:szCs w:val="20"/>
                <w:color w:val="auto"/>
              </w:rPr>
            </w:pPr>
            <w:r>
              <w:rPr>
                <w:rFonts w:ascii="Arial" w:cs="Arial" w:eastAsia="Arial" w:hAnsi="Arial"/>
                <w:sz w:val="7"/>
                <w:szCs w:val="7"/>
                <w:color w:val="auto"/>
              </w:rPr>
              <w:t>below)</w:t>
            </w:r>
          </w:p>
        </w:tc>
        <w:tc>
          <w:tcPr>
            <w:tcW w:w="200" w:type="dxa"/>
            <w:vAlign w:val="bottom"/>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3400"/>
        <w:spacing w:after="0" w:line="221" w:lineRule="auto"/>
        <w:rPr>
          <w:sz w:val="20"/>
          <w:szCs w:val="20"/>
          <w:color w:val="auto"/>
        </w:rPr>
      </w:pPr>
      <w:r>
        <w:rPr>
          <w:rFonts w:ascii="Arial" w:cs="Arial" w:eastAsia="Arial" w:hAnsi="Arial"/>
          <w:sz w:val="14"/>
          <w:szCs w:val="14"/>
          <w:color w:val="auto"/>
        </w:rPr>
        <w:t>Applicable Line)</w:t>
      </w:r>
    </w:p>
    <w:p>
      <w:pPr>
        <w:spacing w:after="0" w:line="27" w:lineRule="exact"/>
        <w:rPr>
          <w:sz w:val="20"/>
          <w:szCs w:val="20"/>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sectPr>
          <w:pgSz w:w="11900" w:h="16838" w:orient="portrait"/>
          <w:cols w:equalWidth="0" w:num="3">
            <w:col w:w="3240" w:space="252"/>
            <w:col w:w="1228" w:space="480"/>
            <w:col w:w="6220"/>
          </w:cols>
          <w:pgMar w:left="240" w:top="226" w:right="239" w:bottom="0" w:gutter="0" w:footer="0" w:header="0"/>
          <w:type w:val="continuous"/>
        </w:sectPr>
      </w:pPr>
    </w:p>
    <w:p>
      <w:pPr>
        <w:spacing w:after="0" w:line="125"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331"/>
        </w:trPr>
        <w:tc>
          <w:tcPr>
            <w:tcW w:w="20" w:type="dxa"/>
            <w:vAlign w:val="bottom"/>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20" w:type="dxa"/>
            <w:vAlign w:val="bottom"/>
            <w:tcBorders>
              <w:bottom w:val="single" w:sz="8" w:color="2C2C2C"/>
            </w:tcBorders>
          </w:tcPr>
          <w:p>
            <w:pPr>
              <w:jc w:val="center"/>
              <w:ind w:left="1619"/>
              <w:spacing w:after="0"/>
              <w:rPr>
                <w:sz w:val="20"/>
                <w:szCs w:val="20"/>
                <w:color w:val="auto"/>
              </w:rPr>
            </w:pPr>
            <w:r>
              <w:rPr>
                <w:rFonts w:ascii="Arial" w:cs="Arial" w:eastAsia="Arial" w:hAnsi="Arial"/>
                <w:sz w:val="18"/>
                <w:szCs w:val="18"/>
                <w:color w:val="0000FF"/>
                <w:w w:val="93"/>
              </w:rPr>
              <w:t>765</w:t>
            </w:r>
          </w:p>
        </w:tc>
        <w:tc>
          <w:tcPr>
            <w:tcW w:w="13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(1)(2)</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20" w:type="dxa"/>
            <w:vAlign w:val="bottom"/>
            <w:tcBorders>
              <w:bottom w:val="single" w:sz="8" w:color="2C2C2C"/>
            </w:tcBorders>
          </w:tcPr>
          <w:p>
            <w:pPr>
              <w:jc w:val="center"/>
              <w:ind w:left="1619"/>
              <w:spacing w:after="0"/>
              <w:rPr>
                <w:sz w:val="20"/>
                <w:szCs w:val="20"/>
                <w:color w:val="auto"/>
              </w:rPr>
            </w:pPr>
            <w:r>
              <w:rPr>
                <w:rFonts w:ascii="Arial" w:cs="Arial" w:eastAsia="Arial" w:hAnsi="Arial"/>
                <w:sz w:val="18"/>
                <w:szCs w:val="18"/>
                <w:color w:val="0000FF"/>
                <w:w w:val="93"/>
              </w:rPr>
              <w:t>268</w:t>
            </w:r>
          </w:p>
        </w:tc>
        <w:tc>
          <w:tcPr>
            <w:tcW w:w="13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(3)(4)</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20" w:type="dxa"/>
            <w:vAlign w:val="bottom"/>
            <w:tcBorders>
              <w:bottom w:val="single" w:sz="8" w:color="2C2C2C"/>
            </w:tcBorders>
          </w:tcPr>
          <w:p>
            <w:pPr>
              <w:jc w:val="center"/>
              <w:ind w:left="1619"/>
              <w:spacing w:after="0"/>
              <w:rPr>
                <w:sz w:val="20"/>
                <w:szCs w:val="20"/>
                <w:color w:val="auto"/>
              </w:rPr>
            </w:pPr>
            <w:r>
              <w:rPr>
                <w:rFonts w:ascii="Arial" w:cs="Arial" w:eastAsia="Arial" w:hAnsi="Arial"/>
                <w:sz w:val="18"/>
                <w:szCs w:val="18"/>
                <w:color w:val="0000FF"/>
                <w:w w:val="93"/>
              </w:rPr>
              <w:t>392</w:t>
            </w:r>
          </w:p>
        </w:tc>
        <w:tc>
          <w:tcPr>
            <w:tcW w:w="13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(5)(6)</w:t>
            </w:r>
          </w:p>
        </w:tc>
        <w:tc>
          <w:tcPr>
            <w:tcW w:w="20" w:type="dxa"/>
            <w:vAlign w:val="bottom"/>
          </w:tcPr>
          <w:p>
            <w:pPr>
              <w:spacing w:after="0"/>
              <w:rPr>
                <w:sz w:val="24"/>
                <w:szCs w:val="24"/>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20" w:type="dxa"/>
            <w:vAlign w:val="bottom"/>
            <w:tcBorders>
              <w:bottom w:val="single" w:sz="8" w:color="2C2C2C"/>
            </w:tcBorders>
          </w:tcPr>
          <w:p>
            <w:pPr>
              <w:jc w:val="center"/>
              <w:ind w:left="1619"/>
              <w:spacing w:after="0"/>
              <w:rPr>
                <w:sz w:val="20"/>
                <w:szCs w:val="20"/>
                <w:color w:val="auto"/>
              </w:rPr>
            </w:pPr>
            <w:r>
              <w:rPr>
                <w:rFonts w:ascii="Arial" w:cs="Arial" w:eastAsia="Arial" w:hAnsi="Arial"/>
                <w:sz w:val="18"/>
                <w:szCs w:val="18"/>
                <w:color w:val="0000FF"/>
                <w:w w:val="87"/>
              </w:rPr>
              <w:t>39,317</w:t>
            </w:r>
          </w:p>
        </w:tc>
        <w:tc>
          <w:tcPr>
            <w:tcW w:w="13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(7)(8)</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60" w:type="dxa"/>
            <w:vAlign w:val="bottom"/>
          </w:tcPr>
          <w:p>
            <w:pPr>
              <w:ind w:left="12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40" w:type="dxa"/>
            <w:vAlign w:val="bottom"/>
          </w:tcPr>
          <w:p>
            <w:pPr>
              <w:spacing w:after="0"/>
              <w:rPr>
                <w:sz w:val="12"/>
                <w:szCs w:val="12"/>
                <w:color w:val="auto"/>
              </w:rPr>
            </w:pPr>
          </w:p>
        </w:tc>
        <w:tc>
          <w:tcPr>
            <w:tcW w:w="9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A Convertible Preferred Stock</w:t>
            </w:r>
          </w:p>
        </w:tc>
        <w:tc>
          <w:tcPr>
            <w:tcW w:w="88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36"/>
              <w:spacing w:after="0"/>
              <w:rPr>
                <w:sz w:val="20"/>
                <w:szCs w:val="20"/>
                <w:color w:val="auto"/>
              </w:rPr>
            </w:pPr>
            <w:r>
              <w:rPr>
                <w:rFonts w:ascii="Arial" w:cs="Arial" w:eastAsia="Arial" w:hAnsi="Arial"/>
                <w:sz w:val="18"/>
                <w:szCs w:val="18"/>
                <w:color w:val="0000FF"/>
                <w:w w:val="84"/>
              </w:rPr>
              <w:t>6,494</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6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99"/>
              </w:rPr>
              <w:t>See Footnotes</w:t>
            </w:r>
            <w:r>
              <w:rPr>
                <w:rFonts w:ascii="Arial" w:cs="Arial" w:eastAsia="Arial" w:hAnsi="Arial"/>
                <w:sz w:val="22"/>
                <w:szCs w:val="22"/>
                <w:color w:val="008000"/>
                <w:w w:val="99"/>
                <w:vertAlign w:val="superscript"/>
              </w:rPr>
              <w:t>(1)(2)</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A Convertible Preferred Stock</w:t>
            </w:r>
          </w:p>
        </w:tc>
        <w:tc>
          <w:tcPr>
            <w:tcW w:w="88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36"/>
              <w:spacing w:after="0"/>
              <w:rPr>
                <w:sz w:val="20"/>
                <w:szCs w:val="20"/>
                <w:color w:val="auto"/>
              </w:rPr>
            </w:pPr>
            <w:r>
              <w:rPr>
                <w:rFonts w:ascii="Arial" w:cs="Arial" w:eastAsia="Arial" w:hAnsi="Arial"/>
                <w:sz w:val="18"/>
                <w:szCs w:val="18"/>
                <w:color w:val="0000FF"/>
                <w:w w:val="84"/>
              </w:rPr>
              <w:t>2,282</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6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99"/>
              </w:rPr>
              <w:t>See Footnotes</w:t>
            </w:r>
            <w:r>
              <w:rPr>
                <w:rFonts w:ascii="Arial" w:cs="Arial" w:eastAsia="Arial" w:hAnsi="Arial"/>
                <w:sz w:val="22"/>
                <w:szCs w:val="22"/>
                <w:color w:val="008000"/>
                <w:w w:val="99"/>
                <w:vertAlign w:val="superscript"/>
              </w:rPr>
              <w:t>(3)(4)</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A Convertible Preferred Stock</w:t>
            </w:r>
          </w:p>
        </w:tc>
        <w:tc>
          <w:tcPr>
            <w:tcW w:w="88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36"/>
              <w:spacing w:after="0"/>
              <w:rPr>
                <w:sz w:val="20"/>
                <w:szCs w:val="20"/>
                <w:color w:val="auto"/>
              </w:rPr>
            </w:pPr>
            <w:r>
              <w:rPr>
                <w:rFonts w:ascii="Arial" w:cs="Arial" w:eastAsia="Arial" w:hAnsi="Arial"/>
                <w:sz w:val="18"/>
                <w:szCs w:val="18"/>
                <w:color w:val="0000FF"/>
                <w:w w:val="84"/>
              </w:rPr>
              <w:t>3,332</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6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99"/>
              </w:rPr>
              <w:t>See Footnotes</w:t>
            </w:r>
            <w:r>
              <w:rPr>
                <w:rFonts w:ascii="Arial" w:cs="Arial" w:eastAsia="Arial" w:hAnsi="Arial"/>
                <w:sz w:val="22"/>
                <w:szCs w:val="22"/>
                <w:color w:val="008000"/>
                <w:w w:val="99"/>
                <w:vertAlign w:val="superscript"/>
              </w:rPr>
              <w:t>(5)(6)</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A Convertible Preferred Stock</w:t>
            </w:r>
          </w:p>
        </w:tc>
        <w:tc>
          <w:tcPr>
            <w:tcW w:w="88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36"/>
              <w:spacing w:after="0"/>
              <w:rPr>
                <w:sz w:val="20"/>
                <w:szCs w:val="20"/>
                <w:color w:val="auto"/>
              </w:rPr>
            </w:pPr>
            <w:r>
              <w:rPr>
                <w:rFonts w:ascii="Arial" w:cs="Arial" w:eastAsia="Arial" w:hAnsi="Arial"/>
                <w:sz w:val="18"/>
                <w:szCs w:val="18"/>
                <w:color w:val="0000FF"/>
                <w:w w:val="89"/>
              </w:rPr>
              <w:t>333,207</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6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99"/>
              </w:rPr>
              <w:t>See Footnotes</w:t>
            </w:r>
            <w:r>
              <w:rPr>
                <w:rFonts w:ascii="Arial" w:cs="Arial" w:eastAsia="Arial" w:hAnsi="Arial"/>
                <w:sz w:val="22"/>
                <w:szCs w:val="22"/>
                <w:color w:val="008000"/>
                <w:w w:val="99"/>
                <w:vertAlign w:val="superscript"/>
              </w:rPr>
              <w:t>(7)(8)</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B Convertible Preferred Stock</w:t>
            </w:r>
          </w:p>
        </w:tc>
        <w:tc>
          <w:tcPr>
            <w:tcW w:w="88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36"/>
              <w:spacing w:after="0"/>
              <w:rPr>
                <w:sz w:val="20"/>
                <w:szCs w:val="20"/>
                <w:color w:val="auto"/>
              </w:rPr>
            </w:pPr>
            <w:r>
              <w:rPr>
                <w:rFonts w:ascii="Arial" w:cs="Arial" w:eastAsia="Arial" w:hAnsi="Arial"/>
                <w:sz w:val="18"/>
                <w:szCs w:val="18"/>
                <w:color w:val="0000FF"/>
                <w:w w:val="83"/>
              </w:rPr>
              <w:t>11,875</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6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99"/>
              </w:rPr>
              <w:t>See Footnotes</w:t>
            </w:r>
            <w:r>
              <w:rPr>
                <w:rFonts w:ascii="Arial" w:cs="Arial" w:eastAsia="Arial" w:hAnsi="Arial"/>
                <w:sz w:val="22"/>
                <w:szCs w:val="22"/>
                <w:color w:val="008000"/>
                <w:w w:val="99"/>
                <w:vertAlign w:val="superscript"/>
              </w:rPr>
              <w:t>(1)(2)</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B Convertible Preferred Stock</w:t>
            </w:r>
          </w:p>
        </w:tc>
        <w:tc>
          <w:tcPr>
            <w:tcW w:w="88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36"/>
              <w:spacing w:after="0"/>
              <w:rPr>
                <w:sz w:val="20"/>
                <w:szCs w:val="20"/>
                <w:color w:val="auto"/>
              </w:rPr>
            </w:pPr>
            <w:r>
              <w:rPr>
                <w:rFonts w:ascii="Arial" w:cs="Arial" w:eastAsia="Arial" w:hAnsi="Arial"/>
                <w:sz w:val="18"/>
                <w:szCs w:val="18"/>
                <w:color w:val="0000FF"/>
                <w:w w:val="84"/>
              </w:rPr>
              <w:t>4,174</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6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99"/>
              </w:rPr>
              <w:t>See Footnotes</w:t>
            </w:r>
            <w:r>
              <w:rPr>
                <w:rFonts w:ascii="Arial" w:cs="Arial" w:eastAsia="Arial" w:hAnsi="Arial"/>
                <w:sz w:val="22"/>
                <w:szCs w:val="22"/>
                <w:color w:val="008000"/>
                <w:w w:val="99"/>
                <w:vertAlign w:val="superscript"/>
              </w:rPr>
              <w:t>(3)(4)</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B Convertible Preferred Stock</w:t>
            </w:r>
          </w:p>
        </w:tc>
        <w:tc>
          <w:tcPr>
            <w:tcW w:w="88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36"/>
              <w:spacing w:after="0"/>
              <w:rPr>
                <w:sz w:val="20"/>
                <w:szCs w:val="20"/>
                <w:color w:val="auto"/>
              </w:rPr>
            </w:pPr>
            <w:r>
              <w:rPr>
                <w:rFonts w:ascii="Arial" w:cs="Arial" w:eastAsia="Arial" w:hAnsi="Arial"/>
                <w:sz w:val="18"/>
                <w:szCs w:val="18"/>
                <w:color w:val="0000FF"/>
                <w:w w:val="84"/>
              </w:rPr>
              <w:t>6,093</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6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99"/>
              </w:rPr>
              <w:t>See Footnotes</w:t>
            </w:r>
            <w:r>
              <w:rPr>
                <w:rFonts w:ascii="Arial" w:cs="Arial" w:eastAsia="Arial" w:hAnsi="Arial"/>
                <w:sz w:val="22"/>
                <w:szCs w:val="22"/>
                <w:color w:val="008000"/>
                <w:w w:val="99"/>
                <w:vertAlign w:val="superscript"/>
              </w:rPr>
              <w:t>(5)(6)</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B Convertible Preferred Stock</w:t>
            </w:r>
          </w:p>
        </w:tc>
        <w:tc>
          <w:tcPr>
            <w:tcW w:w="88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36"/>
              <w:spacing w:after="0"/>
              <w:rPr>
                <w:sz w:val="20"/>
                <w:szCs w:val="20"/>
                <w:color w:val="auto"/>
              </w:rPr>
            </w:pPr>
            <w:r>
              <w:rPr>
                <w:rFonts w:ascii="Arial" w:cs="Arial" w:eastAsia="Arial" w:hAnsi="Arial"/>
                <w:sz w:val="18"/>
                <w:szCs w:val="18"/>
                <w:color w:val="0000FF"/>
                <w:w w:val="89"/>
              </w:rPr>
              <w:t>609,316</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6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99"/>
              </w:rPr>
              <w:t>See Footnotes</w:t>
            </w:r>
            <w:r>
              <w:rPr>
                <w:rFonts w:ascii="Arial" w:cs="Arial" w:eastAsia="Arial" w:hAnsi="Arial"/>
                <w:sz w:val="22"/>
                <w:szCs w:val="22"/>
                <w:color w:val="008000"/>
                <w:w w:val="99"/>
                <w:vertAlign w:val="superscript"/>
              </w:rPr>
              <w:t>(7)(8)</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C Convertible Preferred Stock</w:t>
            </w:r>
          </w:p>
        </w:tc>
        <w:tc>
          <w:tcPr>
            <w:tcW w:w="88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36"/>
              <w:spacing w:after="0"/>
              <w:rPr>
                <w:sz w:val="20"/>
                <w:szCs w:val="20"/>
                <w:color w:val="auto"/>
              </w:rPr>
            </w:pPr>
            <w:r>
              <w:rPr>
                <w:rFonts w:ascii="Arial" w:cs="Arial" w:eastAsia="Arial" w:hAnsi="Arial"/>
                <w:sz w:val="18"/>
                <w:szCs w:val="18"/>
                <w:color w:val="0000FF"/>
                <w:w w:val="84"/>
              </w:rPr>
              <w:t>4,420</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6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99"/>
              </w:rPr>
              <w:t>See Footnotes</w:t>
            </w:r>
            <w:r>
              <w:rPr>
                <w:rFonts w:ascii="Arial" w:cs="Arial" w:eastAsia="Arial" w:hAnsi="Arial"/>
                <w:sz w:val="22"/>
                <w:szCs w:val="22"/>
                <w:color w:val="008000"/>
                <w:w w:val="99"/>
                <w:vertAlign w:val="superscript"/>
              </w:rPr>
              <w:t>(1)(2)</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C Convertible Preferred Stock</w:t>
            </w:r>
          </w:p>
        </w:tc>
        <w:tc>
          <w:tcPr>
            <w:tcW w:w="88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36"/>
              <w:spacing w:after="0"/>
              <w:rPr>
                <w:sz w:val="20"/>
                <w:szCs w:val="20"/>
                <w:color w:val="auto"/>
              </w:rPr>
            </w:pPr>
            <w:r>
              <w:rPr>
                <w:rFonts w:ascii="Arial" w:cs="Arial" w:eastAsia="Arial" w:hAnsi="Arial"/>
                <w:sz w:val="18"/>
                <w:szCs w:val="18"/>
                <w:color w:val="0000FF"/>
                <w:w w:val="84"/>
              </w:rPr>
              <w:t>1,553</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6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99"/>
              </w:rPr>
              <w:t>See Footnotes</w:t>
            </w:r>
            <w:r>
              <w:rPr>
                <w:rFonts w:ascii="Arial" w:cs="Arial" w:eastAsia="Arial" w:hAnsi="Arial"/>
                <w:sz w:val="22"/>
                <w:szCs w:val="22"/>
                <w:color w:val="008000"/>
                <w:w w:val="99"/>
                <w:vertAlign w:val="superscript"/>
              </w:rPr>
              <w:t>(3)(4)</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C Convertible Preferred Stock</w:t>
            </w:r>
          </w:p>
        </w:tc>
        <w:tc>
          <w:tcPr>
            <w:tcW w:w="88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36"/>
              <w:spacing w:after="0"/>
              <w:rPr>
                <w:sz w:val="20"/>
                <w:szCs w:val="20"/>
                <w:color w:val="auto"/>
              </w:rPr>
            </w:pPr>
            <w:r>
              <w:rPr>
                <w:rFonts w:ascii="Arial" w:cs="Arial" w:eastAsia="Arial" w:hAnsi="Arial"/>
                <w:sz w:val="18"/>
                <w:szCs w:val="18"/>
                <w:color w:val="0000FF"/>
                <w:w w:val="84"/>
              </w:rPr>
              <w:t>2,267</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6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99"/>
              </w:rPr>
              <w:t>See Footnotes</w:t>
            </w:r>
            <w:r>
              <w:rPr>
                <w:rFonts w:ascii="Arial" w:cs="Arial" w:eastAsia="Arial" w:hAnsi="Arial"/>
                <w:sz w:val="22"/>
                <w:szCs w:val="22"/>
                <w:color w:val="008000"/>
                <w:w w:val="99"/>
                <w:vertAlign w:val="superscript"/>
              </w:rPr>
              <w:t>(5)(6)</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C Convertible Preferred Stock</w:t>
            </w:r>
          </w:p>
        </w:tc>
        <w:tc>
          <w:tcPr>
            <w:tcW w:w="88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36"/>
              <w:spacing w:after="0"/>
              <w:rPr>
                <w:sz w:val="20"/>
                <w:szCs w:val="20"/>
                <w:color w:val="auto"/>
              </w:rPr>
            </w:pPr>
            <w:r>
              <w:rPr>
                <w:rFonts w:ascii="Arial" w:cs="Arial" w:eastAsia="Arial" w:hAnsi="Arial"/>
                <w:sz w:val="18"/>
                <w:szCs w:val="18"/>
                <w:color w:val="0000FF"/>
                <w:w w:val="89"/>
              </w:rPr>
              <w:t>226,801</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6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99"/>
              </w:rPr>
              <w:t>See Footnotes</w:t>
            </w:r>
            <w:r>
              <w:rPr>
                <w:rFonts w:ascii="Arial" w:cs="Arial" w:eastAsia="Arial" w:hAnsi="Arial"/>
                <w:sz w:val="22"/>
                <w:szCs w:val="22"/>
                <w:color w:val="008000"/>
                <w:w w:val="99"/>
                <w:vertAlign w:val="superscript"/>
              </w:rPr>
              <w:t>(7)(8)</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D Convertible Preferred Stock</w:t>
            </w:r>
          </w:p>
        </w:tc>
        <w:tc>
          <w:tcPr>
            <w:tcW w:w="88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36"/>
              <w:spacing w:after="0"/>
              <w:rPr>
                <w:sz w:val="20"/>
                <w:szCs w:val="20"/>
                <w:color w:val="auto"/>
              </w:rPr>
            </w:pPr>
            <w:r>
              <w:rPr>
                <w:rFonts w:ascii="Arial" w:cs="Arial" w:eastAsia="Arial" w:hAnsi="Arial"/>
                <w:sz w:val="18"/>
                <w:szCs w:val="18"/>
                <w:color w:val="0000FF"/>
                <w:w w:val="84"/>
              </w:rPr>
              <w:t>4,647</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6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99"/>
              </w:rPr>
              <w:t>See Footnotes</w:t>
            </w:r>
            <w:r>
              <w:rPr>
                <w:rFonts w:ascii="Arial" w:cs="Arial" w:eastAsia="Arial" w:hAnsi="Arial"/>
                <w:sz w:val="22"/>
                <w:szCs w:val="22"/>
                <w:color w:val="008000"/>
                <w:w w:val="99"/>
                <w:vertAlign w:val="superscript"/>
              </w:rPr>
              <w:t>(1)(2)</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D Convertible Preferred Stock</w:t>
            </w:r>
          </w:p>
        </w:tc>
        <w:tc>
          <w:tcPr>
            <w:tcW w:w="88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36"/>
              <w:spacing w:after="0"/>
              <w:rPr>
                <w:sz w:val="20"/>
                <w:szCs w:val="20"/>
                <w:color w:val="auto"/>
              </w:rPr>
            </w:pPr>
            <w:r>
              <w:rPr>
                <w:rFonts w:ascii="Arial" w:cs="Arial" w:eastAsia="Arial" w:hAnsi="Arial"/>
                <w:sz w:val="18"/>
                <w:szCs w:val="18"/>
                <w:color w:val="0000FF"/>
                <w:w w:val="84"/>
              </w:rPr>
              <w:t>1,632</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6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99"/>
              </w:rPr>
              <w:t>See Footnotes</w:t>
            </w:r>
            <w:r>
              <w:rPr>
                <w:rFonts w:ascii="Arial" w:cs="Arial" w:eastAsia="Arial" w:hAnsi="Arial"/>
                <w:sz w:val="22"/>
                <w:szCs w:val="22"/>
                <w:color w:val="008000"/>
                <w:w w:val="99"/>
                <w:vertAlign w:val="superscript"/>
              </w:rPr>
              <w:t>(3)(4)</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D Convertible Preferred Stock</w:t>
            </w:r>
          </w:p>
        </w:tc>
        <w:tc>
          <w:tcPr>
            <w:tcW w:w="88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36"/>
              <w:spacing w:after="0"/>
              <w:rPr>
                <w:sz w:val="20"/>
                <w:szCs w:val="20"/>
                <w:color w:val="auto"/>
              </w:rPr>
            </w:pPr>
            <w:r>
              <w:rPr>
                <w:rFonts w:ascii="Arial" w:cs="Arial" w:eastAsia="Arial" w:hAnsi="Arial"/>
                <w:sz w:val="18"/>
                <w:szCs w:val="18"/>
                <w:color w:val="0000FF"/>
                <w:w w:val="84"/>
              </w:rPr>
              <w:t>2,384</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6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99"/>
              </w:rPr>
              <w:t>See Footnotes</w:t>
            </w:r>
            <w:r>
              <w:rPr>
                <w:rFonts w:ascii="Arial" w:cs="Arial" w:eastAsia="Arial" w:hAnsi="Arial"/>
                <w:sz w:val="22"/>
                <w:szCs w:val="22"/>
                <w:color w:val="008000"/>
                <w:w w:val="99"/>
                <w:vertAlign w:val="superscript"/>
              </w:rPr>
              <w:t>(5)(6)</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D Convertible Preferred Stock</w:t>
            </w:r>
          </w:p>
        </w:tc>
        <w:tc>
          <w:tcPr>
            <w:tcW w:w="88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36"/>
              <w:spacing w:after="0"/>
              <w:rPr>
                <w:sz w:val="20"/>
                <w:szCs w:val="20"/>
                <w:color w:val="auto"/>
              </w:rPr>
            </w:pPr>
            <w:r>
              <w:rPr>
                <w:rFonts w:ascii="Arial" w:cs="Arial" w:eastAsia="Arial" w:hAnsi="Arial"/>
                <w:sz w:val="18"/>
                <w:szCs w:val="18"/>
                <w:color w:val="0000FF"/>
                <w:w w:val="89"/>
              </w:rPr>
              <w:t>238,470</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6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99"/>
              </w:rPr>
              <w:t>See Footnotes</w:t>
            </w:r>
            <w:r>
              <w:rPr>
                <w:rFonts w:ascii="Arial" w:cs="Arial" w:eastAsia="Arial" w:hAnsi="Arial"/>
                <w:sz w:val="22"/>
                <w:szCs w:val="22"/>
                <w:color w:val="008000"/>
                <w:w w:val="99"/>
                <w:vertAlign w:val="superscript"/>
              </w:rPr>
              <w:t>(7)(8)</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E Convertible Preferred Stock</w:t>
            </w:r>
          </w:p>
        </w:tc>
        <w:tc>
          <w:tcPr>
            <w:tcW w:w="88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36"/>
              <w:spacing w:after="0"/>
              <w:rPr>
                <w:sz w:val="20"/>
                <w:szCs w:val="20"/>
                <w:color w:val="auto"/>
              </w:rPr>
            </w:pPr>
            <w:r>
              <w:rPr>
                <w:rFonts w:ascii="Arial" w:cs="Arial" w:eastAsia="Arial" w:hAnsi="Arial"/>
                <w:sz w:val="18"/>
                <w:szCs w:val="18"/>
                <w:color w:val="0000FF"/>
                <w:w w:val="84"/>
              </w:rPr>
              <w:t>3,078</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6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99"/>
              </w:rPr>
              <w:t>See Footnotes</w:t>
            </w:r>
            <w:r>
              <w:rPr>
                <w:rFonts w:ascii="Arial" w:cs="Arial" w:eastAsia="Arial" w:hAnsi="Arial"/>
                <w:sz w:val="22"/>
                <w:szCs w:val="22"/>
                <w:color w:val="008000"/>
                <w:w w:val="99"/>
                <w:vertAlign w:val="superscript"/>
              </w:rPr>
              <w:t>(1)(2)</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E Convertible Preferred Stock</w:t>
            </w:r>
          </w:p>
        </w:tc>
        <w:tc>
          <w:tcPr>
            <w:tcW w:w="88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36"/>
              <w:spacing w:after="0"/>
              <w:rPr>
                <w:sz w:val="20"/>
                <w:szCs w:val="20"/>
                <w:color w:val="auto"/>
              </w:rPr>
            </w:pPr>
            <w:r>
              <w:rPr>
                <w:rFonts w:ascii="Arial" w:cs="Arial" w:eastAsia="Arial" w:hAnsi="Arial"/>
                <w:sz w:val="18"/>
                <w:szCs w:val="18"/>
                <w:color w:val="0000FF"/>
                <w:w w:val="84"/>
              </w:rPr>
              <w:t>1,082</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6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99"/>
              </w:rPr>
              <w:t>See Footnotes</w:t>
            </w:r>
            <w:r>
              <w:rPr>
                <w:rFonts w:ascii="Arial" w:cs="Arial" w:eastAsia="Arial" w:hAnsi="Arial"/>
                <w:sz w:val="22"/>
                <w:szCs w:val="22"/>
                <w:color w:val="008000"/>
                <w:w w:val="99"/>
                <w:vertAlign w:val="superscript"/>
              </w:rPr>
              <w:t>(3)(4)</w:t>
            </w:r>
          </w:p>
        </w:tc>
        <w:tc>
          <w:tcPr>
            <w:tcW w:w="0" w:type="dxa"/>
            <w:vAlign w:val="bottom"/>
          </w:tcPr>
          <w:p>
            <w:pPr>
              <w:spacing w:after="0"/>
              <w:rPr>
                <w:sz w:val="1"/>
                <w:szCs w:val="1"/>
                <w:color w:val="auto"/>
              </w:rPr>
            </w:pPr>
          </w:p>
        </w:tc>
      </w:tr>
      <w:tr>
        <w:trPr>
          <w:trHeight w:val="324"/>
        </w:trPr>
        <w:tc>
          <w:tcPr>
            <w:tcW w:w="3520" w:type="dxa"/>
            <w:vAlign w:val="bottom"/>
            <w:tcBorders>
              <w:bottom w:val="single" w:sz="8" w:color="808080"/>
            </w:tcBorders>
          </w:tcPr>
          <w:p>
            <w:pPr>
              <w:ind w:left="60"/>
              <w:spacing w:after="0"/>
              <w:rPr>
                <w:sz w:val="20"/>
                <w:szCs w:val="20"/>
                <w:color w:val="auto"/>
              </w:rPr>
            </w:pPr>
            <w:r>
              <w:rPr>
                <w:rFonts w:ascii="Arial" w:cs="Arial" w:eastAsia="Arial" w:hAnsi="Arial"/>
                <w:sz w:val="18"/>
                <w:szCs w:val="18"/>
                <w:color w:val="0000FF"/>
              </w:rPr>
              <w:t>Series E Convertible Preferred Stock</w:t>
            </w:r>
          </w:p>
        </w:tc>
        <w:tc>
          <w:tcPr>
            <w:tcW w:w="880" w:type="dxa"/>
            <w:vAlign w:val="bottom"/>
            <w:tcBorders>
              <w:bottom w:val="single" w:sz="8" w:color="808080"/>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808080"/>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808080"/>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808080"/>
            </w:tcBorders>
          </w:tcPr>
          <w:p>
            <w:pPr>
              <w:jc w:val="center"/>
              <w:ind w:left="136"/>
              <w:spacing w:after="0"/>
              <w:rPr>
                <w:sz w:val="20"/>
                <w:szCs w:val="20"/>
                <w:color w:val="auto"/>
              </w:rPr>
            </w:pPr>
            <w:r>
              <w:rPr>
                <w:rFonts w:ascii="Arial" w:cs="Arial" w:eastAsia="Arial" w:hAnsi="Arial"/>
                <w:sz w:val="18"/>
                <w:szCs w:val="18"/>
                <w:color w:val="0000FF"/>
                <w:w w:val="84"/>
              </w:rPr>
              <w:t>1,579</w:t>
            </w:r>
          </w:p>
        </w:tc>
        <w:tc>
          <w:tcPr>
            <w:tcW w:w="900" w:type="dxa"/>
            <w:vAlign w:val="bottom"/>
            <w:tcBorders>
              <w:bottom w:val="single" w:sz="8" w:color="808080"/>
            </w:tcBorders>
          </w:tcPr>
          <w:p>
            <w:pPr>
              <w:jc w:val="right"/>
              <w:ind w:right="321"/>
              <w:spacing w:after="0"/>
              <w:rPr>
                <w:sz w:val="20"/>
                <w:szCs w:val="20"/>
                <w:color w:val="auto"/>
              </w:rPr>
            </w:pPr>
            <w:r>
              <w:rPr>
                <w:rFonts w:ascii="Arial" w:cs="Arial" w:eastAsia="Arial" w:hAnsi="Arial"/>
                <w:sz w:val="11"/>
                <w:szCs w:val="11"/>
                <w:color w:val="008000"/>
              </w:rPr>
              <w:t>(9)</w:t>
            </w:r>
          </w:p>
        </w:tc>
        <w:tc>
          <w:tcPr>
            <w:tcW w:w="860" w:type="dxa"/>
            <w:vAlign w:val="bottom"/>
            <w:tcBorders>
              <w:bottom w:val="single" w:sz="8" w:color="808080"/>
            </w:tcBorders>
          </w:tcPr>
          <w:p>
            <w:pPr>
              <w:ind w:left="420"/>
              <w:spacing w:after="0"/>
              <w:rPr>
                <w:sz w:val="20"/>
                <w:szCs w:val="20"/>
                <w:color w:val="auto"/>
              </w:rPr>
            </w:pPr>
            <w:r>
              <w:rPr>
                <w:rFonts w:ascii="Arial" w:cs="Arial" w:eastAsia="Arial" w:hAnsi="Arial"/>
                <w:sz w:val="18"/>
                <w:szCs w:val="18"/>
                <w:color w:val="0000FF"/>
              </w:rPr>
              <w:t>I</w:t>
            </w:r>
          </w:p>
        </w:tc>
        <w:tc>
          <w:tcPr>
            <w:tcW w:w="1660" w:type="dxa"/>
            <w:vAlign w:val="bottom"/>
            <w:tcBorders>
              <w:bottom w:val="single" w:sz="8" w:color="808080"/>
            </w:tcBorders>
          </w:tcPr>
          <w:p>
            <w:pPr>
              <w:ind w:left="120"/>
              <w:spacing w:after="0"/>
              <w:rPr>
                <w:sz w:val="20"/>
                <w:szCs w:val="20"/>
                <w:color w:val="auto"/>
              </w:rPr>
            </w:pPr>
            <w:r>
              <w:rPr>
                <w:rFonts w:ascii="Arial" w:cs="Arial" w:eastAsia="Arial" w:hAnsi="Arial"/>
                <w:sz w:val="18"/>
                <w:szCs w:val="18"/>
                <w:color w:val="0000FF"/>
                <w:w w:val="99"/>
              </w:rPr>
              <w:t>See Footnotes</w:t>
            </w:r>
            <w:r>
              <w:rPr>
                <w:rFonts w:ascii="Arial" w:cs="Arial" w:eastAsia="Arial" w:hAnsi="Arial"/>
                <w:sz w:val="22"/>
                <w:szCs w:val="22"/>
                <w:color w:val="008000"/>
                <w:w w:val="99"/>
                <w:vertAlign w:val="superscript"/>
              </w:rPr>
              <w:t>(5)(6)</w:t>
            </w: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72020" cy="10515600"/>
                    </a:xfrm>
                    <a:prstGeom prst="rect">
                      <a:avLst/>
                    </a:prstGeom>
                    <a:noFill/>
                  </pic:spPr>
                </pic:pic>
              </a:graphicData>
            </a:graphic>
          </wp:anchor>
        </w:drawing>
        <w:t>Table II - Derivative Securities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00" w:type="dxa"/>
            <w:vAlign w:val="bottom"/>
          </w:tcPr>
          <w:p>
            <w:pPr>
              <w:spacing w:after="0"/>
              <w:rPr>
                <w:sz w:val="14"/>
                <w:szCs w:val="14"/>
                <w:color w:val="auto"/>
              </w:rPr>
            </w:pPr>
          </w:p>
        </w:tc>
        <w:tc>
          <w:tcPr>
            <w:tcW w:w="1680" w:type="dxa"/>
            <w:vAlign w:val="bottom"/>
            <w:gridSpan w:val="5"/>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6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9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Exercisable</w:t>
            </w: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6"/>
              </w:rPr>
              <w:t>Series E Convertible Preferred Stock</w:t>
            </w:r>
          </w:p>
        </w:tc>
        <w:tc>
          <w:tcPr>
            <w:tcW w:w="1520" w:type="dxa"/>
            <w:vAlign w:val="bottom"/>
            <w:tcBorders>
              <w:bottom w:val="single" w:sz="8" w:color="2C2C2C"/>
            </w:tcBorders>
            <w:gridSpan w:val="3"/>
          </w:tcPr>
          <w:p>
            <w:pPr>
              <w:jc w:val="center"/>
              <w:ind w:left="490"/>
              <w:spacing w:after="0"/>
              <w:rPr>
                <w:sz w:val="20"/>
                <w:szCs w:val="20"/>
                <w:color w:val="auto"/>
              </w:rPr>
            </w:pPr>
            <w:r>
              <w:rPr>
                <w:rFonts w:ascii="Arial" w:cs="Arial" w:eastAsia="Arial" w:hAnsi="Arial"/>
                <w:sz w:val="11"/>
                <w:szCs w:val="11"/>
                <w:color w:val="008000"/>
                <w:w w:val="88"/>
              </w:rPr>
              <w:t>(9)</w:t>
            </w:r>
          </w:p>
        </w:tc>
        <w:tc>
          <w:tcPr>
            <w:tcW w:w="7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42"/>
              <w:spacing w:after="0"/>
              <w:rPr>
                <w:sz w:val="20"/>
                <w:szCs w:val="20"/>
                <w:color w:val="auto"/>
              </w:rPr>
            </w:pPr>
            <w:r>
              <w:rPr>
                <w:rFonts w:ascii="Arial" w:cs="Arial" w:eastAsia="Arial" w:hAnsi="Arial"/>
                <w:sz w:val="18"/>
                <w:szCs w:val="18"/>
                <w:color w:val="0000FF"/>
                <w:w w:val="89"/>
              </w:rPr>
              <w:t>157,957</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(9)</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6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99"/>
              </w:rPr>
              <w:t>See Footnotes</w:t>
            </w:r>
            <w:r>
              <w:rPr>
                <w:rFonts w:ascii="Arial" w:cs="Arial" w:eastAsia="Arial" w:hAnsi="Arial"/>
                <w:sz w:val="22"/>
                <w:szCs w:val="22"/>
                <w:color w:val="008000"/>
                <w:w w:val="99"/>
                <w:vertAlign w:val="superscript"/>
              </w:rPr>
              <w:t>(7)(8)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2"/>
              </w:rPr>
              <w:t>Common Warrants</w:t>
            </w:r>
          </w:p>
        </w:tc>
        <w:tc>
          <w:tcPr>
            <w:tcW w:w="13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jc w:val="center"/>
              <w:ind w:left="490"/>
              <w:spacing w:after="0"/>
              <w:rPr>
                <w:sz w:val="20"/>
                <w:szCs w:val="20"/>
                <w:color w:val="auto"/>
              </w:rPr>
            </w:pPr>
            <w:r>
              <w:rPr>
                <w:rFonts w:ascii="Arial" w:cs="Arial" w:eastAsia="Arial" w:hAnsi="Arial"/>
                <w:sz w:val="14"/>
                <w:szCs w:val="14"/>
                <w:color w:val="0000FF"/>
                <w:w w:val="85"/>
              </w:rPr>
              <w:t>07/24/2015</w:t>
            </w:r>
          </w:p>
        </w:tc>
        <w:tc>
          <w:tcPr>
            <w:tcW w:w="7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4"/>
                <w:szCs w:val="14"/>
                <w:color w:val="0000FF"/>
                <w:w w:val="88"/>
              </w:rPr>
              <w:t>07/24/2018</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42"/>
              <w:spacing w:after="0"/>
              <w:rPr>
                <w:sz w:val="20"/>
                <w:szCs w:val="20"/>
                <w:color w:val="auto"/>
              </w:rPr>
            </w:pPr>
            <w:r>
              <w:rPr>
                <w:rFonts w:ascii="Arial" w:cs="Arial" w:eastAsia="Arial" w:hAnsi="Arial"/>
                <w:sz w:val="18"/>
                <w:szCs w:val="18"/>
                <w:color w:val="0000FF"/>
                <w:w w:val="86"/>
              </w:rPr>
              <w:t>389</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17.55</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6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99"/>
              </w:rPr>
              <w:t>See Footnotes</w:t>
            </w:r>
            <w:r>
              <w:rPr>
                <w:rFonts w:ascii="Arial" w:cs="Arial" w:eastAsia="Arial" w:hAnsi="Arial"/>
                <w:sz w:val="22"/>
                <w:szCs w:val="22"/>
                <w:color w:val="008000"/>
                <w:w w:val="99"/>
                <w:vertAlign w:val="superscript"/>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2"/>
              </w:rPr>
              <w:t>Common Warrants</w:t>
            </w:r>
          </w:p>
        </w:tc>
        <w:tc>
          <w:tcPr>
            <w:tcW w:w="13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jc w:val="center"/>
              <w:ind w:left="490"/>
              <w:spacing w:after="0"/>
              <w:rPr>
                <w:sz w:val="20"/>
                <w:szCs w:val="20"/>
                <w:color w:val="auto"/>
              </w:rPr>
            </w:pPr>
            <w:r>
              <w:rPr>
                <w:rFonts w:ascii="Arial" w:cs="Arial" w:eastAsia="Arial" w:hAnsi="Arial"/>
                <w:sz w:val="14"/>
                <w:szCs w:val="14"/>
                <w:color w:val="0000FF"/>
                <w:w w:val="85"/>
              </w:rPr>
              <w:t>07/24/2015</w:t>
            </w:r>
          </w:p>
        </w:tc>
        <w:tc>
          <w:tcPr>
            <w:tcW w:w="7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4"/>
                <w:szCs w:val="14"/>
                <w:color w:val="0000FF"/>
                <w:w w:val="88"/>
              </w:rPr>
              <w:t>07/24/2018</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42"/>
              <w:spacing w:after="0"/>
              <w:rPr>
                <w:sz w:val="20"/>
                <w:szCs w:val="20"/>
                <w:color w:val="auto"/>
              </w:rPr>
            </w:pPr>
            <w:r>
              <w:rPr>
                <w:rFonts w:ascii="Arial" w:cs="Arial" w:eastAsia="Arial" w:hAnsi="Arial"/>
                <w:sz w:val="18"/>
                <w:szCs w:val="18"/>
                <w:color w:val="0000FF"/>
                <w:w w:val="86"/>
              </w:rPr>
              <w:t>136</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17.55</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6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99"/>
              </w:rPr>
              <w:t>See Footnotes</w:t>
            </w:r>
            <w:r>
              <w:rPr>
                <w:rFonts w:ascii="Arial" w:cs="Arial" w:eastAsia="Arial" w:hAnsi="Arial"/>
                <w:sz w:val="22"/>
                <w:szCs w:val="22"/>
                <w:color w:val="008000"/>
                <w:w w:val="99"/>
                <w:vertAlign w:val="superscript"/>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2"/>
              </w:rPr>
              <w:t>Common Warrants</w:t>
            </w:r>
          </w:p>
        </w:tc>
        <w:tc>
          <w:tcPr>
            <w:tcW w:w="13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jc w:val="center"/>
              <w:ind w:left="490"/>
              <w:spacing w:after="0"/>
              <w:rPr>
                <w:sz w:val="20"/>
                <w:szCs w:val="20"/>
                <w:color w:val="auto"/>
              </w:rPr>
            </w:pPr>
            <w:r>
              <w:rPr>
                <w:rFonts w:ascii="Arial" w:cs="Arial" w:eastAsia="Arial" w:hAnsi="Arial"/>
                <w:sz w:val="14"/>
                <w:szCs w:val="14"/>
                <w:color w:val="0000FF"/>
                <w:w w:val="85"/>
              </w:rPr>
              <w:t>07/24/2015</w:t>
            </w:r>
          </w:p>
        </w:tc>
        <w:tc>
          <w:tcPr>
            <w:tcW w:w="7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4"/>
                <w:szCs w:val="14"/>
                <w:color w:val="0000FF"/>
                <w:w w:val="88"/>
              </w:rPr>
              <w:t>07/24/2018</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42"/>
              <w:spacing w:after="0"/>
              <w:rPr>
                <w:sz w:val="20"/>
                <w:szCs w:val="20"/>
                <w:color w:val="auto"/>
              </w:rPr>
            </w:pPr>
            <w:r>
              <w:rPr>
                <w:rFonts w:ascii="Arial" w:cs="Arial" w:eastAsia="Arial" w:hAnsi="Arial"/>
                <w:sz w:val="18"/>
                <w:szCs w:val="18"/>
                <w:color w:val="0000FF"/>
                <w:w w:val="86"/>
              </w:rPr>
              <w:t>199</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17.55</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6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99"/>
              </w:rPr>
              <w:t>See Footnotes</w:t>
            </w:r>
            <w:r>
              <w:rPr>
                <w:rFonts w:ascii="Arial" w:cs="Arial" w:eastAsia="Arial" w:hAnsi="Arial"/>
                <w:sz w:val="22"/>
                <w:szCs w:val="22"/>
                <w:color w:val="008000"/>
                <w:w w:val="99"/>
                <w:vertAlign w:val="superscript"/>
              </w:rPr>
              <w:t>(5)(6)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2"/>
              </w:rPr>
              <w:t>Common Warrants</w:t>
            </w:r>
          </w:p>
        </w:tc>
        <w:tc>
          <w:tcPr>
            <w:tcW w:w="13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jc w:val="center"/>
              <w:ind w:left="490"/>
              <w:spacing w:after="0"/>
              <w:rPr>
                <w:sz w:val="20"/>
                <w:szCs w:val="20"/>
                <w:color w:val="auto"/>
              </w:rPr>
            </w:pPr>
            <w:r>
              <w:rPr>
                <w:rFonts w:ascii="Arial" w:cs="Arial" w:eastAsia="Arial" w:hAnsi="Arial"/>
                <w:sz w:val="14"/>
                <w:szCs w:val="14"/>
                <w:color w:val="0000FF"/>
                <w:w w:val="85"/>
              </w:rPr>
              <w:t>07/24/2015</w:t>
            </w:r>
          </w:p>
        </w:tc>
        <w:tc>
          <w:tcPr>
            <w:tcW w:w="7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4"/>
                <w:szCs w:val="14"/>
                <w:color w:val="0000FF"/>
                <w:w w:val="88"/>
              </w:rPr>
              <w:t>07/24/2018</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62"/>
              <w:spacing w:after="0"/>
              <w:rPr>
                <w:sz w:val="20"/>
                <w:szCs w:val="20"/>
                <w:color w:val="auto"/>
              </w:rPr>
            </w:pPr>
            <w:r>
              <w:rPr>
                <w:rFonts w:ascii="Arial" w:cs="Arial" w:eastAsia="Arial" w:hAnsi="Arial"/>
                <w:sz w:val="18"/>
                <w:szCs w:val="18"/>
                <w:color w:val="0000FF"/>
                <w:w w:val="87"/>
              </w:rPr>
              <w:t>19,990</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17.55</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8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(7)(8)</w:t>
            </w: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9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6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gridSpan w:val="6"/>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Polaris Venture Management Co. V, L.L.C.</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4"/>
                <w:szCs w:val="14"/>
                <w:color w:val="auto"/>
              </w:rPr>
              <w:t>(Last)</w:t>
            </w:r>
          </w:p>
        </w:tc>
        <w:tc>
          <w:tcPr>
            <w:tcW w:w="144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520" w:type="dxa"/>
            <w:vAlign w:val="bottom"/>
            <w:gridSpan w:val="3"/>
          </w:tcPr>
          <w:p>
            <w:pPr>
              <w:ind w:left="10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6"/>
          </w:tcPr>
          <w:p>
            <w:pPr>
              <w:spacing w:after="0"/>
              <w:rPr>
                <w:sz w:val="20"/>
                <w:szCs w:val="20"/>
                <w:color w:val="auto"/>
              </w:rPr>
            </w:pPr>
            <w:r>
              <w:rPr>
                <w:rFonts w:ascii="Arial" w:cs="Arial" w:eastAsia="Arial" w:hAnsi="Arial"/>
                <w:sz w:val="18"/>
                <w:szCs w:val="18"/>
                <w:color w:val="0000FF"/>
              </w:rPr>
              <w:t>ONE MARINA PARK DRIVE, 10TH FLOOR</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0"/>
                <w:szCs w:val="20"/>
                <w:color w:val="auto"/>
              </w:rPr>
            </w:pPr>
            <w:r>
              <w:rPr>
                <w:rFonts w:ascii="Arial" w:cs="Arial" w:eastAsia="Arial" w:hAnsi="Arial"/>
                <w:sz w:val="18"/>
                <w:szCs w:val="18"/>
                <w:color w:val="0000FF"/>
              </w:rPr>
              <w:t>BOSTON</w:t>
            </w:r>
          </w:p>
        </w:tc>
        <w:tc>
          <w:tcPr>
            <w:tcW w:w="1440" w:type="dxa"/>
            <w:vAlign w:val="bottom"/>
            <w:gridSpan w:val="2"/>
          </w:tcPr>
          <w:p>
            <w:pPr>
              <w:ind w:left="80"/>
              <w:spacing w:after="0"/>
              <w:rPr>
                <w:sz w:val="20"/>
                <w:szCs w:val="20"/>
                <w:color w:val="auto"/>
              </w:rPr>
            </w:pPr>
            <w:r>
              <w:rPr>
                <w:rFonts w:ascii="Arial" w:cs="Arial" w:eastAsia="Arial" w:hAnsi="Arial"/>
                <w:sz w:val="18"/>
                <w:szCs w:val="18"/>
                <w:color w:val="0000FF"/>
              </w:rPr>
              <w:t>MA</w:t>
            </w:r>
          </w:p>
        </w:tc>
        <w:tc>
          <w:tcPr>
            <w:tcW w:w="600" w:type="dxa"/>
            <w:vAlign w:val="bottom"/>
          </w:tcPr>
          <w:p>
            <w:pPr>
              <w:ind w:left="100"/>
              <w:spacing w:after="0"/>
              <w:rPr>
                <w:sz w:val="20"/>
                <w:szCs w:val="20"/>
                <w:color w:val="auto"/>
              </w:rPr>
            </w:pPr>
            <w:r>
              <w:rPr>
                <w:rFonts w:ascii="Arial" w:cs="Arial" w:eastAsia="Arial" w:hAnsi="Arial"/>
                <w:sz w:val="18"/>
                <w:szCs w:val="18"/>
                <w:color w:val="0000FF"/>
                <w:w w:val="95"/>
              </w:rPr>
              <w:t>02210</w:t>
            </w: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gridSpan w:val="2"/>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4"/>
                <w:szCs w:val="14"/>
                <w:color w:val="auto"/>
              </w:rPr>
              <w:t>(City)</w:t>
            </w:r>
          </w:p>
        </w:tc>
        <w:tc>
          <w:tcPr>
            <w:tcW w:w="144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520" w:type="dxa"/>
            <w:vAlign w:val="bottom"/>
            <w:gridSpan w:val="3"/>
          </w:tcPr>
          <w:p>
            <w:pPr>
              <w:ind w:left="100"/>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2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gridSpan w:val="3"/>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Polaris Venture Partners V, L.P.</w:t>
              </w:r>
            </w:hyperlink>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4"/>
                <w:szCs w:val="14"/>
                <w:color w:val="auto"/>
              </w:rPr>
              <w:t>(Last)</w:t>
            </w:r>
          </w:p>
        </w:tc>
        <w:tc>
          <w:tcPr>
            <w:tcW w:w="144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520" w:type="dxa"/>
            <w:vAlign w:val="bottom"/>
            <w:gridSpan w:val="3"/>
          </w:tcPr>
          <w:p>
            <w:pPr>
              <w:ind w:left="10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6"/>
          </w:tcPr>
          <w:p>
            <w:pPr>
              <w:spacing w:after="0"/>
              <w:rPr>
                <w:sz w:val="20"/>
                <w:szCs w:val="20"/>
                <w:color w:val="auto"/>
              </w:rPr>
            </w:pPr>
            <w:r>
              <w:rPr>
                <w:rFonts w:ascii="Arial" w:cs="Arial" w:eastAsia="Arial" w:hAnsi="Arial"/>
                <w:sz w:val="18"/>
                <w:szCs w:val="18"/>
                <w:color w:val="0000FF"/>
              </w:rPr>
              <w:t>ONE MARINA PARK DRIVE, 10TH FLOOR</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0"/>
                <w:szCs w:val="20"/>
                <w:color w:val="auto"/>
              </w:rPr>
            </w:pPr>
            <w:r>
              <w:rPr>
                <w:rFonts w:ascii="Arial" w:cs="Arial" w:eastAsia="Arial" w:hAnsi="Arial"/>
                <w:sz w:val="18"/>
                <w:szCs w:val="18"/>
                <w:color w:val="0000FF"/>
              </w:rPr>
              <w:t>BOSTON</w:t>
            </w:r>
          </w:p>
        </w:tc>
        <w:tc>
          <w:tcPr>
            <w:tcW w:w="1440" w:type="dxa"/>
            <w:vAlign w:val="bottom"/>
            <w:gridSpan w:val="2"/>
          </w:tcPr>
          <w:p>
            <w:pPr>
              <w:ind w:left="80"/>
              <w:spacing w:after="0"/>
              <w:rPr>
                <w:sz w:val="20"/>
                <w:szCs w:val="20"/>
                <w:color w:val="auto"/>
              </w:rPr>
            </w:pPr>
            <w:r>
              <w:rPr>
                <w:rFonts w:ascii="Arial" w:cs="Arial" w:eastAsia="Arial" w:hAnsi="Arial"/>
                <w:sz w:val="18"/>
                <w:szCs w:val="18"/>
                <w:color w:val="0000FF"/>
              </w:rPr>
              <w:t>MA</w:t>
            </w:r>
          </w:p>
        </w:tc>
        <w:tc>
          <w:tcPr>
            <w:tcW w:w="600" w:type="dxa"/>
            <w:vAlign w:val="bottom"/>
          </w:tcPr>
          <w:p>
            <w:pPr>
              <w:ind w:left="100"/>
              <w:spacing w:after="0"/>
              <w:rPr>
                <w:sz w:val="20"/>
                <w:szCs w:val="20"/>
                <w:color w:val="auto"/>
              </w:rPr>
            </w:pPr>
            <w:r>
              <w:rPr>
                <w:rFonts w:ascii="Arial" w:cs="Arial" w:eastAsia="Arial" w:hAnsi="Arial"/>
                <w:sz w:val="18"/>
                <w:szCs w:val="18"/>
                <w:color w:val="0000FF"/>
                <w:w w:val="95"/>
              </w:rPr>
              <w:t>02210</w:t>
            </w: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gridSpan w:val="2"/>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4"/>
                <w:szCs w:val="14"/>
                <w:color w:val="auto"/>
              </w:rPr>
              <w:t>(City)</w:t>
            </w:r>
          </w:p>
        </w:tc>
        <w:tc>
          <w:tcPr>
            <w:tcW w:w="144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520" w:type="dxa"/>
            <w:vAlign w:val="bottom"/>
            <w:gridSpan w:val="3"/>
          </w:tcPr>
          <w:p>
            <w:pPr>
              <w:ind w:left="100"/>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Polaris Venture Partners Entrepreneurs' Fund V,</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L.P.</w:t>
        </w:r>
      </w:hyperlink>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320" w:type="dxa"/>
            <w:vAlign w:val="bottom"/>
          </w:tcPr>
          <w:p>
            <w:pPr>
              <w:ind w:left="380"/>
              <w:spacing w:after="0"/>
              <w:rPr>
                <w:sz w:val="20"/>
                <w:szCs w:val="20"/>
                <w:color w:val="auto"/>
              </w:rPr>
            </w:pPr>
            <w:r>
              <w:rPr>
                <w:rFonts w:ascii="Arial" w:cs="Arial" w:eastAsia="Arial" w:hAnsi="Arial"/>
                <w:sz w:val="14"/>
                <w:szCs w:val="14"/>
                <w:color w:val="auto"/>
              </w:rPr>
              <w:t>(First)</w:t>
            </w:r>
          </w:p>
        </w:tc>
        <w:tc>
          <w:tcPr>
            <w:tcW w:w="1940" w:type="dxa"/>
            <w:vAlign w:val="bottom"/>
          </w:tcPr>
          <w:p>
            <w:pPr>
              <w:ind w:left="5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0000FF"/>
              </w:rPr>
              <w:t>ONE MARINA PARK DRIVE, 10TH FLOOR</w:t>
            </w:r>
          </w:p>
        </w:tc>
      </w:tr>
      <w:tr>
        <w:trPr>
          <w:trHeight w:val="212"/>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BOSTON</w:t>
            </w:r>
          </w:p>
        </w:tc>
        <w:tc>
          <w:tcPr>
            <w:tcW w:w="1320" w:type="dxa"/>
            <w:vAlign w:val="bottom"/>
          </w:tcPr>
          <w:p>
            <w:pPr>
              <w:ind w:left="380"/>
              <w:spacing w:after="0"/>
              <w:rPr>
                <w:sz w:val="20"/>
                <w:szCs w:val="20"/>
                <w:color w:val="auto"/>
              </w:rPr>
            </w:pPr>
            <w:r>
              <w:rPr>
                <w:rFonts w:ascii="Arial" w:cs="Arial" w:eastAsia="Arial" w:hAnsi="Arial"/>
                <w:sz w:val="18"/>
                <w:szCs w:val="18"/>
                <w:color w:val="0000FF"/>
              </w:rPr>
              <w:t>MA</w:t>
            </w:r>
          </w:p>
        </w:tc>
        <w:tc>
          <w:tcPr>
            <w:tcW w:w="1940" w:type="dxa"/>
            <w:vAlign w:val="bottom"/>
          </w:tcPr>
          <w:p>
            <w:pPr>
              <w:ind w:left="520"/>
              <w:spacing w:after="0"/>
              <w:rPr>
                <w:sz w:val="20"/>
                <w:szCs w:val="20"/>
                <w:color w:val="auto"/>
              </w:rPr>
            </w:pPr>
            <w:r>
              <w:rPr>
                <w:rFonts w:ascii="Arial" w:cs="Arial" w:eastAsia="Arial" w:hAnsi="Arial"/>
                <w:sz w:val="18"/>
                <w:szCs w:val="18"/>
                <w:color w:val="0000FF"/>
              </w:rPr>
              <w:t>02210</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320" w:type="dxa"/>
            <w:vAlign w:val="bottom"/>
          </w:tcPr>
          <w:p>
            <w:pPr>
              <w:ind w:left="38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Polaris Venture Partners Founders' Fund V, L.P.</w:t>
        </w:r>
      </w:hyperlink>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320" w:type="dxa"/>
            <w:vAlign w:val="bottom"/>
          </w:tcPr>
          <w:p>
            <w:pPr>
              <w:ind w:left="380"/>
              <w:spacing w:after="0"/>
              <w:rPr>
                <w:sz w:val="20"/>
                <w:szCs w:val="20"/>
                <w:color w:val="auto"/>
              </w:rPr>
            </w:pPr>
            <w:r>
              <w:rPr>
                <w:rFonts w:ascii="Arial" w:cs="Arial" w:eastAsia="Arial" w:hAnsi="Arial"/>
                <w:sz w:val="14"/>
                <w:szCs w:val="14"/>
                <w:color w:val="auto"/>
              </w:rPr>
              <w:t>(First)</w:t>
            </w:r>
          </w:p>
        </w:tc>
        <w:tc>
          <w:tcPr>
            <w:tcW w:w="1940" w:type="dxa"/>
            <w:vAlign w:val="bottom"/>
          </w:tcPr>
          <w:p>
            <w:pPr>
              <w:ind w:left="5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0000FF"/>
              </w:rPr>
              <w:t>ONE MARINA PARK DRIVE, 10TH FLOOR</w:t>
            </w:r>
          </w:p>
        </w:tc>
      </w:tr>
      <w:tr>
        <w:trPr>
          <w:trHeight w:val="212"/>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BOSTON</w:t>
            </w:r>
          </w:p>
        </w:tc>
        <w:tc>
          <w:tcPr>
            <w:tcW w:w="1320" w:type="dxa"/>
            <w:vAlign w:val="bottom"/>
          </w:tcPr>
          <w:p>
            <w:pPr>
              <w:ind w:left="380"/>
              <w:spacing w:after="0"/>
              <w:rPr>
                <w:sz w:val="20"/>
                <w:szCs w:val="20"/>
                <w:color w:val="auto"/>
              </w:rPr>
            </w:pPr>
            <w:r>
              <w:rPr>
                <w:rFonts w:ascii="Arial" w:cs="Arial" w:eastAsia="Arial" w:hAnsi="Arial"/>
                <w:sz w:val="18"/>
                <w:szCs w:val="18"/>
                <w:color w:val="0000FF"/>
              </w:rPr>
              <w:t>MA</w:t>
            </w:r>
          </w:p>
        </w:tc>
        <w:tc>
          <w:tcPr>
            <w:tcW w:w="1940" w:type="dxa"/>
            <w:vAlign w:val="bottom"/>
          </w:tcPr>
          <w:p>
            <w:pPr>
              <w:ind w:left="520"/>
              <w:spacing w:after="0"/>
              <w:rPr>
                <w:sz w:val="20"/>
                <w:szCs w:val="20"/>
                <w:color w:val="auto"/>
              </w:rPr>
            </w:pPr>
            <w:r>
              <w:rPr>
                <w:rFonts w:ascii="Arial" w:cs="Arial" w:eastAsia="Arial" w:hAnsi="Arial"/>
                <w:sz w:val="18"/>
                <w:szCs w:val="18"/>
                <w:color w:val="0000FF"/>
              </w:rPr>
              <w:t>02210</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320" w:type="dxa"/>
            <w:vAlign w:val="bottom"/>
          </w:tcPr>
          <w:p>
            <w:pPr>
              <w:ind w:left="38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Polaris Venture Partners Special Founders' Fund</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V, L.P.</w:t>
        </w:r>
      </w:hyperlink>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420"/>
          </w:cols>
          <w:pgMar w:left="240" w:top="188" w:right="239" w:bottom="63" w:gutter="0" w:footer="0" w:header="0"/>
        </w:sectPr>
      </w:pPr>
    </w:p>
    <w:p>
      <w:pPr>
        <w:spacing w:after="0" w:line="61"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ONE MARINA PARK DRIVE, 10TH FLOOR</w:t>
      </w:r>
    </w:p>
    <w:p>
      <w:pPr>
        <w:sectPr>
          <w:pgSz w:w="11900" w:h="16838" w:orient="portrait"/>
          <w:cols w:equalWidth="0" w:num="1">
            <w:col w:w="11420"/>
          </w:cols>
          <w:pgMar w:left="240" w:top="188" w:right="239" w:bottom="63" w:gutter="0" w:footer="0" w:header="0"/>
          <w:type w:val="continuous"/>
        </w:sectPr>
      </w:pPr>
    </w:p>
    <w:bookmarkStart w:id="2" w:name="page3"/>
    <w:bookmarkEnd w:id="2"/>
    <w:tbl>
      <w:tblPr>
        <w:tblLayout w:type="fixed"/>
        <w:tblInd w:w="4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BOSTON</w:t>
            </w:r>
          </w:p>
        </w:tc>
        <w:tc>
          <w:tcPr>
            <w:tcW w:w="1320" w:type="dxa"/>
            <w:vAlign w:val="bottom"/>
          </w:tcPr>
          <w:p>
            <w:pPr>
              <w:ind w:left="380"/>
              <w:spacing w:after="0"/>
              <w:rPr>
                <w:sz w:val="20"/>
                <w:szCs w:val="20"/>
                <w:color w:val="auto"/>
              </w:rPr>
            </w:pPr>
            <w:r>
              <w:rPr>
                <w:rFonts w:ascii="Arial" w:cs="Arial" w:eastAsia="Arial" w:hAnsi="Arial"/>
                <w:sz w:val="18"/>
                <w:szCs w:val="18"/>
                <w:color w:val="0000FF"/>
              </w:rPr>
              <w:t>MA</w:t>
            </w:r>
          </w:p>
        </w:tc>
        <w:tc>
          <w:tcPr>
            <w:tcW w:w="1940" w:type="dxa"/>
            <w:vAlign w:val="bottom"/>
          </w:tcPr>
          <w:p>
            <w:pPr>
              <w:ind w:left="520"/>
              <w:spacing w:after="0"/>
              <w:rPr>
                <w:sz w:val="20"/>
                <w:szCs w:val="20"/>
                <w:color w:val="auto"/>
              </w:rPr>
            </w:pPr>
            <w:r>
              <w:rPr>
                <w:rFonts w:ascii="Arial" w:cs="Arial" w:eastAsia="Arial" w:hAnsi="Arial"/>
                <w:sz w:val="18"/>
                <w:szCs w:val="18"/>
                <w:color w:val="0000FF"/>
              </w:rPr>
              <w:t>02210</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320" w:type="dxa"/>
            <w:vAlign w:val="bottom"/>
          </w:tcPr>
          <w:p>
            <w:pPr>
              <w:ind w:left="38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647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2924175" cy="64706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right="220"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reportable securities are owned directly by Polaris Venture Partners Entrepreneurs' Fund V, L.P. ("PVPE V"). Polaris Venture Management Co. V, L.L.C. ("PVM V") is the general partner of PVPE V. PVM V disclaims beneficial ownership of these securities and this report shall not be deemed an admission that PVM V is the beneficial owner of such securities for purposes of Section 16 or for any other purpose, except to the extent of its pecuniary interest therein.</w:t>
      </w:r>
    </w:p>
    <w:p>
      <w:pPr>
        <w:spacing w:after="0" w:line="30" w:lineRule="exact"/>
        <w:rPr>
          <w:rFonts w:ascii="Arial" w:cs="Arial" w:eastAsia="Arial" w:hAnsi="Arial"/>
          <w:sz w:val="14"/>
          <w:szCs w:val="14"/>
          <w:color w:val="008000"/>
        </w:rPr>
      </w:pPr>
    </w:p>
    <w:p>
      <w:pPr>
        <w:ind w:right="40" w:firstLine="9"/>
        <w:spacing w:after="0" w:line="230"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of Jonathan A. Flint ("Flint") and Terrance G. McGuire ("McGuire") are the managing members of PVM V. Amir Nashat ("Nashat"), who is a member of the Issuer's Board of Directors, is a member of PVM V. Each of Flint, McGuire and Nashat, in their respective capacities with regard to PVM V, may be deemed to have shared voting and dispositive power of the shares held by PVPE V. Each of Flint, McGuire and Nashat disclaims beneficial ownership of these securities and this report shall not be deemed an admission that any of them is the beneficial owner of such securities for purposes of Section 16 or for any other purpose, except to the extent of their pecuniary interest therein.</w:t>
      </w:r>
    </w:p>
    <w:p>
      <w:pPr>
        <w:spacing w:after="0" w:line="31" w:lineRule="exact"/>
        <w:rPr>
          <w:rFonts w:ascii="Arial" w:cs="Arial" w:eastAsia="Arial" w:hAnsi="Arial"/>
          <w:sz w:val="14"/>
          <w:szCs w:val="14"/>
          <w:color w:val="008000"/>
        </w:rPr>
      </w:pPr>
    </w:p>
    <w:p>
      <w:pPr>
        <w:ind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reportable securities are owned directly by Polaris Venture Partners Founders' Fund V, L.P. ("PVPFF V"). PVM V is the general partner of PVPFF V. PVM V disclaims beneficial ownership of these securities and this report shall not be deemed an admission that PVM V is the beneficial owner of such securities for purposes of Section 16 or for any other purpose, except to the extent of its pecuniary interest therein.</w:t>
      </w:r>
    </w:p>
    <w:p>
      <w:pPr>
        <w:spacing w:after="0" w:line="30" w:lineRule="exact"/>
        <w:rPr>
          <w:rFonts w:ascii="Arial" w:cs="Arial" w:eastAsia="Arial" w:hAnsi="Arial"/>
          <w:sz w:val="14"/>
          <w:szCs w:val="14"/>
          <w:color w:val="008000"/>
        </w:rPr>
      </w:pPr>
    </w:p>
    <w:p>
      <w:pPr>
        <w:ind w:right="80" w:firstLine="9"/>
        <w:spacing w:after="0" w:line="230"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of Flint and McGuire are the managing members of PVM V. Nashat, who is a member of the Issuer's Board of Directors, is a member of PVM V. Each of Flint, McGuire and Nashat, in their respective capacities with regard to PVM V, may be deemed to have shared voting and dispositive power of the shares held by PVPFF V. Each of Flint, McGuire and Nashat disclaims beneficial ownership of these securities and this report shall not be deemed an admission that any of them is the beneficial owner of such securities for purposes of Section 16 or for any other purpose, except to the extent of their pecuniary interest therein.</w:t>
      </w:r>
    </w:p>
    <w:p>
      <w:pPr>
        <w:spacing w:after="0" w:line="31" w:lineRule="exact"/>
        <w:rPr>
          <w:rFonts w:ascii="Arial" w:cs="Arial" w:eastAsia="Arial" w:hAnsi="Arial"/>
          <w:sz w:val="14"/>
          <w:szCs w:val="14"/>
          <w:color w:val="008000"/>
        </w:rPr>
      </w:pPr>
    </w:p>
    <w:p>
      <w:pPr>
        <w:ind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reportable securities are owned directly by Polaris Venture Partners Special Founders' Fund V, L.P. ("PVPSFF V"). PVM V is the general partner of PVPSFF V. PVM V disclaims beneficial ownership of these securities and this report shall not be deemed an admission that PVM V is the beneficial owner of such securities for purposes of Section 16 or for any other purpose, except to the extent of its pecuniary interest therein.</w:t>
      </w:r>
    </w:p>
    <w:p>
      <w:pPr>
        <w:spacing w:after="0" w:line="30" w:lineRule="exact"/>
        <w:rPr>
          <w:rFonts w:ascii="Arial" w:cs="Arial" w:eastAsia="Arial" w:hAnsi="Arial"/>
          <w:sz w:val="14"/>
          <w:szCs w:val="14"/>
          <w:color w:val="008000"/>
        </w:rPr>
      </w:pPr>
    </w:p>
    <w:p>
      <w:pPr>
        <w:ind w:right="80" w:firstLine="9"/>
        <w:spacing w:after="0" w:line="230"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of Flint and McGuire are the managing members of PVM V. Nashat, who is a member of the Issuer's Board of Directors, is a member of PVM V. Each of Flint, McGuire and Nashat, in their respective capacities with regard to PVM V, may be deemed to have shared voting and dispositive power of the shares held by PVPSFF V. Each of Flint, McGuire and Nashat disclaims beneficial ownership of these securities and this report shall not be deemed an admission that any of them is the beneficial owner of such securities for purposes of Section 16 or for any other purpose, except to the extent of their pecuniary interest therein.</w:t>
      </w:r>
    </w:p>
    <w:p>
      <w:pPr>
        <w:spacing w:after="0" w:line="31" w:lineRule="exact"/>
        <w:rPr>
          <w:rFonts w:ascii="Arial" w:cs="Arial" w:eastAsia="Arial" w:hAnsi="Arial"/>
          <w:sz w:val="14"/>
          <w:szCs w:val="14"/>
          <w:color w:val="008000"/>
        </w:rPr>
      </w:pPr>
    </w:p>
    <w:p>
      <w:pPr>
        <w:ind w:right="100" w:firstLine="9"/>
        <w:spacing w:after="0" w:line="305"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reportable securities are owned directly by Polaris Venture Partners V, L.P. ("PVP V"). PVM V is the general partner of PVP V. PVM V disclaims beneficial ownership of these securities and this report shall not be deemed an admission that PVM V is the beneficial owner of such securities for purposes of Section 16 or for any other purpose, except to the extent of its pecuniary interest therein.</w:t>
      </w:r>
    </w:p>
    <w:p>
      <w:pPr>
        <w:ind w:right="20" w:firstLine="9"/>
        <w:spacing w:after="0" w:line="230"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of Flint and McGuire are the managing members of PVM V. Nashat, who is a member of the Issuer's Board of Directors, is a member of PVM V. Each of Flint, McGuire and Nashat, in their respective capacities with regard to PVM V, may be deemed to have shared voting and dispositive power of the shares held by PVP V. Each of Flint, McGuire and Nashat disclaims beneficial ownership of these securities and this report shall not be deemed an admission that any of them is the beneficial owner of such securities for purposes of Section 16 or for any other purpose, except to the extent of their pecuniary interest therein.</w:t>
      </w:r>
    </w:p>
    <w:p>
      <w:pPr>
        <w:spacing w:after="0" w:line="31" w:lineRule="exact"/>
        <w:rPr>
          <w:rFonts w:ascii="Arial" w:cs="Arial" w:eastAsia="Arial" w:hAnsi="Arial"/>
          <w:sz w:val="14"/>
          <w:szCs w:val="14"/>
          <w:color w:val="008000"/>
        </w:rPr>
      </w:pPr>
    </w:p>
    <w:p>
      <w:pPr>
        <w:ind w:right="30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preferred stock is convertible at any time, at the holder's election and has no expiration date. The preferred stock will automatically convert into common stock upon the closing of the Issuer's initial public offering.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8000"/>
        </w:rPr>
        <w:t>Exhibit 24 - Power of Attorney</w:t>
      </w:r>
    </w:p>
    <w:p>
      <w:pPr>
        <w:sectPr>
          <w:pgSz w:w="11900" w:h="16838" w:orient="portrait"/>
          <w:cols w:equalWidth="0" w:num="1">
            <w:col w:w="11340"/>
          </w:cols>
          <w:pgMar w:left="280" w:top="140" w:right="279" w:bottom="1440" w:gutter="0" w:footer="0" w:header="0"/>
        </w:sectPr>
      </w:pPr>
    </w:p>
    <w:p>
      <w:pPr>
        <w:spacing w:after="0" w:line="7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Mary Blair,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338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23380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Fact for Polaris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617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06172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Management Co. 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11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2115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Mary Blair,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338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23380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Fact for Polaris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617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6172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Management Co. 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395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3952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general partner of Polaris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296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296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Venture Partners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629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Mary Blair,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338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3380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Fact for Polaris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617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06172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Management Co. 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395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3952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general partner of Polaris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296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296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Venture Partners Entrepreneurs'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128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412875" cy="8890"/>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Fund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5524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55245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Mary Blair,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338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3380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Fact for Polaris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617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06172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Management Co. 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395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23952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general partner of Polaris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296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1296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Venture Partners Founders'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026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20269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Fund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5524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5245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Mary Blair,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338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23380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Fact for Polaris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617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06172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Management Co. 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395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23952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general partner of Polaris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296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1296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Venture Partners Special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960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09601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Founders' Fund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153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0153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0000FF"/>
        </w:rPr>
        <w:t>06/21/2016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06/21/2016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0000FF"/>
        </w:rPr>
        <w:t>06/21/2016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06/21/2016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06/21/2016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645" w:lineRule="exact"/>
        <w:rPr>
          <w:sz w:val="20"/>
          <w:szCs w:val="20"/>
          <w:color w:val="auto"/>
        </w:rPr>
      </w:pPr>
    </w:p>
    <w:p>
      <w:pPr>
        <w:sectPr>
          <w:pgSz w:w="11900" w:h="16838" w:orient="portrait"/>
          <w:cols w:equalWidth="0" w:num="2">
            <w:col w:w="9060" w:space="60"/>
            <w:col w:w="2220"/>
          </w:cols>
          <w:pgMar w:left="280" w:top="140" w:right="27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54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340"/>
          </w:cols>
          <w:pgMar w:left="280" w:top="140" w:right="279" w:bottom="1440" w:gutter="0" w:footer="0" w:header="0"/>
          <w:type w:val="continuous"/>
        </w:sectPr>
      </w:pPr>
    </w:p>
    <w:bookmarkStart w:id="3" w:name="page4"/>
    <w:bookmarkEnd w:id="3"/>
    <w:p>
      <w:pPr>
        <w:jc w:val="right"/>
        <w:ind w:right="40"/>
        <w:spacing w:after="0"/>
        <w:rPr>
          <w:sz w:val="20"/>
          <w:szCs w:val="20"/>
          <w:color w:val="auto"/>
        </w:rPr>
      </w:pPr>
      <w:r>
        <w:rPr>
          <w:rFonts w:ascii="Arial" w:cs="Arial" w:eastAsia="Arial" w:hAnsi="Arial"/>
          <w:sz w:val="18"/>
          <w:szCs w:val="18"/>
          <w:b w:val="1"/>
          <w:bCs w:val="1"/>
          <w:color w:val="auto"/>
        </w:rPr>
        <w:t>Ex. 24</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undersigned (the “Reporting Person”) hereby constitutes and appoints Mary Blair, signing singly, with full power of substitution, as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Reporting Person’s true and lawful attorney in fact to:</w:t>
      </w:r>
    </w:p>
    <w:p>
      <w:pPr>
        <w:spacing w:after="0" w:line="211" w:lineRule="exact"/>
        <w:rPr>
          <w:sz w:val="20"/>
          <w:szCs w:val="20"/>
          <w:color w:val="auto"/>
        </w:rPr>
      </w:pPr>
    </w:p>
    <w:p>
      <w:pPr>
        <w:ind w:right="440" w:firstLine="1305"/>
        <w:spacing w:after="0" w:line="259" w:lineRule="auto"/>
        <w:tabs>
          <w:tab w:leader="none" w:pos="2001"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prepare, execute in the Reporting Person’s name and on the Reporting Person’s behalf, and submit to the U.S. Securities and Exchange Commission (the “SEC”) a Form ID, including amendments thereto, and any other documents necessary or appropriate to obtain codes and passwords enabling the Reporting Person to make electronic filings with the SEC of Reports required by Section 16(a) of the Securities Exchange Act of 1934 or any rule or regulation of the SEC;</w:t>
      </w:r>
    </w:p>
    <w:p>
      <w:pPr>
        <w:spacing w:after="0" w:line="186" w:lineRule="exact"/>
        <w:rPr>
          <w:rFonts w:ascii="Arial" w:cs="Arial" w:eastAsia="Arial" w:hAnsi="Arial"/>
          <w:sz w:val="18"/>
          <w:szCs w:val="18"/>
          <w:color w:val="auto"/>
        </w:rPr>
      </w:pPr>
    </w:p>
    <w:p>
      <w:pPr>
        <w:ind w:right="100" w:firstLine="1305"/>
        <w:spacing w:after="0" w:line="273" w:lineRule="auto"/>
        <w:tabs>
          <w:tab w:leader="none" w:pos="2001" w:val="left"/>
        </w:tabs>
        <w:numPr>
          <w:ilvl w:val="0"/>
          <w:numId w:val="4"/>
        </w:numPr>
        <w:rPr>
          <w:rFonts w:ascii="Arial" w:cs="Arial" w:eastAsia="Arial" w:hAnsi="Arial"/>
          <w:sz w:val="17"/>
          <w:szCs w:val="17"/>
          <w:color w:val="auto"/>
        </w:rPr>
      </w:pPr>
      <w:r>
        <w:rPr>
          <w:rFonts w:ascii="Arial" w:cs="Arial" w:eastAsia="Arial" w:hAnsi="Arial"/>
          <w:sz w:val="17"/>
          <w:szCs w:val="17"/>
          <w:color w:val="auto"/>
        </w:rPr>
        <w:t>prepare and file on behalf of such Reporting Person any and all reports, notices, communications and other documents (including, but not limited to, reports on Schedule 13D, Schedule 13G, Form 13-F, Form 3, Form 4 and Form 5) that such Reporting Person may be required to file with the SEC pursuant to the Securities Act of 1933, as amended (together with the implementing regulations thereto, the “Act”) and the Securities Exchange Act of 1934, as amended (together with the implementing regulations thereto, the “Exchange Act”) (collectively, the “Reports”) with respect to the Reporting Person’s (a) status as an officer or director of, or (b) ownership of, or transactions in, the securities of, any entity whose securities are beneficially owned (directly or indirectly) by the Reporting Person (“Portfolio Companies”);</w:t>
      </w:r>
    </w:p>
    <w:p>
      <w:pPr>
        <w:spacing w:after="0" w:line="178" w:lineRule="exact"/>
        <w:rPr>
          <w:rFonts w:ascii="Arial" w:cs="Arial" w:eastAsia="Arial" w:hAnsi="Arial"/>
          <w:sz w:val="17"/>
          <w:szCs w:val="17"/>
          <w:color w:val="auto"/>
        </w:rPr>
      </w:pPr>
    </w:p>
    <w:p>
      <w:pPr>
        <w:jc w:val="both"/>
        <w:ind w:right="220" w:firstLine="1305"/>
        <w:spacing w:after="0" w:line="264" w:lineRule="auto"/>
        <w:tabs>
          <w:tab w:leader="none" w:pos="2001" w:val="left"/>
        </w:tabs>
        <w:numPr>
          <w:ilvl w:val="0"/>
          <w:numId w:val="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Reporting Person which may be necessary or desirable to complete and execute any such Reports, complete and execute any amendment or amendments thereto, and timely file such form with the SEC and any stock exchange or similar authority; and</w:t>
      </w:r>
    </w:p>
    <w:p>
      <w:pPr>
        <w:spacing w:after="0" w:line="181" w:lineRule="exact"/>
        <w:rPr>
          <w:rFonts w:ascii="Arial" w:cs="Arial" w:eastAsia="Arial" w:hAnsi="Arial"/>
          <w:sz w:val="18"/>
          <w:szCs w:val="18"/>
          <w:color w:val="auto"/>
        </w:rPr>
      </w:pPr>
    </w:p>
    <w:p>
      <w:pPr>
        <w:jc w:val="both"/>
        <w:ind w:right="160" w:firstLine="1305"/>
        <w:spacing w:after="0" w:line="259" w:lineRule="auto"/>
        <w:tabs>
          <w:tab w:leader="none" w:pos="2001" w:val="left"/>
        </w:tabs>
        <w:numPr>
          <w:ilvl w:val="0"/>
          <w:numId w:val="4"/>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 in fact, may be of benefit to, in the best interest of, or legally required by, the Reporting Person, it being understood that the documents executed by such attorney in fact on behalf of the Reporting Person pursuant to this Power of Attorney shall be in such form and shall contain such terms and conditions as such attorney in fact may approve in such attorney in fact’s discretion.</w:t>
      </w:r>
    </w:p>
    <w:p>
      <w:pPr>
        <w:spacing w:after="0" w:line="187" w:lineRule="exact"/>
        <w:rPr>
          <w:sz w:val="20"/>
          <w:szCs w:val="20"/>
          <w:color w:val="auto"/>
        </w:rPr>
      </w:pPr>
    </w:p>
    <w:p>
      <w:pPr>
        <w:ind w:right="120" w:firstLine="1297"/>
        <w:spacing w:after="0" w:line="293" w:lineRule="auto"/>
        <w:rPr>
          <w:sz w:val="20"/>
          <w:szCs w:val="20"/>
          <w:color w:val="auto"/>
        </w:rPr>
      </w:pPr>
      <w:r>
        <w:rPr>
          <w:rFonts w:ascii="Arial" w:cs="Arial" w:eastAsia="Arial" w:hAnsi="Arial"/>
          <w:sz w:val="16"/>
          <w:szCs w:val="16"/>
          <w:color w:val="auto"/>
        </w:rPr>
        <w:t>The Reporting Person hereby grants to such attorney in fact full power and authority to do and perform any and every act and thing whatsoever requisite, necessary, or proper to be done in the exercise of any of the rights and powers herein granted, as fully to all intents and purposes as the Reporting Person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Reporting Person acknowledges that the foregoing attorney in fact, in serving in such capacity at the request of the Reporting Person, is not assuming any of the Reporting Person’s responsibilities to comply with Section 16 of the Securities Exchange Act of 1934.</w:t>
      </w:r>
    </w:p>
    <w:p>
      <w:pPr>
        <w:spacing w:after="0" w:line="165" w:lineRule="exact"/>
        <w:rPr>
          <w:sz w:val="20"/>
          <w:szCs w:val="20"/>
          <w:color w:val="auto"/>
        </w:rPr>
      </w:pPr>
    </w:p>
    <w:p>
      <w:pPr>
        <w:ind w:right="260" w:firstLine="1297"/>
        <w:spacing w:after="0" w:line="264" w:lineRule="auto"/>
        <w:rPr>
          <w:sz w:val="20"/>
          <w:szCs w:val="20"/>
          <w:color w:val="auto"/>
        </w:rPr>
      </w:pPr>
      <w:r>
        <w:rPr>
          <w:rFonts w:ascii="Arial" w:cs="Arial" w:eastAsia="Arial" w:hAnsi="Arial"/>
          <w:sz w:val="18"/>
          <w:szCs w:val="18"/>
          <w:color w:val="auto"/>
        </w:rPr>
        <w:t>This Power of Attorney with respect to the Reporting Person shall remain in full force and effect until such Reporting Person is no longer required to file any Reports with respect to the Reporting Person’s ownership of, or transactions in, the securities of Portfolio Companies, unless earlier revoked in a signed writing delivered to the foregoing attorney 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caused this Power of Attorney to be executed as of this 16th day of February, 2015.</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Polaris Venture Management Co. V, L.L.C.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ind w:left="572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Terrance G. McGuire</w:t>
            </w:r>
          </w:p>
        </w:tc>
        <w:tc>
          <w:tcPr>
            <w:tcW w:w="40" w:type="dxa"/>
            <w:vAlign w:val="bottom"/>
          </w:tcPr>
          <w:p>
            <w:pPr>
              <w:spacing w:after="0"/>
              <w:rPr>
                <w:sz w:val="20"/>
                <w:szCs w:val="20"/>
                <w:color w:val="auto"/>
              </w:rPr>
            </w:pPr>
          </w:p>
        </w:tc>
      </w:tr>
      <w:tr>
        <w:trPr>
          <w:trHeight w:val="210"/>
        </w:trPr>
        <w:tc>
          <w:tcPr>
            <w:tcW w:w="6540" w:type="dxa"/>
            <w:vAlign w:val="bottom"/>
          </w:tcPr>
          <w:p>
            <w:pPr>
              <w:ind w:left="5720"/>
              <w:spacing w:after="0"/>
              <w:rPr>
                <w:sz w:val="20"/>
                <w:szCs w:val="20"/>
                <w:color w:val="auto"/>
              </w:rPr>
            </w:pPr>
            <w:r>
              <w:rPr>
                <w:rFonts w:ascii="Arial" w:cs="Arial" w:eastAsia="Arial" w:hAnsi="Arial"/>
                <w:sz w:val="18"/>
                <w:szCs w:val="18"/>
                <w:color w:val="auto"/>
              </w:rPr>
              <w:t>Name: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Terrance G. McGuire</w:t>
            </w:r>
          </w:p>
        </w:tc>
        <w:tc>
          <w:tcPr>
            <w:tcW w:w="40" w:type="dxa"/>
            <w:vAlign w:val="bottom"/>
          </w:tcPr>
          <w:p>
            <w:pPr>
              <w:spacing w:after="0"/>
              <w:rPr>
                <w:sz w:val="18"/>
                <w:szCs w:val="18"/>
                <w:color w:val="auto"/>
              </w:rPr>
            </w:pPr>
          </w:p>
        </w:tc>
      </w:tr>
      <w:tr>
        <w:trPr>
          <w:trHeight w:val="210"/>
        </w:trPr>
        <w:tc>
          <w:tcPr>
            <w:tcW w:w="6540" w:type="dxa"/>
            <w:vAlign w:val="bottom"/>
          </w:tcPr>
          <w:p>
            <w:pPr>
              <w:ind w:left="5720"/>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Member</w:t>
            </w:r>
          </w:p>
        </w:tc>
        <w:tc>
          <w:tcPr>
            <w:tcW w:w="40" w:type="dxa"/>
            <w:vAlign w:val="bottom"/>
          </w:tcPr>
          <w:p>
            <w:pPr>
              <w:spacing w:after="0"/>
              <w:rPr>
                <w:sz w:val="18"/>
                <w:szCs w:val="18"/>
                <w:color w:val="auto"/>
              </w:rPr>
            </w:pPr>
          </w:p>
        </w:tc>
      </w:tr>
      <w:tr>
        <w:trPr>
          <w:trHeight w:val="341"/>
        </w:trPr>
        <w:tc>
          <w:tcPr>
            <w:tcW w:w="6540" w:type="dxa"/>
            <w:vAlign w:val="bottom"/>
            <w:tcBorders>
              <w:bottom w:val="single" w:sz="8" w:color="808080"/>
            </w:tcBorders>
          </w:tcPr>
          <w:p>
            <w:pPr>
              <w:spacing w:after="0"/>
              <w:rPr>
                <w:sz w:val="24"/>
                <w:szCs w:val="24"/>
                <w:color w:val="auto"/>
              </w:rPr>
            </w:pPr>
          </w:p>
        </w:tc>
        <w:tc>
          <w:tcPr>
            <w:tcW w:w="48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11" Type="http://schemas.openxmlformats.org/officeDocument/2006/relationships/hyperlink" Target="http://www.sec.gov/cgi-bin/browse-edgar?action=getcompany&amp;CIK=0001439589" TargetMode="External"/><Relationship Id="rId12" Type="http://schemas.openxmlformats.org/officeDocument/2006/relationships/hyperlink" Target="http://www.sec.gov/cgi-bin/browse-edgar?action=getcompany&amp;CIK=0001453687" TargetMode="External"/><Relationship Id="rId14" Type="http://schemas.openxmlformats.org/officeDocument/2006/relationships/hyperlink" Target="http://www.sec.gov/cgi-bin/browse-edgar?action=getcompany&amp;CIK=0001439590" TargetMode="External"/><Relationship Id="rId15" Type="http://schemas.openxmlformats.org/officeDocument/2006/relationships/hyperlink" Target="http://www.sec.gov/cgi-bin/browse-edgar?action=getcompany&amp;CIK=0001439587" TargetMode="External"/><Relationship Id="rId16" Type="http://schemas.openxmlformats.org/officeDocument/2006/relationships/hyperlink" Target="http://www.sec.gov/cgi-bin/browse-edgar?action=getcompany&amp;CIK=0001439588" TargetMode="External"/><Relationship Id="rId17" Type="http://schemas.openxmlformats.org/officeDocument/2006/relationships/hyperlink" Target="http://www.sec.gov/cgi-bin/browse-edgar?action=getcompany&amp;CIK=0001439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2019-12-23T20:17:07Z</dcterms:created>
  <dcterms:modified xsi:type="dcterms:W3CDTF">2019-12-23T20:17:07Z</dcterms:modified>
</cp:coreProperties>
</file>