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20" w:type="dxa"/>
            <w:vAlign w:val="bottom"/>
            <w:vMerge w:val="restart"/>
          </w:tcPr>
          <w:p>
            <w:pPr>
              <w:ind w:left="20"/>
              <w:spacing w:after="0"/>
              <w:rPr>
                <w:rFonts w:ascii="Arial" w:cs="Arial" w:eastAsia="Arial" w:hAnsi="Arial"/>
                <w:sz w:val="21"/>
                <w:szCs w:val="21"/>
                <w:u w:val="single" w:color="auto"/>
                <w:color w:val="0000EE"/>
                <w:w w:val="87"/>
              </w:rPr>
            </w:pPr>
            <w:hyperlink r:id="rId13">
              <w:r>
                <w:rPr>
                  <w:rFonts w:ascii="Arial" w:cs="Arial" w:eastAsia="Arial" w:hAnsi="Arial"/>
                  <w:sz w:val="21"/>
                  <w:szCs w:val="21"/>
                  <w:u w:val="single" w:color="auto"/>
                  <w:color w:val="0000EE"/>
                  <w:w w:val="87"/>
                </w:rPr>
                <w:t>Brunn Carsten</w:t>
              </w:r>
            </w:hyperlink>
          </w:p>
        </w:tc>
        <w:tc>
          <w:tcPr>
            <w:tcW w:w="1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SELECTA BIOSCIENCES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SELECTA BIOSCIENCES, INC.</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12/01/2020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39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184150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17"/>
                <w:szCs w:val="17"/>
                <w:color w:val="0000FF"/>
              </w:rPr>
              <w:t>12/01/2020</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10,938</w:t>
            </w:r>
          </w:p>
        </w:tc>
        <w:tc>
          <w:tcPr>
            <w:tcW w:w="60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104,673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12/02/2020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3,323</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3.3506</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101,350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10,938</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12/01/2020</w:t>
            </w:r>
          </w:p>
        </w:tc>
        <w:tc>
          <w:tcPr>
            <w:tcW w:w="1140" w:type="dxa"/>
            <w:vAlign w:val="bottom"/>
          </w:tcPr>
          <w:p>
            <w:pPr>
              <w:spacing w:after="0"/>
              <w:rPr>
                <w:sz w:val="10"/>
                <w:szCs w:val="10"/>
                <w:color w:val="auto"/>
              </w:rPr>
            </w:pP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820" w:type="dxa"/>
            <w:vAlign w:val="bottom"/>
          </w:tcPr>
          <w:p>
            <w:pPr>
              <w:ind w:left="380"/>
              <w:spacing w:after="0" w:line="125" w:lineRule="exact"/>
              <w:rPr>
                <w:sz w:val="20"/>
                <w:szCs w:val="20"/>
                <w:color w:val="auto"/>
              </w:rPr>
            </w:pPr>
            <w:r>
              <w:rPr>
                <w:rFonts w:ascii="Arial" w:cs="Arial" w:eastAsia="Arial" w:hAnsi="Arial"/>
                <w:sz w:val="13"/>
                <w:szCs w:val="13"/>
                <w:color w:val="0000FF"/>
              </w:rPr>
              <w:t>10,938</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87,500</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44" w:lineRule="exact"/>
        <w:rPr>
          <w:rFonts w:ascii="Arial" w:cs="Arial" w:eastAsia="Arial" w:hAnsi="Arial"/>
          <w:sz w:val="13"/>
          <w:szCs w:val="13"/>
          <w:color w:val="008000"/>
        </w:rPr>
      </w:pPr>
    </w:p>
    <w:p>
      <w:pPr>
        <w:ind w:left="40" w:right="18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$3.335 to $3.375. The Reporting Person undertakes to provide upon request to the SEC staff, the Issuer, or any stockholder of the Issuer, full information regarding the number of shares sold at each separate price within the range set forth in this footnote.</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44" w:lineRule="exact"/>
        <w:rPr>
          <w:rFonts w:ascii="Arial" w:cs="Arial" w:eastAsia="Arial" w:hAnsi="Arial"/>
          <w:sz w:val="13"/>
          <w:szCs w:val="13"/>
          <w:color w:val="008000"/>
        </w:rPr>
      </w:pPr>
    </w:p>
    <w:p>
      <w:pPr>
        <w:ind w:left="40" w:right="2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restricted stock unit vests as to 25% on December 1, 2019. The remainder of the units will vest in twelve substantially equal quarterly installments thereafter. The restricted stock units have no expiration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109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0229"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2020-12-03T15:24:01Z</dcterms:created>
  <dcterms:modified xsi:type="dcterms:W3CDTF">2020-12-03T15:24:01Z</dcterms:modified>
</cp:coreProperties>
</file>