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5"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680" w:hanging="422"/>
        <w:spacing w:after="0"/>
        <w:tabs>
          <w:tab w:leader="none" w:pos="6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6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600" w:type="dxa"/>
        <w:tblCellMar>
          <w:top w:w="0" w:type="dxa"/>
          <w:left w:w="0" w:type="dxa"/>
          <w:bottom w:w="0" w:type="dxa"/>
          <w:right w:w="0" w:type="dxa"/>
        </w:tblCellMar>
      </w:tblPr>
      <w:tr>
        <w:trPr>
          <w:trHeight w:val="238"/>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25"/>
        </w:trPr>
        <w:tc>
          <w:tcPr>
            <w:tcW w:w="47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800" w:type="dxa"/>
            <w:vAlign w:val="bottom"/>
          </w:tcPr>
          <w:p>
            <w:pPr>
              <w:spacing w:after="0"/>
              <w:rPr>
                <w:sz w:val="20"/>
                <w:szCs w:val="20"/>
                <w:color w:val="auto"/>
              </w:rPr>
            </w:pPr>
          </w:p>
        </w:tc>
      </w:tr>
      <w:tr>
        <w:trPr>
          <w:trHeight w:val="351"/>
        </w:trPr>
        <w:tc>
          <w:tcPr>
            <w:tcW w:w="478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704 Quince Orchard Road, Gaithersburg, MD</w:t>
            </w:r>
          </w:p>
        </w:tc>
        <w:tc>
          <w:tcPr>
            <w:tcW w:w="28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56"/>
        </w:trPr>
        <w:tc>
          <w:tcPr>
            <w:tcW w:w="47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4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(617) 923-1400</w:t>
            </w:r>
          </w:p>
        </w:tc>
        <w:tc>
          <w:tcPr>
            <w:tcW w:w="280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2343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31750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Contingent Value Rights</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32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00" w:firstLine="324"/>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8" w:right="359" w:bottom="1440" w:gutter="0" w:footer="0" w:header="0"/>
        </w:sectPr>
      </w:pPr>
    </w:p>
    <w:p>
      <w:pPr>
        <w:spacing w:after="0" w:line="10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1" w:lineRule="exact"/>
        <w:rPr>
          <w:sz w:val="24"/>
          <w:szCs w:val="24"/>
          <w:color w:val="auto"/>
        </w:rPr>
      </w:pPr>
    </w:p>
    <w:p>
      <w:pPr>
        <w:sectPr>
          <w:pgSz w:w="11900" w:h="16838" w:orient="portrait"/>
          <w:cols w:equalWidth="0" w:num="4">
            <w:col w:w="3280" w:space="80"/>
            <w:col w:w="2300" w:space="720"/>
            <w:col w:w="1780" w:space="80"/>
            <w:col w:w="2980"/>
          </w:cols>
          <w:pgMar w:left="320" w:top="1168" w:right="359" w:bottom="1440" w:gutter="0" w:footer="0" w:header="0"/>
          <w:type w:val="continuous"/>
        </w:sectPr>
      </w:pPr>
    </w:p>
    <w:p>
      <w:pPr>
        <w:spacing w:after="0" w:line="30"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1" w:name="page2"/>
    <w:bookmarkEnd w:id="1"/>
    <w:p>
      <w:pPr>
        <w:ind w:right="65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7, 2024, the registrant had 21,382,485 shares of common stock, par value $0.0001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64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8"/>
          </w:tcPr>
          <w:p>
            <w:pPr>
              <w:jc w:val="center"/>
              <w:ind w:right="40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729"/>
        </w:trPr>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39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5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2024 and December 31, 2023</w:t>
            </w:r>
          </w:p>
        </w:tc>
        <w:tc>
          <w:tcPr>
            <w:tcW w:w="466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12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Three and Six Months ended June 30, 2024</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6</w:t>
            </w:r>
          </w:p>
        </w:tc>
      </w:tr>
      <w:tr>
        <w:trPr>
          <w:trHeight w:val="156"/>
        </w:trPr>
        <w:tc>
          <w:tcPr>
            <w:tcW w:w="980" w:type="dxa"/>
            <w:vAlign w:val="bottom"/>
          </w:tcPr>
          <w:p>
            <w:pPr>
              <w:spacing w:after="0"/>
              <w:rPr>
                <w:sz w:val="13"/>
                <w:szCs w:val="13"/>
                <w:color w:val="auto"/>
              </w:rPr>
            </w:pPr>
          </w:p>
        </w:tc>
        <w:tc>
          <w:tcPr>
            <w:tcW w:w="530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and 2023</w:t>
            </w:r>
          </w:p>
        </w:tc>
        <w:tc>
          <w:tcPr>
            <w:tcW w:w="5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2"/>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Changes in Convertible Preferred Stock and Stockholders’ Equity (Deficit) for the Three Months</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7</w:t>
            </w:r>
          </w:p>
        </w:tc>
      </w:tr>
      <w:tr>
        <w:trPr>
          <w:trHeight w:val="155"/>
        </w:trPr>
        <w:tc>
          <w:tcPr>
            <w:tcW w:w="980" w:type="dxa"/>
            <w:vAlign w:val="bottom"/>
          </w:tcPr>
          <w:p>
            <w:pPr>
              <w:spacing w:after="0"/>
              <w:rPr>
                <w:sz w:val="13"/>
                <w:szCs w:val="13"/>
                <w:color w:val="auto"/>
              </w:rPr>
            </w:pPr>
          </w:p>
        </w:tc>
        <w:tc>
          <w:tcPr>
            <w:tcW w:w="90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ended March 31, and June 30, 2024 and 2023</w:t>
            </w:r>
          </w:p>
        </w:tc>
        <w:tc>
          <w:tcPr>
            <w:tcW w:w="9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2024 and 2023</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1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340" w:type="dxa"/>
            <w:vAlign w:val="bottom"/>
            <w:gridSpan w:val="7"/>
          </w:tcPr>
          <w:p>
            <w:pPr>
              <w:spacing w:after="0"/>
              <w:rPr>
                <w:sz w:val="18"/>
                <w:szCs w:val="18"/>
                <w:color w:val="auto"/>
              </w:rPr>
            </w:pPr>
          </w:p>
        </w:tc>
        <w:tc>
          <w:tcPr>
            <w:tcW w:w="3460" w:type="dxa"/>
            <w:vAlign w:val="bottom"/>
            <w:gridSpan w:val="3"/>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65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60" w:type="dxa"/>
            <w:vAlign w:val="bottom"/>
            <w:gridSpan w:val="3"/>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4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0" w:type="dxa"/>
            <w:vAlign w:val="bottom"/>
            <w:gridSpan w:val="7"/>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120" w:type="dxa"/>
            <w:vAlign w:val="bottom"/>
          </w:tcPr>
          <w:p>
            <w:pPr>
              <w:spacing w:after="0"/>
              <w:rPr>
                <w:sz w:val="18"/>
                <w:szCs w:val="18"/>
                <w:color w:val="auto"/>
              </w:rPr>
            </w:pPr>
          </w:p>
        </w:tc>
      </w:tr>
      <w:tr>
        <w:trPr>
          <w:trHeight w:val="480"/>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4080" w:type="dxa"/>
            <w:vAlign w:val="bottom"/>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r>
      <w:tr>
        <w:trPr>
          <w:trHeight w:val="372"/>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620" w:type="dxa"/>
            <w:vAlign w:val="bottom"/>
            <w:gridSpan w:val="1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24"/>
                <w:szCs w:val="24"/>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60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0" w:type="dxa"/>
            <w:vAlign w:val="bottom"/>
            <w:tcBorders>
              <w:top w:val="single" w:sz="8" w:color="0000FF"/>
            </w:tcBorders>
          </w:tcPr>
          <w:p>
            <w:pPr>
              <w:spacing w:after="0"/>
              <w:rPr>
                <w:sz w:val="18"/>
                <w:szCs w:val="18"/>
                <w:color w:val="auto"/>
              </w:rPr>
            </w:pPr>
          </w:p>
        </w:tc>
        <w:tc>
          <w:tcPr>
            <w:tcW w:w="7580" w:type="dxa"/>
            <w:vAlign w:val="bottom"/>
            <w:gridSpan w:val="1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640" w:type="dxa"/>
            <w:vAlign w:val="bottom"/>
            <w:gridSpan w:val="15"/>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120" w:type="dxa"/>
            <w:vAlign w:val="bottom"/>
          </w:tcPr>
          <w:p>
            <w:pPr>
              <w:spacing w:after="0"/>
              <w:rPr>
                <w:sz w:val="18"/>
                <w:szCs w:val="18"/>
                <w:color w:val="auto"/>
              </w:rPr>
            </w:pPr>
          </w:p>
        </w:tc>
      </w:tr>
      <w:tr>
        <w:trPr>
          <w:trHeight w:val="21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1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0" w:type="dxa"/>
            <w:vAlign w:val="bottom"/>
            <w:gridSpan w:val="17"/>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020"/>
        </w:trPr>
        <w:tc>
          <w:tcPr>
            <w:tcW w:w="98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4540" w:type="dxa"/>
            <w:vAlign w:val="bottom"/>
            <w:gridSpan w:val="11"/>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or the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resurgence of the COVID-19 pandemic or emergence of another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(as defined below) instituted against us or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6"/>
                <w:szCs w:val="16"/>
                <w:color w:val="auto"/>
              </w:rPr>
            </w:pPr>
          </w:p>
        </w:tc>
        <w:tc>
          <w:tcPr>
            <w:tcW w:w="13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124,782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347,738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3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0" w:type="dxa"/>
            <w:vAlign w:val="bottom"/>
          </w:tcPr>
          <w:p>
            <w:pPr>
              <w:spacing w:after="0"/>
              <w:rPr>
                <w:sz w:val="1"/>
                <w:szCs w:val="1"/>
                <w:color w:val="auto"/>
              </w:rPr>
            </w:pPr>
          </w:p>
        </w:tc>
      </w:tr>
      <w:tr>
        <w:trPr>
          <w:trHeight w:val="203"/>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30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449,196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18)</w:t>
            </w: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A Preferred Stock, $0.0001 par value; no and 548,375 shares authorized as of June 30, 2024 and December 31, 2023, respectively;</w:t>
            </w:r>
          </w:p>
        </w:tc>
        <w:tc>
          <w:tcPr>
            <w:tcW w:w="30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 and 435,120.513 shares issued and outstanding as of June 30, 2024 and December 31, 2023, respectively</w:t>
            </w: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Series A Preferred Stock, $0.0001 par value; 180,455.753 and no shares authorized as of June 30, 2024 and December 31, 2023,</w:t>
            </w:r>
          </w:p>
        </w:tc>
        <w:tc>
          <w:tcPr>
            <w:tcW w:w="300" w:type="dxa"/>
            <w:vAlign w:val="bottom"/>
            <w:shd w:val="clear" w:color="auto" w:fill="CCEEFF"/>
          </w:tcPr>
          <w:p>
            <w:pPr>
              <w:spacing w:after="0"/>
              <w:rPr>
                <w:sz w:val="12"/>
                <w:szCs w:val="12"/>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 166,341.592 and no shares issued and outstanding as of June 30, 2024 and December 31, 2023, respectively</w:t>
            </w:r>
          </w:p>
        </w:tc>
        <w:tc>
          <w:tcPr>
            <w:tcW w:w="30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 stock, $0.0001 par value; 9,819,544.247 and 9,451,625 shares authorized as of June 30, 2024 and December 31, 2023,</w:t>
            </w:r>
          </w:p>
        </w:tc>
        <w:tc>
          <w:tcPr>
            <w:tcW w:w="300" w:type="dxa"/>
            <w:vAlign w:val="bottom"/>
          </w:tcPr>
          <w:p>
            <w:pPr>
              <w:spacing w:after="0"/>
              <w:rPr>
                <w:sz w:val="11"/>
                <w:szCs w:val="11"/>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respectively; no shares issued and outstanding as of June 30, 2024 and December 31, 2023</w:t>
            </w: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June 30, 2024 and December 31, 2023; 17,816,238 and 5,397,597</w:t>
            </w:r>
          </w:p>
        </w:tc>
        <w:tc>
          <w:tcPr>
            <w:tcW w:w="3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and outstanding as of June 30, 2024 and December 31, 2023, respectively</w:t>
            </w:r>
          </w:p>
        </w:tc>
        <w:tc>
          <w:tcPr>
            <w:tcW w:w="3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560,766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(657,635)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deficit</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(101,458)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2"/>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347,738</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33,271</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39,111</w:t>
            </w:r>
          </w:p>
        </w:tc>
        <w:tc>
          <w:tcPr>
            <w:tcW w:w="240" w:type="dxa"/>
            <w:vAlign w:val="bottom"/>
          </w:tcPr>
          <w:p>
            <w:pPr>
              <w:spacing w:after="0"/>
              <w:rPr>
                <w:sz w:val="16"/>
                <w:szCs w:val="16"/>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 revenue</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33,445</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39,285</w:t>
            </w:r>
          </w:p>
        </w:tc>
        <w:tc>
          <w:tcPr>
            <w:tcW w:w="2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22,399</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36,406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16,477</w:t>
            </w:r>
          </w:p>
        </w:tc>
        <w:tc>
          <w:tcPr>
            <w:tcW w:w="2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23,887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38,876</w:t>
            </w:r>
          </w:p>
        </w:tc>
        <w:tc>
          <w:tcPr>
            <w:tcW w:w="2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48,206</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(37,019)</w:t>
            </w: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2,725</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net</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24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(33,050)</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13,850</w:t>
            </w:r>
          </w:p>
        </w:tc>
        <w:tc>
          <w:tcPr>
            <w:tcW w:w="10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(11,414)</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(42,979)</w:t>
            </w:r>
          </w:p>
        </w:tc>
        <w:tc>
          <w:tcPr>
            <w:tcW w:w="24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(33,088)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Undistributed earnings allocable to participating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allocable to shares of common stock - basic and diluted</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24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allocable to common stockholders: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16,723,479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5,114,747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2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5,113,213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17,791,143</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5,114,747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5,113,213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38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for</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20" w:type="dxa"/>
            <w:vAlign w:val="bottom"/>
          </w:tcPr>
          <w:p>
            <w:pPr>
              <w:spacing w:after="0"/>
              <w:rPr>
                <w:sz w:val="16"/>
                <w:szCs w:val="16"/>
                <w:color w:val="auto"/>
              </w:rPr>
            </w:pP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6"/>
                <w:szCs w:val="16"/>
                <w:color w:val="auto"/>
              </w:rPr>
            </w:pPr>
          </w:p>
        </w:tc>
        <w:tc>
          <w:tcPr>
            <w:tcW w:w="7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00" w:type="dxa"/>
            <w:vAlign w:val="bottom"/>
          </w:tcPr>
          <w:p>
            <w:pPr>
              <w:spacing w:after="0"/>
              <w:rPr>
                <w:sz w:val="17"/>
                <w:szCs w:val="17"/>
                <w:color w:val="auto"/>
              </w:rPr>
            </w:pPr>
          </w:p>
        </w:tc>
        <w:tc>
          <w:tcPr>
            <w:tcW w:w="72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vMerge w:val="restart"/>
          </w:tcPr>
          <w:p>
            <w:pPr>
              <w:jc w:val="center"/>
              <w:ind w:right="88"/>
              <w:spacing w:after="0" w:line="15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5"/>
        </w:trPr>
        <w:tc>
          <w:tcPr>
            <w:tcW w:w="1520" w:type="dxa"/>
            <w:vAlign w:val="bottom"/>
          </w:tcPr>
          <w:p>
            <w:pPr>
              <w:spacing w:after="0"/>
              <w:rPr>
                <w:sz w:val="10"/>
                <w:szCs w:val="10"/>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Balance at December 31,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5,397,597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179,062</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Series A</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in</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connection with private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placement and settlement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of related forward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75,197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Transfer of Series A</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and</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options for Series A</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10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(372,048)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375,751</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equity</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upon exercise of</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52,558</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upon exercise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Currency translation</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(56,824)</w:t>
            </w: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Balance at March 31,</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534,260.839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5,515,836</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559,275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(671,471)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(116,800)</w:t>
            </w:r>
          </w:p>
        </w:tc>
        <w:tc>
          <w:tcPr>
            <w:tcW w:w="0" w:type="dxa"/>
            <w:vAlign w:val="bottom"/>
          </w:tcPr>
          <w:p>
            <w:pPr>
              <w:spacing w:after="0"/>
              <w:rPr>
                <w:sz w:val="1"/>
                <w:szCs w:val="1"/>
                <w:color w:val="auto"/>
              </w:rPr>
            </w:pPr>
          </w:p>
        </w:tc>
      </w:tr>
      <w:tr>
        <w:trPr>
          <w:trHeight w:val="195"/>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Conversion of Series A</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52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1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Stock to</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(367,919.247)</w:t>
            </w:r>
          </w:p>
        </w:tc>
        <w:tc>
          <w:tcPr>
            <w:tcW w:w="100" w:type="dxa"/>
            <w:vAlign w:val="bottom"/>
          </w:tcPr>
          <w:p>
            <w:pPr>
              <w:spacing w:after="0"/>
              <w:rPr>
                <w:sz w:val="12"/>
                <w:szCs w:val="12"/>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12,263,951</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w:t>
            </w: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52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upon exercise of</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36,451</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offering costs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42"/>
        </w:trPr>
        <w:tc>
          <w:tcPr>
            <w:tcW w:w="1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Stock-based</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expense</w:t>
            </w: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 translation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780" w:type="dxa"/>
            <w:vAlign w:val="bottom"/>
          </w:tcPr>
          <w:p>
            <w:pPr>
              <w:ind w:left="560"/>
              <w:spacing w:after="0" w:line="135"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5"/>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0" w:type="dxa"/>
            <w:vAlign w:val="bottom"/>
          </w:tcPr>
          <w:p>
            <w:pPr>
              <w:spacing w:after="0"/>
              <w:rPr>
                <w:sz w:val="1"/>
                <w:szCs w:val="1"/>
                <w:color w:val="auto"/>
              </w:rPr>
            </w:pPr>
          </w:p>
        </w:tc>
      </w:tr>
      <w:tr>
        <w:trPr>
          <w:trHeight w:val="196"/>
        </w:trPr>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166,341.592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17,816,238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560,766</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(657,635)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(101,458)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40" w:right="240"/>
        <w:spacing w:after="0" w:line="263" w:lineRule="auto"/>
        <w:rPr>
          <w:sz w:val="20"/>
          <w:szCs w:val="20"/>
          <w:color w:val="auto"/>
        </w:rPr>
      </w:pPr>
      <w:r>
        <w:rPr>
          <w:rFonts w:ascii="Times New Roman" w:cs="Times New Roman" w:eastAsia="Times New Roman" w:hAnsi="Times New Roman"/>
          <w:sz w:val="16"/>
          <w:szCs w:val="16"/>
          <w:color w:val="auto"/>
        </w:rPr>
        <w:t>On April 4, 2024, the Company effected a 1-for-30 reverse split of its issued and outstanding shares of common stock, or the Reverse Stock Split. As a result of the Reverse Stock Split, all figures in this Quarterly Report on Form 10-Q relating to shares of the Company’s common stock (such as share amounts, per share amounts, and conversion rates and prices), including but not limited to, the consolidated financial statements and footnotes included herein, have been adjusted to reflect the Reverse Stock Split for all periods presented.</w:t>
      </w:r>
    </w:p>
    <w:p>
      <w:pPr>
        <w:spacing w:after="0" w:line="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rPr>
                <w:sz w:val="17"/>
                <w:szCs w:val="17"/>
                <w:color w:val="auto"/>
              </w:rPr>
            </w:pPr>
          </w:p>
        </w:tc>
        <w:tc>
          <w:tcPr>
            <w:tcW w:w="17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5,101,459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493,322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(21,663)</w:t>
            </w:r>
          </w:p>
        </w:tc>
        <w:tc>
          <w:tcPr>
            <w:tcW w:w="0" w:type="dxa"/>
            <w:vAlign w:val="bottom"/>
          </w:tcPr>
          <w:p>
            <w:pPr>
              <w:spacing w:after="0"/>
              <w:rPr>
                <w:sz w:val="1"/>
                <w:szCs w:val="1"/>
                <w:color w:val="auto"/>
              </w:rPr>
            </w:pPr>
          </w:p>
        </w:tc>
      </w:tr>
      <w:tr>
        <w:trPr>
          <w:trHeight w:val="169"/>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5,114,269</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495,747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(416,600)</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74,579</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vested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5,114,289</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498,030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81"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(33,050)</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Unbilled receivable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5"/>
        </w:trPr>
        <w:tc>
          <w:tcPr>
            <w:tcW w:w="80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8,504</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w:t>
            </w:r>
          </w:p>
        </w:tc>
        <w:tc>
          <w:tcPr>
            <w:tcW w:w="0" w:type="dxa"/>
            <w:vAlign w:val="bottom"/>
          </w:tcPr>
          <w:p>
            <w:pPr>
              <w:spacing w:after="0"/>
              <w:rPr>
                <w:sz w:val="1"/>
                <w:szCs w:val="1"/>
                <w:color w:val="auto"/>
              </w:rPr>
            </w:pP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(30,363)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28,254</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9"/>
        </w:trPr>
        <w:tc>
          <w:tcPr>
            <w:tcW w:w="80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of principal, final payment fee, and prepayment penalty on debt</w:t>
            </w:r>
          </w:p>
        </w:tc>
        <w:tc>
          <w:tcPr>
            <w:tcW w:w="9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common warrants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3"/>
        </w:trPr>
        <w:tc>
          <w:tcPr>
            <w:tcW w:w="8040" w:type="dxa"/>
            <w:vAlign w:val="bottom"/>
            <w:tcBorders>
              <w:top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19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in accrued liabilities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95"/>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96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offering costs in accrued liabilities</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Cartesian Therapeutics, Inc. </w:t>
      </w:r>
      <w:r>
        <w:rPr>
          <w:rFonts w:ascii="Times New Roman" w:cs="Times New Roman" w:eastAsia="Times New Roman" w:hAnsi="Times New Roman"/>
          <w:sz w:val="17"/>
          <w:szCs w:val="17"/>
          <w:b w:val="1"/>
          <w:bCs w:val="1"/>
          <w:color w:val="auto"/>
        </w:rPr>
        <w:t>and Subsidiaries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08"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Cartesian Therapeutics, Inc., or the Company (formerly known as Selecta Biosciences, Inc., or Selecta), was incorporated in Delaware on December 10, 2007, and is headquartered in Gaithersburg, Maryland. The Company is a clinical-stage biotechnology company developing mRNA cell therapies for 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224,099 shares of the common stock, par value $0.0001 per share, of the Company, or the common stock, and 384,930.724 shares of the newly designated Series A Non-Voting Convertible Preferred Stock, par value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10.</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defined below)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5.</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(as defined below). For additional information, see Note 10.</w:t>
      </w:r>
    </w:p>
    <w:p>
      <w:pPr>
        <w:spacing w:after="0" w:line="11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Additionally, on March 27, 2024, the Company’s stockholders approved an amendment to the Company’s restated certificate of incorporation, as amended, or the Charter, to effect a reverse stock split of the Company’s issued and outstanding common stock, at a ratio in the range of 1-for-20 and 1-for-30, with such ratio to be determined at the discretion of the Company’s board of directors, or the Board of Directors. The Board of Directors subsequently approved a final reverse stock split ratio of 1-for-30, and the Company effected the Reverse Stock Split on April 4, 2024. As a result of the Reverse Stock Split, all figures in this Quarterly Report on Form 10-Q relating to shares of the Company’s common stock (such as share amounts, per share amounts, and conversion rates and prices), have been adjusted to reflect the Reverse Stock Split for all periods presented, including reclassifying an amount equal to the reduction in par value of common stock to additional paid-in capital. Shares of common stock underlying outstanding stock options, restricted stock units and warrants were proportionately reduced and the respective exercise prices, if applicable, were proportionately increased in accordance with their terms. Additionally, the conversion ratio of the Company’s Series A Preferred Stock was proportionally adjusted. Stockholders entitled to fractional shares as a result of the Reverse Stock Split received a cash payment in lieu of receiving fractional shares.</w:t>
      </w:r>
    </w:p>
    <w:p>
      <w:pPr>
        <w:spacing w:after="0" w:line="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2, 2024, the Company entered into a securities purchase agreement, or the July 2024 Purchase Agreement, for a private investment in public equity financing, or the July 2024 Private Placement, which provides for the issuance of 3,563,247 shares of common stock and 2,937,903 shares of Series B Non-Voting 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For additional information, see Note 20.</w:t>
      </w:r>
    </w:p>
    <w:p>
      <w:pPr>
        <w:spacing w:after="0" w:line="7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and six months ended June 30, 2024 and 2023 have been prepared by the Company, pursuant to the rules and regulations of the Securities and Exchange Commission, or the SEC, for interim financial statements. Certain information and footnote disclosures normally included in financial statements prepared in accordance with accounting principles generally accepted in the United States of America, or U.S. GAAP, have been condensed or omitted pursuant to such rules and regulations. These consolidated financial statements should be read in conjunction with the Company’s audited consolidated financial statements and the notes thereto for the year ended December 31, 2023 included in the Company’s Annual Report on Form 10-K that was filed with the SEC on March 7, 2024. The unaudited interim financial statements have been prepared on the same basis as the audited consolidated financial statements. In the opinion of management, the accompanying unaudited interim consolidated financial statements contain all adjustments that are necessary for a fair statement of the Company’s financial position as of June 30, 2024, the consolidated results of operations for the three and six months ended June 30, 2024, and cash flows for the six months ended June 30, 2024. Such adjustments are of a normal and recurring nature. The results of operations for the three and six months ended June 30, 2024 are not necessarily indicative of the results of operations that may be expected for the year ending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 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7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of June 30, 2024, the Company’s cash, cash equivalents, and restricted cash were $88.9 million, of which $1.7 million was restricted cash related to lease commitments and $0.2 million was held by its Russian subsidiary designated solely for use in its operations. The Company believes the cash, cash equivalents and restricted cash as of June 30, 2024, combined with net proceeds of $124.4 million from the July 2024 Private Placement received subsequent to June 30, 2024,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5.</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June 30, 2024, the Company had an accumulated deficit of $657.6 million. The Company anticipates operating losses to continue for the foreseeable future due to, among other things, costs related to research and development of its product candidates and its administrative organization.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June 30, 2024,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disclosed its significant accounting policies in Note 2 – Summary of Significant Accounting Policies included in the Company’s Annual Report on Form 10-K for the year ended December 31, 2023. There have been no material changes to the Company’s significant accounting policies during the six months ended June 30, 2024, except as noted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Company has contracts with government-sponsored organizations for research and development related activities that provide for payments for reimbursable costs. The Company recognizes grant revenue from these contracts as it performs services under these arrangements when the funding is committed. Expenses associated with these contracts are recognized when incurred as research and development expense. Grant revenue and related expenses are presented gross in the consolidated statements of operations and comprehensive income (loss) as the Company has determined it is the primary obligor under the arrangements relative to the research and development services it performs as lead technical expert. Amounts incurred that are subject to reimbursement from the sponsor are recorded as accounts receivable on the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75" w:lineRule="exact"/>
        <w:rPr>
          <w:sz w:val="20"/>
          <w:szCs w:val="20"/>
          <w:color w:val="auto"/>
        </w:rPr>
      </w:pPr>
    </w:p>
    <w:p>
      <w:pPr>
        <w:ind w:right="2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was unanimously approved by the board of directors of Selecta and the board of directors of Old Cartesian. The Merger was consummated substantially concurrently with the entry into the Merger Agreement and was not subject to approval of the Company's stockholders.</w:t>
      </w:r>
    </w:p>
    <w:p>
      <w:pPr>
        <w:spacing w:after="0" w:line="5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224,099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5); as such, the Old Cartesian stockholders did not have rights as holders of common stock or holders of Series A Preferred Stock until such issuance on December 5, 2023. In addition, all outstanding stock options to 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hold a stockholders’ meeting, or the Special Meeting, to submit the following proposals to a vote of its stockholders: (i) the approval of the conversion of shares of Series A Preferred Stock into shares of common stock, or the Conversion Proposal, and (ii) either or both of (A) the approval of an amendment to the Company’s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 The Special Meeting was held on March 27, 2024 in which the Company’s stockholders approved the Conversion Proposal, among other matters (see Note 10).</w:t>
      </w:r>
    </w:p>
    <w:p>
      <w:pPr>
        <w:spacing w:after="0" w:line="67"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 xml:space="preserve">The Company concluded the acquisition resulted in the Company obtaining a controlling financial interest in a variable interest entity, or VIE, in accordance with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or ASC 810. The Company determined that Old Cartesian was considered to be a VIE as it did not have sufficient equity to finance its activities without 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absorb the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or ASC 805. As the primary beneficiary, the Company was the acquirer in the transaction.</w:t>
      </w:r>
    </w:p>
    <w:p>
      <w:pPr>
        <w:spacing w:after="0" w:line="9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exchanged the right to receive shares of common stock and Series A Preferred Stock for all of the outstanding equity of Old Cartesian. 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the consideration of $168.5 million as of the Closing Date is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to issue common stock</w:t>
            </w:r>
          </w:p>
        </w:tc>
        <w:tc>
          <w:tcPr>
            <w:tcW w:w="124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to issue Series A Preferred Stock</w:t>
            </w:r>
          </w:p>
        </w:tc>
        <w:tc>
          <w:tcPr>
            <w:tcW w:w="1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155,308</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allocated to consideration paid</w:t>
            </w:r>
          </w:p>
        </w:tc>
        <w:tc>
          <w:tcPr>
            <w:tcW w:w="12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168,465</w:t>
            </w:r>
          </w:p>
        </w:tc>
      </w:tr>
      <w:tr>
        <w:trPr>
          <w:trHeight w:val="20"/>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400" w:type="dxa"/>
            <w:vAlign w:val="bottom"/>
          </w:tcPr>
          <w:p>
            <w:pPr>
              <w:spacing w:after="0"/>
              <w:rPr>
                <w:sz w:val="16"/>
                <w:szCs w:val="16"/>
                <w:color w:val="auto"/>
              </w:rPr>
            </w:pPr>
          </w:p>
        </w:tc>
        <w:tc>
          <w:tcPr>
            <w:tcW w:w="25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November 13, 2023</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 net</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206,763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fair value of the in-process research and development, or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each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intangible assets acquired in the Merger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9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1"/>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93,900</w:t>
            </w:r>
          </w:p>
        </w:tc>
      </w:tr>
      <w:tr>
        <w:trPr>
          <w:trHeight w:val="196"/>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56,700</w:t>
            </w:r>
          </w:p>
        </w:tc>
      </w:tr>
      <w:tr>
        <w:trPr>
          <w:trHeight w:val="22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150,600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8"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8"/>
          <w:szCs w:val="18"/>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w:t>
      </w:r>
    </w:p>
    <w:p>
      <w:pPr>
        <w:spacing w:after="0" w:line="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 Allocable to Common Stockholders</w:t>
      </w:r>
    </w:p>
    <w:p>
      <w:pPr>
        <w:spacing w:after="0" w:line="12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allocable to common stockholders for the three and six months ended June 30, 2024 and 2023 (in thousands, except share and per-share data):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(33,050)</w:t>
            </w:r>
          </w:p>
        </w:tc>
      </w:tr>
      <w:tr>
        <w:trPr>
          <w:trHeight w:val="210"/>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Less: Undistributed earnings allocable to participating securities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(loss) allocable to shares of common stock - basic and diluted</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(42,988)</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5"/>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16,723,479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5,114,747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5,113,213</w:t>
            </w:r>
          </w:p>
        </w:tc>
      </w:tr>
      <w:tr>
        <w:trPr>
          <w:trHeight w:val="210"/>
        </w:trPr>
        <w:tc>
          <w:tcPr>
            <w:tcW w:w="5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Dilutive effect of employee equity incentive plans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1,067,664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17,791,143</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5,114,747</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11,068,749</w:t>
            </w:r>
          </w:p>
        </w:tc>
        <w:tc>
          <w:tcPr>
            <w:tcW w:w="12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5,113,213</w:t>
            </w:r>
          </w:p>
        </w:tc>
      </w:tr>
      <w:tr>
        <w:trPr>
          <w:trHeight w:val="21"/>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allocable to common stockholders: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190"/>
        </w:trPr>
        <w:tc>
          <w:tcPr>
            <w:tcW w:w="5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income (loss) per share allocable to common stockholders for all periods presented, as the effect would have been anti-dilutive: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8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3"/>
          </w:tcPr>
          <w:p>
            <w:pPr>
              <w:jc w:val="center"/>
              <w:ind w:left="7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bottom w:val="single" w:sz="8" w:color="auto"/>
            </w:tcBorders>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options, restricted stock units and ESPP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753,590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2,344,017</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753,590</w:t>
            </w: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1,040,943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1,040,943</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7,260,062</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1,794,533</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8,863,868</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1,794,533</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June 30, 2024 and December 31,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39,181</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9,260</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395,400</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404,660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404,660</w:t>
            </w: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364,994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six months ended June 30, 2024 or year ended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money market funds were classified as cash and cash equivalents on the accompanying consolidated balance sheets as they mature within 90 days from the date of purchase.</w:t>
      </w:r>
    </w:p>
    <w:p>
      <w:pPr>
        <w:spacing w:after="0" w:line="40" w:lineRule="exact"/>
        <w:rPr>
          <w:sz w:val="20"/>
          <w:szCs w:val="20"/>
          <w:color w:val="auto"/>
        </w:rPr>
      </w:pPr>
    </w:p>
    <w:p>
      <w:pPr>
        <w:jc w:val="both"/>
        <w:ind w:right="140" w:firstLine="324"/>
        <w:spacing w:after="0" w:line="250" w:lineRule="auto"/>
        <w:rPr>
          <w:sz w:val="20"/>
          <w:szCs w:val="20"/>
          <w:color w:val="auto"/>
        </w:rPr>
      </w:pPr>
      <w:r>
        <w:rPr>
          <w:rFonts w:ascii="Times New Roman" w:cs="Times New Roman" w:eastAsia="Times New Roman" w:hAnsi="Times New Roman"/>
          <w:sz w:val="18"/>
          <w:szCs w:val="18"/>
          <w:color w:val="auto"/>
        </w:rPr>
        <w:t>As of June 30, 2024, the Company had restricted cash balances relating to secured letters of credit in connection with its real estate leases. Short-term restricted cash is included within prepaid expenses and other current assets in the consolidated balance sheets. The Company’s consolidated statements of cash flows include the following as of June 30, 2024 and 2023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restricted cash</w:t>
            </w:r>
          </w:p>
        </w:tc>
        <w:tc>
          <w:tcPr>
            <w:tcW w:w="84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r>
      <w:tr>
        <w:trPr>
          <w:trHeight w:val="20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88,896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115,004</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06"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2019 Warrants are required to be measured at fair value and reported as a liability on the balance sheet. On December 20, 2022, the Company amended the terms of the outstanding 2019 Warrants held by certain members of the Board of Directors, or the Amended 2019 Warrants, to remove the cash settlement provision. As a result, the Amended 2019 Warrants were remeasured at fair value on December 20, 2022 and reclassified from a liability to equity on the balance sheet. See Note 12 to the consolidated financial statements included in the Company’s Annual Report on Form 10-K for the year ended December 31, 2023 for further discussion on the equity-classified Amended 2019 Warrants.</w:t>
      </w:r>
    </w:p>
    <w:p>
      <w:pPr>
        <w:spacing w:after="0" w:line="90"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 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w:t>
      </w:r>
    </w:p>
    <w:p>
      <w:pPr>
        <w:spacing w:after="0" w:line="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04" w:lineRule="exact"/>
        <w:rPr>
          <w:sz w:val="20"/>
          <w:szCs w:val="20"/>
          <w:color w:val="auto"/>
        </w:rPr>
      </w:pPr>
    </w:p>
    <w:p>
      <w:pPr>
        <w:ind w:left="660" w:right="440"/>
        <w:spacing w:after="0" w:line="268"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expire on December 23, 2024 and April 11, 2027, respectively.</w:t>
      </w:r>
    </w:p>
    <w:p>
      <w:pPr>
        <w:spacing w:after="0" w:line="64"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2019 Warrants liability is as follows: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2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4.79 %</w:t>
            </w: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0.98</w:t>
            </w:r>
          </w:p>
        </w:tc>
      </w:tr>
      <w:tr>
        <w:trPr>
          <w:trHeight w:val="188"/>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110.52 %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300" w:type="dxa"/>
            <w:vAlign w:val="bottom"/>
          </w:tcPr>
          <w:p>
            <w:pPr>
              <w:spacing w:after="0"/>
              <w:rPr>
                <w:sz w:val="17"/>
                <w:szCs w:val="17"/>
                <w:color w:val="auto"/>
              </w:rPr>
            </w:pPr>
          </w:p>
        </w:tc>
        <w:tc>
          <w:tcPr>
            <w:tcW w:w="14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4.52 %</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4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3.28</w:t>
            </w:r>
          </w:p>
        </w:tc>
      </w:tr>
      <w:tr>
        <w:trPr>
          <w:trHeight w:val="188"/>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84.09 %</w:t>
            </w:r>
          </w:p>
        </w:tc>
      </w:tr>
    </w:tbl>
    <w:p>
      <w:pPr>
        <w:spacing w:after="0" w:line="185"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11 to these unaudited consolidated financial statements) for the six months ended June 30,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June 30, 2024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a contingent value rights agreement, or the CVR Agreement, pursuant to which each holder of common stock or a 2022 Warrant as of December 4, 2023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94" w:lineRule="exact"/>
        <w:rPr>
          <w:sz w:val="20"/>
          <w:szCs w:val="20"/>
          <w:color w:val="auto"/>
        </w:rPr>
      </w:pPr>
    </w:p>
    <w:p>
      <w:pPr>
        <w:ind w:left="660" w:right="180" w:hanging="328"/>
        <w:spacing w:after="0" w:line="239"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7"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73"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 Upon the achievement of a development milestone in June 2024, Sobi became obligated to make a $30.0 million payment to the Company and made such payment in July 2024. The proceeds from this payment, net of deductions specified in the CVR Agreement, is expected to be included in the next scheduled distribution to the holders of the CVR in March 2025.</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CVRs represent financial instruments that are accounted for under the fair value option election in ASC 825</w:t>
      </w:r>
      <w:r>
        <w:rPr>
          <w:rFonts w:ascii="Times New Roman" w:cs="Times New Roman" w:eastAsia="Times New Roman" w:hAnsi="Times New Roman"/>
          <w:sz w:val="18"/>
          <w:szCs w:val="18"/>
          <w:i w:val="1"/>
          <w:iCs w:val="1"/>
          <w:color w:val="auto"/>
        </w:rPr>
        <w:t>, Financial Instruments</w:t>
      </w:r>
      <w:r>
        <w:rPr>
          <w:rFonts w:ascii="Times New Roman" w:cs="Times New Roman" w:eastAsia="Times New Roman" w:hAnsi="Times New Roman"/>
          <w:sz w:val="18"/>
          <w:szCs w:val="18"/>
          <w:color w:val="auto"/>
        </w:rPr>
        <w:t>, or ASC 825.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a discounted cash flow methodology as of December 31, 2023 and a Monte Carlo simulation model as of June 30, 2024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expected volatility of future revenues (Monte Carlo simulation model) and risk-adjustment discount rates (discounted cash flow methodology),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- 100.0%</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 of future revenues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9800" w:type="dxa"/>
            <w:vAlign w:val="bottom"/>
          </w:tcPr>
          <w:p>
            <w:pPr>
              <w:spacing w:after="0"/>
              <w:rPr>
                <w:sz w:val="17"/>
                <w:szCs w:val="17"/>
                <w:color w:val="auto"/>
              </w:rPr>
            </w:pPr>
          </w:p>
        </w:tc>
        <w:tc>
          <w:tcPr>
            <w:tcW w:w="14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8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2024 - 2038</w:t>
            </w: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13.7 %</w:t>
            </w:r>
          </w:p>
        </w:tc>
      </w:tr>
    </w:tbl>
    <w:p>
      <w:pPr>
        <w:spacing w:after="0" w:line="171"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six months ended June 30,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June 30, 2024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11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entered into a contract for the issuance of 384,930.724 shares of Series A Preferred Stock as part of the consideration transferred. The fair value of the forward contract at the Closing Date was $155.3 million. The non-cash settlement of this liability occurred on December 5, 2023 with the issuance of the Series A Preferred Stock for $261.8 million.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November 2023 Private Placement</w:t>
      </w:r>
    </w:p>
    <w:p>
      <w:pPr>
        <w:spacing w:after="0" w:line="10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November 2023 Private Placement which was settled in multiple tranches. The Company determined the obligation to issue 148,710.488 shares of Series A Preferred Stock to Dr. Timothy A. Springer, a member of the Company’s Board of Directors, and TAS Partners LLC, an affiliate of Dr. Springer, represented a forward contract. See Note 10. The initial fair value of the forward contract liability on November 13, 2023 was insignificant as the fair value of the underlying Series A Preferred Stock was equal to the purchase price of the Series A Preferred Stock as agreed upon in the November 2023 Private Placement. Subsequent measurement of the fair value of the forward contract liability was based on the market price of the Company’s common stock, which represented the redemption and conversion value of the Series A Preferred Stock, less the purchase price, on an as-converted basis. The non-cash settlement of a portion of the liability occurred on December 13, 2023 with the issuance of the first tranche of the Series A Preferred Stock for $14.8 million. The non-cash settlement of the remaining second and third tranches occurred on January 12, 2024 and February 11, 2024, respectively, for a total of $35.2 million.</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forward contract liabilities for the periods presented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Forward contract</w:t>
            </w:r>
          </w:p>
        </w:tc>
      </w:tr>
      <w:tr>
        <w:trPr>
          <w:trHeight w:val="195"/>
        </w:trPr>
        <w:tc>
          <w:tcPr>
            <w:tcW w:w="9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(35,197)</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6,890</w:t>
            </w:r>
          </w:p>
        </w:tc>
      </w:tr>
      <w:tr>
        <w:trPr>
          <w:trHeight w:val="20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June 30,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
        </w:trPr>
        <w:tc>
          <w:tcPr>
            <w:tcW w:w="9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7,841</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(5,728)</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$0.2 million for each of the three months ended June 30, 2024 and 2023, and $0.4 million for each of the six months ended June 30, 2024 and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06" w:lineRule="exact"/>
        <w:rPr>
          <w:sz w:val="20"/>
          <w:szCs w:val="20"/>
          <w:color w:val="auto"/>
        </w:rPr>
      </w:pPr>
    </w:p>
    <w:p>
      <w:pPr>
        <w:ind w:right="160" w:firstLine="324"/>
        <w:spacing w:after="0" w:line="241" w:lineRule="auto"/>
        <w:rPr>
          <w:sz w:val="20"/>
          <w:szCs w:val="20"/>
          <w:color w:val="auto"/>
        </w:rPr>
      </w:pPr>
      <w:r>
        <w:rPr>
          <w:rFonts w:ascii="Times New Roman" w:cs="Times New Roman" w:eastAsia="Times New Roman" w:hAnsi="Times New Roman"/>
          <w:sz w:val="18"/>
          <w:szCs w:val="18"/>
          <w:color w:val="auto"/>
        </w:rPr>
        <w:t>In July 2019, the Company entered into a lease with BRE-BMR Grove LLC for 25,078 square feet of laboratory and office space located at 65 Grove Street, Watertown, Massachusetts, or the Watertown Lease. On September 1, 2022, the Company entered into an amendment to the Watertown Lease, or the Lease Agreement Amendment, to expand the Company’s laboratory and office space located at 65 Grove Street, Watertown, Massachusetts by approximately 7,216 square feet. In connection with the Lease Agreement Amendment, the Company secured a letter of credit for the Watertown Lease from Silicon Valley Bank, a division of First-Citizens Bank &amp; Trust Company (successor by purchase to the Federal Deposit Insurance Corporation as Receiver for Silicon Valley Bridge Bank, N.A. (as successor to Silicon Valley Bank)), or SVB, for $1.6 million as of December 31, 2022.</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Lease had been met. In connection therewith, in June 2023, the Company secured a letter of credit from JPMorgan Chase Bank, N.A.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which is recognized as long-term restricted cash as of June 30, 2024 and December 31, 2023, and renews automatically each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million letter of credit with SVB was released from restriction and returned to the Company on July 17, 2023, and therefore was reclassified into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equivalents in the consolidated balance sheets.</w:t>
      </w:r>
    </w:p>
    <w:p>
      <w:pPr>
        <w:spacing w:after="0" w:line="85"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and the term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color w:val="auto"/>
        </w:rPr>
        <w:t>expired on March 31, 2024. On October 31, 2023, in connection with entering into Amendment No. 1 to the Sobi License as described in Note 13,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June 30, 2024 and December 31, 2023, deferred rent of $0.3 million and $0.8 million is included within accrued expenses and other current liabilities in the consolidated balance sheets. Sublease income is included within other income, net in the consolidated statements of operations and comprehensive income (loss).</w:t>
      </w:r>
    </w:p>
    <w:p>
      <w:pPr>
        <w:spacing w:after="0" w:line="7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in the fourth quarter of 2023.</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7495 New Horizon Way Leases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w:t>
      </w:r>
    </w:p>
    <w:p>
      <w:pPr>
        <w:spacing w:after="0" w:line="252" w:lineRule="auto"/>
        <w:rPr>
          <w:sz w:val="20"/>
          <w:szCs w:val="20"/>
          <w:color w:val="auto"/>
        </w:rPr>
      </w:pPr>
      <w:r>
        <w:rPr>
          <w:rFonts w:ascii="Times New Roman" w:cs="Times New Roman" w:eastAsia="Times New Roman" w:hAnsi="Times New Roman"/>
          <w:sz w:val="18"/>
          <w:szCs w:val="18"/>
          <w:color w:val="auto"/>
        </w:rPr>
        <w:t>19,199 leasable square feet of integrated manufacturing and office space. The lease commenced on May 1, 2024 which was the date the Landlord delivered full possession of the premises to the Company. The Frederick Lease Agreement will terminate approximately 7.2 years following the commencement date. The Company will have one option to extend the term of the Frederick Lease Agreement for a period of five years at a cost of 100% of the then-fair market value, not to exceed 103% of the then-current base rent. Base rent, which was due beginning on July 1, 2024, is $0.9 million annually and is subject to an annual upward adjustment of 3% of the then-current rental rate. In addition, the Company is obligated to pay its share of operating costs and taxes related to the property. The Company paid the first month’s rent of $0.1 million upon execution of the Frederick Lease Agreement.</w:t>
      </w:r>
    </w:p>
    <w:p>
      <w:pPr>
        <w:spacing w:after="0" w:line="82" w:lineRule="exact"/>
        <w:rPr>
          <w:sz w:val="20"/>
          <w:szCs w:val="20"/>
          <w:color w:val="auto"/>
        </w:rPr>
      </w:pPr>
    </w:p>
    <w:p>
      <w:pPr>
        <w:jc w:val="both"/>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of $3.6 million and $3.7 million, respectively, on the commencement date. The Frederick Lease Agreement includes a tenant improvement allowance of up to $0.7 million which was recognized as a reduction in the right-of-use asset and lease liability at the commencement date as the Company was reasonably certain to incur reimbursable costs related to alterations equal to or exceeding the amount.</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Additionally, the prepaid rent was included as an adjustment to the right-of-use asset. The discount rate of 14% was determined based on the Company’s incremental borrowing rate adjusted for the lease term, including any reasonably certain renewal periods.</w:t>
      </w:r>
    </w:p>
    <w:p>
      <w:pPr>
        <w:spacing w:after="0" w:line="7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Effective May 7, 2024, the Company and the Landlord entered into the first amendment to the Frederick Lease Agreement, or the Amended Frederick Lease Agreement, providing for the expansion of the premises leased pursuant to the Frederick Lease Agreement by approximately 7,842 square feet. In connection with the expansion of the leased premises, the Company is obligated to pay $0.3 million in additional annual base rent for the first year of the term, which is subject to an annual upward adjustment of 3% of the then-current rental rate, as well as its share of operating costs and taxes. The lease commenced on May 7, 2024 which was the date the Landlord delivered full possession of the premises to the Company and will be coterminous with the Frederick Lease Agreement. The rent commencement date is expected to be September 1, 2024.</w:t>
      </w:r>
    </w:p>
    <w:p>
      <w:pPr>
        <w:spacing w:after="0" w:line="7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assessed the classification of the lease at the commencement date and concluded it should be accounted for as an operating lease. The Company recorded a lease liability and right-of-use asset each of $1.2 million on the commencement date. The Amended Frederick Lease Agreement includes a tenant improvement allowance of up to $0.1 million which was recognized as a reduction in the right-of-use asset and lease liability at the commencement date as the Company was reasonably certain to incur reimbursable costs related to alterations equal to or exceeding the amount. The discount rate of 14% was determined based on the Company’s incremental borrowing rate adjusted for the lease term.</w:t>
      </w:r>
    </w:p>
    <w:p>
      <w:pPr>
        <w:spacing w:after="0" w:line="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secured a letter of credit from SVB for $0.3 million for the Frederick Lease Agreement and the Amended Frederick Lease Agreement, which is recognized as long-term restricted cash as of June 30, 2024, and renews automatically each year.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and six months ended June 30, 2024 and 2023, the components of lease costs were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3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r>
      <w:tr>
        <w:trPr>
          <w:trHeight w:val="19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27"/>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June 30, 2024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03"/>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 (remainder)</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4,276</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3,409</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19,988</w:t>
            </w:r>
          </w:p>
        </w:tc>
      </w:tr>
      <w:tr>
        <w:trPr>
          <w:trHeight w:val="196"/>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w:t>
            </w:r>
          </w:p>
        </w:tc>
      </w:tr>
      <w:tr>
        <w:trPr>
          <w:trHeight w:val="228"/>
        </w:trPr>
        <w:tc>
          <w:tcPr>
            <w:tcW w:w="9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was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w:t>
            </w:r>
          </w:p>
        </w:tc>
      </w:tr>
    </w:tbl>
    <w:p>
      <w:pPr>
        <w:spacing w:after="0" w:line="184"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Other than the initial recording of the right-of-use assets and lease liabilities for the Frederick Lease Agreement and Amended Frederick Lease Agreement, which were non-cash, the changes in the Company’s right-of-use assets and lease liabilities for the six months ended June 30, 2024 and 2023 are reflected in the non-cash lease expense and accrued expenses and other liabilities, respectively, in the consolidated statements of cash flows.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81"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principal amount due of $19.8 million, the final payment fee of $2.3 million, the prepayment penalty of $0.2 million, and less than $0.1 million of accrued interest.</w:t>
      </w:r>
    </w:p>
    <w:p>
      <w:pPr>
        <w:spacing w:after="0" w:line="54"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the Company recorded a loss of $0.7 million on the extinguishment of the 2020 Term Loan, consisting of the prepayment penalty of $0.2 million and the write-off of $0.5 million of unamortized debt issuance costs and venture debt termination fee.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and December 31, 2023, the Company had no outstanding borrowings.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Series A Preferred Stock</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Designation of Preferences, Rights, and Limitations of the Series A Non-Voting Convertible Preferred Stock, or the Certificate of Designation, was filed on November 13, 2023, which provided for the designation of shares of the Series A Preferred Stock and authorized the issuance of 548,375 shares of Series A Preferred Stock.</w:t>
      </w:r>
    </w:p>
    <w:p>
      <w:pPr>
        <w:spacing w:after="0" w:line="68"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on November 13, 2023, the Company entered into the Securities Purchase Agreement with (i) 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70"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The remaining portion of the forward contract liability was settled upon the issuance of 49,570.163 shares of Series A Preferred Stock each on January 12, 2024 and February 11, 2024, respectively (see Note 5).</w:t>
      </w:r>
    </w:p>
    <w:p>
      <w:pPr>
        <w:spacing w:after="0" w:line="8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384,930.724 shares of Series A Preferred Stock as part of its consideration transferred in connection with the Merger which settled the related forward contract liability (see Note 5).</w:t>
      </w:r>
    </w:p>
    <w:p>
      <w:pPr>
        <w:spacing w:after="0" w:line="40" w:lineRule="exact"/>
        <w:rPr>
          <w:sz w:val="20"/>
          <w:szCs w:val="20"/>
          <w:color w:val="auto"/>
        </w:rPr>
      </w:pPr>
    </w:p>
    <w:p>
      <w:pPr>
        <w:ind w:right="40" w:firstLine="324"/>
        <w:spacing w:after="0" w:line="236" w:lineRule="auto"/>
        <w:rPr>
          <w:sz w:val="20"/>
          <w:szCs w:val="20"/>
          <w:color w:val="auto"/>
        </w:rPr>
      </w:pPr>
      <w:r>
        <w:rPr>
          <w:rFonts w:ascii="Times New Roman" w:cs="Times New Roman" w:eastAsia="Times New Roman" w:hAnsi="Times New Roman"/>
          <w:sz w:val="18"/>
          <w:szCs w:val="18"/>
          <w:color w:val="auto"/>
        </w:rPr>
        <w:t>On March 26, 2024, the Company, with the consent of the requisite holders of Series A Preferred Stock, amended the Certificate of Designation such that the automatic conversion of the Series A Preferred Stock into common stock, or the Automatic Conversion, would occur eight business days following stockholder approval of the Conversion Proposal. Upon such date, each share of Series A Preferred Stock automatically converted into 33.333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Dr. Springer, TAS Partners LLC, or any of their respective affiliates. Each share of Series A Preferred Stock outstanding that was not automatically converted into common stock as a result of the beneficial ownership limitation is convertible at any time at the option of the holder, only to the extent the beneficial ownership limitation does not apply to the shares of Series A Preferred Stock to be converted.</w:t>
      </w:r>
    </w:p>
    <w:p>
      <w:pPr>
        <w:spacing w:after="0" w:line="9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On March 27, 2024, the Company’s stockholders approved the Conversion Proposal, among other matters, at the Special Meeting. As a result of the approval of the Conversion Proposal, all conditions that could have required cash redemption of the Series A Preferred Stock were satisfied. Since the Series A Preferred Stock is no longer redeemable, the associated balances of the Series A Preferred Stock were reclassified from mezzanine equity to permanent equity during the first quarter of 2024.</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April 8, 2024, pursuant to the terms of the Certificate of Designation, as amended, 367,919.247 shares of Series A Preferred Stock automatically converted into 12,263,951 shares of common stock, including the non-cash reclassification of an amount equal to the increase in par value of common stock from additional paid-in capital; 166,341.592 shares of Series A Preferred Stock did not automatically convert due to beneficial ownership limitations.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166,341.592 shares of Series A Preferred Stock issued and outstanding, which are convertible into 5,544,719 shares of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the year ended December 31, 2023, the Company sold no shares of its common stock pursuant to the 2021 Sales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six months ended June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74,420</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1,040,813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966,393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See Note 14 for further discussion on the exercise of the 65,681 warrants during the six months ended June 30, 2024. See Note 12 to the consolidated financial statements included in the Company’s Annual Report on Form 10-K for the year ended December 31, 2023 for further discussion of the terms related to the Company’s warrants.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April 4, 2024, the Company implemented the Reverse Stock Split. The Reverse Stock Split became effective at 4:30 p.m. Eastern Time on April 4, 2024. On April 5, 2024, the Company’s common stock began trading on The Nasdaq Global Market on a split-adjusted basis under the symbol “RNAC” with a new CUSIP number, 816212302. As a result of the Reverse Stock Split, every 30 shares of common stock outstanding were combined, automatically and without any action on the part of the Company or its stockholders, into one share of common stock. Stockholders entitled to fractional shares as a result of the Reverse Stock Split received a cash payment in lieu of receiving fractional shares. The Reverse Stock Split did not change the number of authorized shares or par value of the Company’s common or preferred stock.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of June 30, 2024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975,132</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3,930,990</w:t>
            </w:r>
          </w:p>
        </w:tc>
      </w:tr>
      <w:tr>
        <w:trPr>
          <w:trHeight w:val="21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stock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454,456</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1,889,561</w:t>
            </w:r>
          </w:p>
        </w:tc>
      </w:t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5,544,719</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12,794,858</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of Directors. In connection with the Merger, all outstanding awards issued under the 2008 Plan were cancelled, and the Board of Directors formally terminated the 2008 Plan.</w:t>
      </w:r>
    </w:p>
    <w:p>
      <w:pPr>
        <w:spacing w:after="0" w:line="6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40,341 shares of common stock for future issuance under the 2016 Plan and the Company ceased granting awards under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54"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of Directors is authorized to grant awards with respect to common stock, and may delegate to a committee of one or more members of the Board of Directors or executive officers of the Company the authority to grant options and restricted stock units. On December 9, 2020, the Board of Directors established a Stock Option Committee authorized to grant awards to certain employees and consultants subject to conditions and limitations within the 2016 Plan. In January 2024, the number of shares of common stock that may be issued under the 2016 Plan was increased by 215,903. In June 2024, the Company’s stockholders approved an amendment and restatement of the 2016 Plan to reserve an additional 3,466,544 shares of its common stock for issuance. As of June 30, 2024, 3,496,828 shares remain available for future issuance under the 2016 Plan.</w:t>
      </w:r>
    </w:p>
    <w:p>
      <w:pPr>
        <w:spacing w:after="0" w:line="8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Company’s 2018 Employment Inducement Incentive Award Plan, or the 2018 Inducement Incentive Award Plan, was adopted by the Board of Directors without stockholder approval pursuant to Rule 5635(c)(4) of the Nasdaq Stock Market LLC listing rules, which authorized 39,166 shares of its common stock for issuance. In March 2019, the Board of Directors approved an amendment and restatement of the 2018 Inducement Incentive Award Plan to reserve an additional 66,667 shares of the Company’s common stock for issuance thereunder. In December 2023, the Board of Directors approved an amendment and restatement of the 2018 Inducement Incentive Award Plan to reserve an additional 60,833 shares of the Company’s common stock for issuance thereunder. In June 2024, the Board of Directors approved an amendment and restatement of the 2018 Inducement Incentive Award Plan to reserve an additional 360,000 shares of the Company’s common stock for issuance thereunder. As of June 30, 2024, there are 364,660 shares available for future grant under the 2018 Inducement Incentive Award Plan.</w:t>
      </w:r>
    </w:p>
    <w:p>
      <w:pPr>
        <w:spacing w:after="0" w:line="8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 have a contractual term of ten years and only full shares can be exercised as per the individual award agreements. As of June 30, 2024, there are 23,707 shares available for future grant under the Old Cartesian Plan.</w:t>
      </w:r>
    </w:p>
    <w:p>
      <w:pPr>
        <w:spacing w:after="0" w:line="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776,865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$0.3 million and $0.7 million was recognized as research and development expense in the consolidated statements of operations and comprehensive income (loss) during the three and six months ended June 30, 2024, respectively. Following the Automatic Conversion, the options exercisable for shares of Series A Preferred Stock became exercisable for shares of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three and six months ended June 30, 2023 as described in Note 15, was as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6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6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w:t>
            </w:r>
          </w:p>
        </w:tc>
      </w:tr>
      <w:tr>
        <w:trPr>
          <w:trHeight w:val="19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w:t>
            </w:r>
          </w:p>
        </w:tc>
      </w:tr>
      <w:tr>
        <w:trPr>
          <w:trHeight w:val="22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stock option awards granted under the 2016 Plan and the 2018 Inducement Incentive Award Plan were calculated using the Black-Scholes option pricing model based on the following weighted-average assumptions: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360" w:type="dxa"/>
            <w:vAlign w:val="bottom"/>
            <w:gridSpan w:val="4"/>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5"/>
        </w:trPr>
        <w:tc>
          <w:tcPr>
            <w:tcW w:w="53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5"/>
        </w:trPr>
        <w:tc>
          <w:tcPr>
            <w:tcW w:w="53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860" w:type="dxa"/>
            <w:vAlign w:val="bottom"/>
          </w:tcPr>
          <w:p>
            <w:pPr>
              <w:spacing w:after="0"/>
              <w:rPr>
                <w:sz w:val="16"/>
                <w:szCs w:val="16"/>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w:t>
            </w:r>
          </w:p>
        </w:tc>
      </w:tr>
      <w:tr>
        <w:trPr>
          <w:trHeight w:val="195"/>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93.57 %</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94.40 %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95.09 %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94.64 %</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34.50</w:t>
            </w:r>
          </w:p>
        </w:tc>
      </w:tr>
    </w:tbl>
    <w:p>
      <w:pPr>
        <w:spacing w:after="0" w:line="184"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expected term of the Company's stock options granted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w:t>
      </w:r>
    </w:p>
    <w:p>
      <w:pPr>
        <w:spacing w:after="0" w:line="68" w:lineRule="exact"/>
        <w:rPr>
          <w:sz w:val="20"/>
          <w:szCs w:val="20"/>
          <w:color w:val="auto"/>
        </w:rPr>
      </w:pPr>
    </w:p>
    <w:p>
      <w:pPr>
        <w:jc w:val="both"/>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$17.40 and $30.51 during the three months ended June 30, 2024 and 2023, respectively, and $16.05 and $26.89 during the six months ended June 30, 2024 and 2023, respectively.</w:t>
      </w:r>
    </w:p>
    <w:p>
      <w:pPr>
        <w:spacing w:after="0" w:line="54"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related to unvested common stock options was $9.9 million, which is expected to be recognized over a weighted average period of 3.0 years.</w:t>
      </w:r>
    </w:p>
    <w:p>
      <w:pPr>
        <w:spacing w:after="0" w:line="54"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2016 Plan, the 2018 Inducement Incentive Award Plan, and Old Cartesian Plan for options for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w:t>
            </w: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Converted from options for Series A Preferred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470,403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June 30,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944,490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22,925</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1,743,749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32,070</w:t>
            </w: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Old Cartesian Plan for options for Series A Preferred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Converted to options for common stock</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right="280" w:firstLine="324"/>
        <w:spacing w:after="0" w:line="289" w:lineRule="auto"/>
        <w:rPr>
          <w:sz w:val="20"/>
          <w:szCs w:val="20"/>
          <w:color w:val="auto"/>
        </w:rPr>
      </w:pPr>
      <w:r>
        <w:rPr>
          <w:rFonts w:ascii="Times New Roman" w:cs="Times New Roman" w:eastAsia="Times New Roman" w:hAnsi="Times New Roman"/>
          <w:sz w:val="17"/>
          <w:szCs w:val="17"/>
          <w:color w:val="auto"/>
        </w:rPr>
        <w:t>As a result of the approval of the Conversion Proposal on March 27, 2024, all conditions that could have required cash redemption of the Series A Preferred Stock underlying the stock options were satisfied. Since the Series A Preferred Stock is no longer redeemable, the associated balances of the stock options to purchase Series A Preferred Stock were reclassified from mezzanine equity to additional paid-in capital during the first quarter of 2024.</w:t>
      </w:r>
    </w:p>
    <w:p>
      <w:pPr>
        <w:spacing w:after="0" w:line="50"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Following the Automatic Conversion, all options to purchase Series A Preferred Stock were converted into options to purchase common stock with adjustments to the underlying number of shares of common stock determined by multiplying the number of shares of Series A Preferred Stock by 33.333 and rounding down to the nearest whole number of shares and the per-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share exercise price by dividing the per-share exercise price of Series A Preferred Stock by 33.333 and rounding the resulting exercise price up to the nearest whole cent.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granted 471,104 restricted stock unit awards with a weighted-average fair value of $19.80 per share based on the closing price of the Company’s common stock on the date of grant under the 2016 Plan and the Old Cartesian Plan, which generally vest over a four-year term. Forfeitures are estimated at the time of grant and are adjusted, if necessary, in subsequent periods if actual forfeitures differ from those estimates. The Company has estimated a forfeiture rate of 10% for restricted stock unit awards based on historical experience.</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the restricted stock units was $6.1 million as of June 30, 2024, which is expected to be recognized over a weighted-average period of 3.4 years.</w:t>
      </w:r>
    </w:p>
    <w:p>
      <w:pPr>
        <w:spacing w:after="0" w:line="54"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the 2018 Inducement Incentive Award Plan, and the Old Cartesian Plan: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6"/>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0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2"/>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June 30,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454,456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5,769 shares of common stock for future issuance under the ESPP to participating employees. As of June 30, 2024, 45,795 shares remain available for future issuance under the ESPP. In connection with the Merger, the Board of Directors suspended the offerings under the ESPP.</w:t>
      </w:r>
    </w:p>
    <w:p>
      <w:pPr>
        <w:spacing w:after="0" w:line="6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no stock-based compensation expense under the ESPP for the three and six months ended June 30, 2024 and less than $0.1 million stock-based compensation expense under the ESPP for each of the three and six months ended June 30, 2023.</w:t>
      </w:r>
    </w:p>
    <w:p>
      <w:pPr>
        <w:spacing w:after="0" w:line="200" w:lineRule="exact"/>
        <w:rPr>
          <w:sz w:val="20"/>
          <w:szCs w:val="20"/>
          <w:color w:val="auto"/>
        </w:rPr>
      </w:pPr>
    </w:p>
    <w:p>
      <w:pPr>
        <w:spacing w:after="0" w:line="201" w:lineRule="exact"/>
        <w:rPr>
          <w:sz w:val="20"/>
          <w:szCs w:val="20"/>
          <w:color w:val="auto"/>
        </w:rPr>
      </w:pPr>
    </w:p>
    <w:p>
      <w:pPr>
        <w:ind w:right="8740" w:firstLine="8"/>
        <w:spacing w:after="0" w:line="367"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Arrangements </w:t>
      </w:r>
      <w:r>
        <w:rPr>
          <w:rFonts w:ascii="Times New Roman" w:cs="Times New Roman" w:eastAsia="Times New Roman" w:hAnsi="Times New Roman"/>
          <w:sz w:val="18"/>
          <w:szCs w:val="18"/>
          <w:i w:val="1"/>
          <w:iCs w:val="1"/>
          <w:color w:val="auto"/>
        </w:rPr>
        <w:t>Collaboration and license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Astellas Gene Therapies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January 2023, the Company entered into a License and Development Agreement, or the Astellas Agreement, with Audentes Therapeutics, Inc., doing business as Astellas Gene Therapies, or Astellas. Under the Astellas Agreement, the Company granted Astellas an exclusive license to the Company’s IdeXork technology arising from Xork (defined below), to develop and commercialize Xork for use in Pompe disease in combination with an Astellas gene therapy investigational or authorized product. Xork, Genovis’ IgG Protease, is licensed by the Genovis Agreement, as described in Note 15 to these consolidated financial statements. Astellas paid a $10.0 million upfront payment to the Company upon signing of the Astellas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CVRs, net of certain deductions. A more detailed description of the Astellas Agreement and the Company's evaluation of this agreement under ASC 606 can be found in Note 14 to the consolidated financial statements in the Company’s Annual Report on Form 10-K for the year ended December 31, 2023.</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was notified by Astellas of its intention to terminate the Astellas Agreement, which occurred effective June 6, 2024.</w:t>
      </w:r>
    </w:p>
    <w:p>
      <w:pPr>
        <w:spacing w:after="0" w:line="117"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there were no unsatisfied performance obligations related to the Astellas Agreement. As of December 31, 2023, the Company recorded $2.3 million and $3.5 million as a short-term and a long-term contract liability, respectively, representing deferred revenue associated with the Astellas Agreement. As of June 30, 2024 and December 31, 2023, the Company recorded a receivable of $0.1 million and $0.3 million, respectively, representing billings for the Xork Development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Services (as defined in the Astellas Agreement) that are subject to reimbursement by Astellas. Revenue of $0.5 million and $6.3 million related to the Astellas Agreement was recognized during the three and six months ended June 30, 2024, inclusive of $3.2 million of revenue recognized from performance obligations related to prior periods as a result of the change in transaction price during the six months ended June 30, 2024. Revenue of $0.8 million and $1.4 million related to the Astellas Agreement was recognized during the three and six months ended June 30,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Pharmaceuticals USA,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October 2021, the Company entered into a License Agreement, or the Takeda Agreement, with Takeda Pharmaceuticals USA, Inc., or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 A more detailed description of the Takeda Agreement and the Company's evaluation of this agreement under ASC 606 can be found in Note 14 to the consolidated financial statements in the Company’s Annual Report on Form 10-K for the year ended December 31, 2023.</w:t>
      </w:r>
    </w:p>
    <w:p>
      <w:pPr>
        <w:spacing w:after="0" w:line="93"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three months ended June 30, 2023.</w:t>
      </w:r>
    </w:p>
    <w:p>
      <w:pPr>
        <w:spacing w:after="0" w:line="6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Takeda Agreement was terminated effective July 25, 2023, following Takeda’s decision to discontinue discovery and pre-clinical activities in adeno-associated virus, or AAV, gene therapy.</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there were no unsatisfied performance obligations related to the Takeda Agreement. No revenue related to the Takeda Agreement was recognized during the three and six months ended June 30, 2024. Revenue of $0.1 million and $0.6 million related to the Takeda Agreement was recognized during the three and six months ended June 30,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June 2020, the Company and Sobi entered into the Sobi License, which was subsequently amended.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 annual net sales of SEL-212, and tiered royalty payments ranging from the low double digits on the lowest sales tier to the high teens on the highest sales tier. A more detailed description of the Sobi License and the Company's evaluation of this agreement under ASC 606 can be found in Note 14 to the consolidated financial statements in the Company’s Annual Report on Form 10-K for the year ended December 31, 2023.</w:t>
      </w:r>
    </w:p>
    <w:p>
      <w:pPr>
        <w:spacing w:after="0" w:line="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the Company and Sobi entered into Amendment No. 1 to the Sobi License,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June 28, 2024, Sobi initiated a rolling biologics license application to the FDA for SEL-212 for the potential treatment of chronic refractory gout which resulted in the achievement of a development milestone and a $30.0 million payment obligation from Sobi to the Company. As a result, the development milestone was no longer constrained and $30.0 million was recognized as revenue during each of the three and six months ended June 30, 2024 as there were no remaining performance obligations under the Sobi License. The proceeds from the achievement of the development milestone were received from Sobi in July 2024 and are expected to be included, net of deductions as specified in the CVR Agreement, in the next scheduled distribution to holders of the CVRs in March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Company recorded total outstanding receivables of $31.7 million and $4.6 million, respectively, representing billings for the Phase 3 DISSOLVE program that are subject to reimbursement by Sobi and, as of June 30, 2024, the unpaid milestone. Additionally, as of June 30, 2024 and December 31, 2023, the Company recorded a total unbilled receivable of $3.5 million and $3.0 million, respectively, representing revenue earned but not yet billed for the Phase 3 DISSOLVE program. Revenue of $32.8 million, inclusive of the $30.0 million development milestone, related to the Sobi License was recognized during each of the three and six months ended June 30, 2024. Revenue of $4.3 million and $8.7 million related to the Sobi License was recognized during the three and six months ended June 30,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agreed to supply ImmTOR to Sarepta for clinical supply on a cost-plus basis under the Sarepta Agreement. A more detailed description of the Sarepta Agreement and the Company's evaluation of this agreement under ASC 606 can be found in Note 14 to the consolidated financial statements in the Company’s Annual Report on Form 10-K for the year ended December 31, 2023.</w:t>
      </w:r>
    </w:p>
    <w:p>
      <w:pPr>
        <w:spacing w:after="0" w:line="8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On March 13, 2023, the Company was notified by Sarepta that Sarepta would not be exercising its exclusive option under the Sarepta Agreement. Therefore, the remaining deferred revenue balance as of December 31, 2022 of $0.5 million was recognized as revenue during the six months ended June 30, 2023. No revenue related to the Sarepta Agreement was recognized during the three and six months ended June 30, 2024 or the three months ended June 30,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contracts for which work has not been performed, or has been partially performed. As of June 30, 2024, there were no unsatisfied performance obligations from contracts with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six months ended June 30, 2024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12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7"/>
                <w:szCs w:val="17"/>
                <w:color w:val="auto"/>
              </w:rPr>
            </w:pPr>
          </w:p>
        </w:tc>
        <w:tc>
          <w:tcPr>
            <w:tcW w:w="1280" w:type="dxa"/>
            <w:vAlign w:val="bottom"/>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 of Neurological Disorders and Stroke of the National Institutes of Health</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June 2024, the Company received funding approval from the National Institute of Neurological Disorders and Stroke of the National Institutes of Health, or NINDS, for an award of $1.5 million granted for the budget period, which runs from June 2024 through May 2025. Subject to the availability of funds and satisfactory progress of the project, an additional $1.5 million is recommended to be awarded for the budget period June 2025 through May 2026. The funding was provided by NINDS to further the Company’s use of RNA-based CAR-T cells to combat autoantibody-associated autoimmune disorders. Grant funding is to be used solely for manufacturing of RNA-based CAR-T cells and analysis of samples to inform mechanism of action. The award period runs through May 31, 2026. The Company will recognize grant revenue when expenses reimbursable under the grant have been incurred during the budget period.</w:t>
      </w:r>
    </w:p>
    <w:p>
      <w:pPr>
        <w:spacing w:after="0" w:line="8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Company recorded a receivable of $0.2 million that is subject to reimbursement by NINDS. The Company recognized grant revenue of $0.2 million during each of the three and six months ended June 30,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Related-Party Transactions</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2023 Securities Purchase Agreement</w:t>
      </w:r>
    </w:p>
    <w:p>
      <w:pPr>
        <w:spacing w:after="0" w:line="106"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 149,330.115 shares of Series A Preferred Stock for an aggregate purchase price of $60.25 million (see Note 10). The November 2023 Private Placement includes a delayed settlement mechanism, and as a result, the below issuances and sales to related parties of the Company were made during the six months ended June 30,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8"/>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of Amended 2019 Warrants</w:t>
      </w:r>
    </w:p>
    <w:p>
      <w:pPr>
        <w:spacing w:after="0" w:line="11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March 26, 2024, TAS Partners LLC, an affiliate of Dr. Springer, exercised 65,681 Amended 2019 Warrants, paid the per-share exercise price of $43.80 in cash for an aggregate exercise price of $2.9 million, and received 65,681 shares of common stock and 1,970,443 CVRs.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six months ended June 30, 2023, there were no related party transactions.</w:t>
      </w:r>
    </w:p>
    <w:p>
      <w:pPr>
        <w:spacing w:after="0" w:line="113" w:lineRule="exact"/>
        <w:rPr>
          <w:sz w:val="20"/>
          <w:szCs w:val="20"/>
          <w:color w:val="auto"/>
        </w:rPr>
      </w:pPr>
    </w:p>
    <w:p>
      <w:pPr>
        <w:ind w:right="7980" w:firstLine="8"/>
        <w:spacing w:after="0" w:line="378"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The Company is not obligated to pay Biogen any expenses, fees, or royalties.</w:t>
      </w:r>
    </w:p>
    <w:p>
      <w:pPr>
        <w:spacing w:after="0" w:line="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8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Holdings,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or ASC 808, as the risk and rewards are not shared by both parties. The Company will expense costs related to the First Ginkgo Agreement as incurred until regulatory approval is received in accordance with ASC 730,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or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was notified of the achievement of the midpoint of the technical development plan under the First Ginkgo Agreement</w:t>
      </w:r>
    </w:p>
    <w:p>
      <w:pPr>
        <w:spacing w:after="0" w:line="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by Ginkgo. This milestone resulted in the payment of $0.5 million and issuance of 29,761 shares of the Company’s common stock then-valued at $1.0 million to Ginkgo during the year ended December 31, 2022.</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44,642 shares of the Company’s common stock then-valued at $1.5 million to Ginkgo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October 2021, the Company entered into an Exclusive License Agreement, or the Genovis Agreement, with Genovis AB (publ.), or Genovis. Under the Genovis Agreement, the Company paid to Genovis an upfront payment in exchange for an exclusive license to the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5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13 to these unaudited consolidated financial statements for further discussion on the Astellas Agreement.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2024, the Company notified Genovis of its intention to terminate the Genovis Agreement effective September 13,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2021, the Company and Cyrus Biotechnology, Inc., or Cyrus, entered into a collaboration and license agreement, or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 royalties ranging from mid-single digit to low-double digit percentages of annual net sales of collaboration products which would have been expensed as commercial sales occur.</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June 13, 2022, the Company and Cyrus mutually agreed that the preclinical key in-vitro success milestone had been achieved.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October 2023, the Company notified Cyrus of its termination of the Cyrus Agreement effective December 29, 2023.</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Purchase Agreement</w:t>
      </w:r>
    </w:p>
    <w:p>
      <w:pPr>
        <w:spacing w:after="0" w:line="11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no impairment indicators were present and there were no observable price changes. Therefore, the carrying value of the investment in Cyrus is $2.0 million on the accompanying consolidated balance sheets. The Company’s maximum exposure to loss related to this variable interest entity is limited to the carrying value of the investment. The Company has not provided financing to Cyrus other than the amount contractually required by the Series B Preferred Stock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or the AskBio Collaboration Agreement, with Asklepios Biopharmaceutical, Inc., or AskBio.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AskBio mutually agreed to the termination of the AskBio Collaboration Agreement, effective December 13, 2023.</w:t>
      </w:r>
    </w:p>
    <w:p>
      <w:pPr>
        <w:spacing w:after="0" w:line="11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No collaboration expense under the AskBio Collaboration Agreement was recognized during the three and six months ended June 30, 2024. For the three and six months ended June 30, 2023, the Company recognized less than $0.1 million and $0.1 million, respectively, of collaboration expense under the AskBio Collaboration Agreement in which actual costs incurred by both parties approximate a 50% cost share.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June 30, 2024.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0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has not recorded any U.S. federal or state income tax benefits for either the net losses the Company has incurred or its earned research and orphan drug credits, due to the uncertainty of realizing a benefit from those items in the future.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Defined Contribution Plan</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less than $0.1 million and $0.1 million during the three months ended June 30, 2024 and 2023, respectively, and $0.1 million and $0.2 million during the six months ended June 30, 2024 and 2023,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on the Company’s business, financial position, results of operations or cash flows.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Restructuring</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these measures, the Company implemented a restructuring plan resulting in an approximate 89% reduction of the Company's existing headcount by July 1, 2024. The Company recognized restructuring expenses consisting of one-time cash severance payments and other employee-related costs of $6.4 million for the year ended December 31, 2023 with $5.6 million and $0.8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$2.5 million were paid as of December 31, 2023.</w:t>
      </w:r>
    </w:p>
    <w:p>
      <w:pPr>
        <w:spacing w:after="0" w:line="7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the Company recorded restructuring expenses consisting of one-time cash severance payments and other employee-related costs of $0.8 million, with $0.2 million and $0.6 million recorded to research and development and general and administrative operating expense categories, respectively, on its consolidated statements of operations and comprehensive income (loss) based on each employee’s role. Cash payments for employee related restructuring charges of $4.5 million were paid during the six months ended June 30, 2024. The Company expects that the payments for the restructuring plan will be substantially complete by June 30, 2024.</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03"/>
        </w:trPr>
        <w:tc>
          <w:tcPr>
            <w:tcW w:w="2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40" w:type="dxa"/>
            <w:vAlign w:val="bottom"/>
          </w:tcPr>
          <w:p>
            <w:pPr>
              <w:spacing w:after="0"/>
              <w:rPr>
                <w:sz w:val="17"/>
                <w:szCs w:val="17"/>
                <w:color w:val="auto"/>
              </w:rPr>
            </w:pPr>
          </w:p>
        </w:tc>
        <w:tc>
          <w:tcPr>
            <w:tcW w:w="13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
        </w:trPr>
        <w:tc>
          <w:tcPr>
            <w:tcW w:w="2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3,896</w:t>
            </w:r>
          </w:p>
        </w:tc>
        <w:tc>
          <w:tcPr>
            <w:tcW w:w="124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805</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(4,527)</w:t>
            </w:r>
          </w:p>
        </w:tc>
        <w:tc>
          <w:tcPr>
            <w:tcW w:w="2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08" w:lineRule="exact"/>
        <w:rPr>
          <w:sz w:val="20"/>
          <w:szCs w:val="20"/>
          <w:color w:val="auto"/>
        </w:rPr>
      </w:pPr>
    </w:p>
    <w:p>
      <w:pPr>
        <w:ind w:right="480" w:firstLine="324"/>
        <w:spacing w:after="0" w:line="246" w:lineRule="auto"/>
        <w:rPr>
          <w:sz w:val="20"/>
          <w:szCs w:val="20"/>
          <w:color w:val="auto"/>
        </w:rPr>
      </w:pPr>
      <w:r>
        <w:rPr>
          <w:rFonts w:ascii="Times New Roman" w:cs="Times New Roman" w:eastAsia="Times New Roman" w:hAnsi="Times New Roman"/>
          <w:sz w:val="18"/>
          <w:szCs w:val="18"/>
          <w:color w:val="auto"/>
        </w:rPr>
        <w:t>On July 2, 2024, the Company entered into the July 2024 Purchase Agreement for the July 2024 Private Placement, with certain institutional and accredited investors, or the Purchasers.</w:t>
      </w:r>
    </w:p>
    <w:p>
      <w:pPr>
        <w:spacing w:after="0" w:line="1" w:lineRule="exact"/>
        <w:rPr>
          <w:sz w:val="20"/>
          <w:szCs w:val="20"/>
          <w:color w:val="auto"/>
        </w:rPr>
      </w:pPr>
    </w:p>
    <w:p>
      <w:pPr>
        <w:ind w:right="240" w:firstLine="324"/>
        <w:spacing w:after="0" w:line="234" w:lineRule="auto"/>
        <w:rPr>
          <w:sz w:val="20"/>
          <w:szCs w:val="20"/>
          <w:color w:val="auto"/>
        </w:rPr>
      </w:pPr>
      <w:r>
        <w:rPr>
          <w:rFonts w:ascii="Times New Roman" w:cs="Times New Roman" w:eastAsia="Times New Roman" w:hAnsi="Times New Roman"/>
          <w:sz w:val="18"/>
          <w:szCs w:val="18"/>
          <w:color w:val="auto"/>
        </w:rPr>
        <w:t>Pursuant to the July 2024 Purchase Agreement, the Purchasers agreed to purchase an aggregate of 3,563,247 shares of common stock and 2,937,903 shares of Series B Preferred Stock, inclusive of 2,359,500 shares of Series B Preferred Stock purchased by directors and executive officers, and related parties thereto, each at a price per share of $20.00. Each share of Series B Preferred Stock is convertible into one share of the Company’s common stock subject to stockholder approval of a proposal to issue such shares of common stock upon conversion of such shares of Series B Preferred Stock in accordance with the Listing Rules of the Nasdaq Stock Market LLC, or the Series B Conversion Proposal. The July 2024 Private Placement resulted in gross proceeds of approximately $130.0 million before deducting placement agent fees and other offering expenses.</w:t>
      </w:r>
    </w:p>
    <w:p>
      <w:pPr>
        <w:spacing w:after="0" w:line="92"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Pursuant to the July 2024 Purchase Agreement, the Company has agreed to submit to its stockholders the approval of the Series B Conversion Proposal, at a special meeting of stockholders, which is to be held no later than October 31, 2024.</w:t>
      </w:r>
    </w:p>
    <w:p>
      <w:pPr>
        <w:spacing w:after="0" w:line="5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Holders of shares of Series B Preferred Stock are entitled to receive dividends on shares of Series B Preferred Stock equal to, on an as-if-converted-to-common stock basis, and in the same form as dividends actually paid on shares of the common stock. Except as otherwise required by law, the Series B Preferred Stock does not have voting rights. However, as long as any shares of Series B Preferred Stock are outstanding, the Company will not, without the affirmative vote of the holders of a majority of the then outstanding shares of the Series B Preferred Stock, (a) alter or change adversely the powers, preferences or rights given to the Series B Preferred Stock, (b) alter or amend the Certificate of Designation of Preferences, Rights and Limitations of the Series B Non-Voting Convertible Preferred Stock, or the Series B Certificate of Designation, or (c) amend its restated certificate of incorporation, as amended, or other charter documents in any manner that adversely affects any rights of the holders of Series B Preferred Stock. The Series B Preferred Stock does not have a preference upon any liquidation, dissolution or winding-up of the Company.</w:t>
      </w:r>
    </w:p>
    <w:p>
      <w:pPr>
        <w:spacing w:after="0" w:line="8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Following stockholder approval of the Series B Conversion Proposal, each share of Series B Preferred Stock will automatically convert into one share of common stock, subject to certain limitations, including that a holder of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provided, however, that such beneficial ownership limitation does not apply to TAS Partners LLC or any of its affiliates.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on the 21,382,485 shares of common stock outstanding on August 7, 2024, there would be 29,865,107 shares of common stock outstanding if all shares of Series A Preferred Stock and all shares of Series B Preferred Stock converted into common stock on such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and with our audited financial statements and the notes thereto included in our Annual Report on Form 10-K for the year ended December 31, 2023, which we filed with the SEC on March 7, 2024. In addition, you should read the “Risk Factors” and “Information Regarding Forward-Looking Statements” sections of this Quarterly Report and our Annual Report on Form 10-K for the year ended December 31, 2023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160" w:firstLine="324"/>
        <w:spacing w:after="0" w:line="241"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developing mRNA cell therapies for the treatment of autoimmune diseases. We leverage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w:t>
      </w:r>
    </w:p>
    <w:p>
      <w:pPr>
        <w:spacing w:after="0" w:line="8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Our mRNA CAR-T modality is a personalized approach that collects a patient’s T-cells and uses mRNA to introduce a CAR into the cell. The CAR redirects the T-cells to target and destroy pathogenic self-reactive cells. Our mRNA </w:t>
      </w:r>
      <w:r>
        <w:rPr>
          <w:rFonts w:ascii="Times New Roman" w:cs="Times New Roman" w:eastAsia="Times New Roman" w:hAnsi="Times New Roman"/>
          <w:sz w:val="18"/>
          <w:szCs w:val="18"/>
          <w:i w:val="1"/>
          <w:iCs w:val="1"/>
          <w:color w:val="231F20"/>
        </w:rPr>
        <w:t>in situ</w:t>
      </w:r>
      <w:r>
        <w:rPr>
          <w:rFonts w:ascii="Times New Roman" w:cs="Times New Roman" w:eastAsia="Times New Roman" w:hAnsi="Times New Roman"/>
          <w:sz w:val="18"/>
          <w:szCs w:val="18"/>
          <w:color w:val="231F20"/>
        </w:rPr>
        <w:t xml:space="preserve"> modality is designed to deliver mRNA into a patient’s lymph node to generate CAR-T cells and other proteins that target autoimmunity</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08" w:lineRule="exact"/>
        <w:rPr>
          <w:sz w:val="20"/>
          <w:szCs w:val="20"/>
          <w:color w:val="auto"/>
        </w:rPr>
      </w:pPr>
    </w:p>
    <w:p>
      <w:pPr>
        <w:ind w:right="100" w:firstLine="324"/>
        <w:spacing w:after="0" w:line="237" w:lineRule="auto"/>
        <w:rPr>
          <w:sz w:val="20"/>
          <w:szCs w:val="20"/>
          <w:color w:val="auto"/>
        </w:rPr>
      </w:pPr>
      <w:r>
        <w:rPr>
          <w:rFonts w:ascii="Times New Roman" w:cs="Times New Roman" w:eastAsia="Times New Roman" w:hAnsi="Times New Roman"/>
          <w:sz w:val="18"/>
          <w:szCs w:val="18"/>
          <w:color w:val="231F20"/>
        </w:rPr>
        <w:t xml:space="preserve">On November 13, 2023, the Company </w:t>
      </w:r>
      <w:r>
        <w:rPr>
          <w:rFonts w:ascii="Times New Roman" w:cs="Times New Roman" w:eastAsia="Times New Roman" w:hAnsi="Times New Roman"/>
          <w:sz w:val="18"/>
          <w:szCs w:val="18"/>
          <w:color w:val="000000"/>
        </w:rPr>
        <w:t>(formerly known as Selecta Biosciences, Inc., or Selecta)</w:t>
      </w:r>
      <w:r>
        <w:rPr>
          <w:rFonts w:ascii="Times New Roman" w:cs="Times New Roman" w:eastAsia="Times New Roman" w:hAnsi="Times New Roman"/>
          <w:sz w:val="18"/>
          <w:szCs w:val="18"/>
          <w:color w:val="231F20"/>
        </w:rPr>
        <w:t xml:space="preserve"> merged with the private Delaware corporation which, immediately prior to the Merger (as defined below), was known as Cartesian Therapeutics, Inc., or Old Cartesian, in accordance with the terms of an Agreement and Plan of Merger, or the Merger Agreement, by and among</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r>
        <w:rPr>
          <w:rFonts w:ascii="Times New Roman" w:cs="Times New Roman" w:eastAsia="Times New Roman" w:hAnsi="Times New Roman"/>
          <w:sz w:val="18"/>
          <w:szCs w:val="18"/>
          <w:color w:val="231F20"/>
        </w:rPr>
        <w: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connection with the Merger and pursuant to the Merger Agreement, the Company changed its corporate name to Cartesian Therapeutics, Inc. See Note 3 of the accompanying notes to the unaudited consolidated financial statements appearing elsewhere in this </w:t>
      </w:r>
      <w:r>
        <w:rPr>
          <w:rFonts w:ascii="Times New Roman" w:cs="Times New Roman" w:eastAsia="Times New Roman" w:hAnsi="Times New Roman"/>
          <w:sz w:val="18"/>
          <w:szCs w:val="18"/>
          <w:color w:val="000000"/>
        </w:rPr>
        <w:t>Quarterly</w:t>
      </w:r>
      <w:r>
        <w:rPr>
          <w:rFonts w:ascii="Times New Roman" w:cs="Times New Roman" w:eastAsia="Times New Roman" w:hAnsi="Times New Roman"/>
          <w:sz w:val="18"/>
          <w:szCs w:val="18"/>
          <w:color w:val="231F20"/>
        </w:rPr>
        <w:t xml:space="preserve"> Report for additional information regarding the Merger.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Except for the quarter ended June 30, 2024 and the year ended December 31, 2022, we have incurred significant operating losses since our inception. We incurred a net loss of $43.0 million and $33.1 million for the six months ended June 30, 2024 and 2023, respectively. As of June 30, 2024, we had an accumulated deficit of $657.6 million. We expect to continue to incur significant expenses and operating losses for the foreseeable future as we:</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MG into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or the Securities Purchase Agreement, pursuant to which we agreed to issue 149,330.115 shares of Series A Non-Voting Convertible Preferred Stock, par value $0.0001 per share, or the Series A Preferred Stock, in exchange for aggregate gross proceeds of $60.25 million, or the November 2023 Private Placement. We granted customary registration rights to investors in connection with the November 2023 Private Placement.</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July 2, 2024, we entered into a securities purchase agreement, or the July 2024 Purchase Agreement, for a private investment in public equity financing, or the July 2024 Private Placement, which provides for the issuance of 3,563,247 shares of common stock and 2,937,903 shares of Series B Non-Voting Convertible Preferred Stock, par value $0.0001 per share, or the Series B Preferred Stock, each at a purchase price of $20.00 per share. The July 2024 Private Placement resulted in gross proceeds of approximately $130.0 million before deducting placement agent fees and other offering expenses. We granted customary registration rights to investors in connection with the July 2024 Private Placement.</w:t>
      </w:r>
    </w:p>
    <w:p>
      <w:pPr>
        <w:spacing w:after="0" w:line="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June 30, 2024, combined with net proceeds from the July 2024 Private Placement received subsequent to June 30, 2024, will support development of Descartes-08 in MG, specifically supporting anticipated manufacturing costs associated with a Phase 3 clinical trial and early commercial activities in preparation for a potential launch. We have based this estimate on assumptions that may prove to be wrong, and we could use our capital resources sooner than we currently expect.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seek collaboration partners for the assets in the development programs that we are no longer actively advancing.</w:t>
      </w:r>
    </w:p>
    <w:p>
      <w:pPr>
        <w:spacing w:after="0" w:line="11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 13 to our unaudited consolidated financial statements included elsewhere in this Quarterly Report.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08"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Additionally, we generate grant revenue which consists of funding received to perform specific research and development services under a grant arrangement with the National Institute of Neurological Disorders and Stroke of the National Institutes of Health, or NINDS. For further description of the arrangement underlying our grant revenue, see Note 13 to our unaudited consolidated financial statements included elsewhere in this Quarterly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7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72"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In June 2020, we and Swedish Orphan Biovitrum AB, or Sobi, entered into a License and Development Agreement, which was amended in October 2023, or,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 recognized as revenue consistent with the revenue recognition methodology disclosed in Note 13 to our unaudited consolidated financial statements included elsewhere in this Quarterly Report. The reimbursable costs exclude any costs of additional development activities required that were related to the ImmTOR platform and were unrelated to SEL-212.</w:t>
      </w:r>
    </w:p>
    <w:p>
      <w:pPr>
        <w:spacing w:after="0" w:line="7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January 2023, we and Audentes Therapeutics, Inc., or Astellas, entered into a License and Development Agreement, or the Astellas Agreement. Pursuant to the Astellas Agreement, Astellas agreed to reimburse us for 25% of all budgeted costs incurred to complete the development of Xork, a bacterial IgG protease licensed from Genovis AB (publ.), or Genovis, for use in Pompe disease with an Astellas gene therapy investigational or authorized product. These costs, when reimbursed, will be recognized as revenue consistent with the revenue recognition methodology disclosed in Note 13 to our unaudited consolidated financial statements included elsewhere in this Quarterly Report. The Astellas Agreement was terminated effective June 6,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primarily of sublease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utilizing a Black-Scholes valuation methodology,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contingent value right, or CVR, liability is remeasured quarterly at fair value, utilizing a Monte Carlo simulation,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forward contract liability associated with the delayed issuance of the Series A Preferred Stock related to the November 2023 Private Placement is remeasured quarterly at fair value, utilizing the market price of our common stock,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both June 30, 2024 and December 31, 2023,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recognized $33.3 million of collaboration and license revenue, compared to $5.2 million for the three months ended June 30, 2023, an increase of $28.1 million, or 540%. The increase was primarily due to an increase in revenue recognized under the Sobi License resulting from the $30.0 million unconstrained development milestone recognized during the three months ended June 30,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we recognized $0.2 million of grant revenue. We received funding approval from NINDS during the three months ended June 30, 2024, and as such there was no grant revenue during the three months ended June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$12.7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$17.8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three months ended June 30, 2023, a decrease of $5.1 million, or 29%. The decrease in cost primarily resulted from reductions in expenses due to a one-time cash charge to salaries and benefits as a result of our headcount reduction in April 2023 and decreased contract license and milestone payments.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For the three months ended June 30, 2024</w:t>
      </w:r>
      <w:r>
        <w:rPr>
          <w:rFonts w:ascii="Times New Roman" w:cs="Times New Roman" w:eastAsia="Times New Roman" w:hAnsi="Times New Roman"/>
          <w:sz w:val="17"/>
          <w:szCs w:val="17"/>
          <w:color w:val="2C2C2C"/>
        </w:rPr>
        <w:t>, our</w:t>
      </w:r>
      <w:r>
        <w:rPr>
          <w:rFonts w:ascii="Times New Roman" w:cs="Times New Roman" w:eastAsia="Times New Roman" w:hAnsi="Times New Roman"/>
          <w:sz w:val="17"/>
          <w:szCs w:val="17"/>
          <w:color w:val="auto"/>
        </w:rPr>
        <w:t xml:space="preserve"> general and administrative </w:t>
      </w:r>
      <w:r>
        <w:rPr>
          <w:rFonts w:ascii="Times New Roman" w:cs="Times New Roman" w:eastAsia="Times New Roman" w:hAnsi="Times New Roman"/>
          <w:sz w:val="17"/>
          <w:szCs w:val="17"/>
          <w:color w:val="2C2C2C"/>
        </w:rPr>
        <w:t>expenses were</w:t>
      </w:r>
      <w:r>
        <w:rPr>
          <w:rFonts w:ascii="Times New Roman" w:cs="Times New Roman" w:eastAsia="Times New Roman" w:hAnsi="Times New Roman"/>
          <w:sz w:val="17"/>
          <w:szCs w:val="17"/>
          <w:color w:val="auto"/>
        </w:rPr>
        <w:t xml:space="preserve"> $7.0 million </w:t>
      </w:r>
      <w:r>
        <w:rPr>
          <w:rFonts w:ascii="Times New Roman" w:cs="Times New Roman" w:eastAsia="Times New Roman" w:hAnsi="Times New Roman"/>
          <w:sz w:val="17"/>
          <w:szCs w:val="17"/>
          <w:color w:val="2C2C2C"/>
        </w:rPr>
        <w:t>compared to</w:t>
      </w:r>
      <w:r>
        <w:rPr>
          <w:rFonts w:ascii="Times New Roman" w:cs="Times New Roman" w:eastAsia="Times New Roman" w:hAnsi="Times New Roman"/>
          <w:sz w:val="17"/>
          <w:szCs w:val="17"/>
          <w:color w:val="auto"/>
        </w:rPr>
        <w:t xml:space="preserve"> $6.1 million </w:t>
      </w:r>
      <w:r>
        <w:rPr>
          <w:rFonts w:ascii="Times New Roman" w:cs="Times New Roman" w:eastAsia="Times New Roman" w:hAnsi="Times New Roman"/>
          <w:sz w:val="17"/>
          <w:szCs w:val="17"/>
          <w:color w:val="2C2C2C"/>
        </w:rPr>
        <w:t>for the</w:t>
      </w:r>
      <w:r>
        <w:rPr>
          <w:rFonts w:ascii="Times New Roman" w:cs="Times New Roman" w:eastAsia="Times New Roman" w:hAnsi="Times New Roman"/>
          <w:sz w:val="17"/>
          <w:szCs w:val="17"/>
          <w:color w:val="auto"/>
        </w:rPr>
        <w:t xml:space="preserve"> three months ended June 30, 2023, an increase of $0.9 million, or 15%. The increase in cost was primarily the result of expenses incurred for personnel expenses.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for the three months ended June 30, 2024 was $1.2 million, compared to $1.4 million for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investment income was due to decreased investment balance.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fluctuations during each of the three months ended June 30, 2024 and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We recognized no interest expense for the three months ended June 30, 2024, compared to $0.8 million for the three months ended June 30, 2023, representing interest expense and amortization of the carrying costs of our credit facilities that were extinguished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we recognized a $3.9 million charge from the increase in the fair value of warrant liabilities, compared to $6.3 million of income from the decrease in the fair value of warrant liabilities for the three months ended June 30, 2023, a decrease of $10.2 million, or 162%. Fair value of warrant liabilities was determined utilizing the Black-Scholes valuation methodology. The increase in warrant value was primarily driven by an increase in the per-share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2024, we recognized $2.5 million of income from the decrease in the fair value of the CVR liability. The fair value of the CVR liability as of June 30, 2024 was determined utilizing a Monte Carlo simulation model. The decrease in the fair value of CVR liability was primarily due to changes in the amount and timing of anticipated payments and the passage of time. There was no CVR liability prior to the Merger and as such, no change in the fair value of the CVR liability is reflected in our unaudited consolidated financial statements for the three months ended June 30,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08"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The remaining Series A Preferred Stock forward contract liability was settled during the three months ended March 31, 2024, and there was no Series A Preferred Stock forward contract liability prior to the Merger. As such, no change in the fair value of the Series A Preferred Stock forward contract liability is reflected in our unaudited consolidated financial statements for each of the three months ended June 30, 2024 and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we recognized other income, net of $0.3 million, compared to $0.2 million for the three months ended June 30, 2023, an increase of $0.1 million, or 50%.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June 30, 2024 was $13.8 million as compared to net loss of $11.4 million for the three months ended June 30, 2023, an increase of $25.2 million or 221%. The change was primarily due to revenue recognized under the Sobi License and decreased research and development expenses, partially offset by expenses associated with the change in the fair value of the warrant liabilities.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recognized $39.1 million of collaboration and license revenue, compared to $11.2 million for the six months ended June 30, 2023, an increase of $27.9 million, or 249%. The increase was primarily due to an increase in revenue recognized under the Sobi License resulting from the $30.0 million unconstrained development milestone recognized during the three months ended June 30, 2024 and an increase for revenue recognized under the Astellas Agreement upon notice of termination during the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revenue</w:t>
      </w:r>
    </w:p>
    <w:p>
      <w:pPr>
        <w:spacing w:after="0" w:line="121"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recognized $0.2 million of grant revenue. We received funding approval from NINDS during the six months ended June 30, 2024, and as such there was no grant revenue during the six months ended June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w:t>
      </w:r>
      <w:r>
        <w:rPr>
          <w:rFonts w:ascii="Times New Roman" w:cs="Times New Roman" w:eastAsia="Times New Roman" w:hAnsi="Times New Roman"/>
          <w:sz w:val="18"/>
          <w:szCs w:val="18"/>
          <w:color w:val="2C2C2C"/>
        </w:rPr>
        <w:t>, our research and development expenses were</w:t>
      </w:r>
      <w:r>
        <w:rPr>
          <w:rFonts w:ascii="Times New Roman" w:cs="Times New Roman" w:eastAsia="Times New Roman" w:hAnsi="Times New Roman"/>
          <w:sz w:val="18"/>
          <w:szCs w:val="18"/>
          <w:color w:val="auto"/>
        </w:rPr>
        <w:t xml:space="preserve"> $22.4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$36.4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six months ended June 30, 2023, a decrease of $14.0 million, or 38%. The decrease in cost primarily resulted from reductions in expenses due to a one-time cash charge to salaries and benefits as a result of our headcount reduction in April 2023 and decreased contract license and milestone payments.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w:t>
      </w:r>
      <w:r>
        <w:rPr>
          <w:rFonts w:ascii="Times New Roman" w:cs="Times New Roman" w:eastAsia="Times New Roman" w:hAnsi="Times New Roman"/>
          <w:sz w:val="18"/>
          <w:szCs w:val="18"/>
          <w:color w:val="2C2C2C"/>
        </w:rPr>
        <w:t>, our</w:t>
      </w:r>
      <w:r>
        <w:rPr>
          <w:rFonts w:ascii="Times New Roman" w:cs="Times New Roman" w:eastAsia="Times New Roman" w:hAnsi="Times New Roman"/>
          <w:sz w:val="18"/>
          <w:szCs w:val="18"/>
          <w:color w:val="auto"/>
        </w:rPr>
        <w:t xml:space="preserve"> general and administrative </w:t>
      </w:r>
      <w:r>
        <w:rPr>
          <w:rFonts w:ascii="Times New Roman" w:cs="Times New Roman" w:eastAsia="Times New Roman" w:hAnsi="Times New Roman"/>
          <w:sz w:val="18"/>
          <w:szCs w:val="18"/>
          <w:color w:val="2C2C2C"/>
        </w:rPr>
        <w:t>expenses were</w:t>
      </w:r>
      <w:r>
        <w:rPr>
          <w:rFonts w:ascii="Times New Roman" w:cs="Times New Roman" w:eastAsia="Times New Roman" w:hAnsi="Times New Roman"/>
          <w:sz w:val="18"/>
          <w:szCs w:val="18"/>
          <w:color w:val="auto"/>
        </w:rPr>
        <w:t xml:space="preserve"> $16.5 million </w:t>
      </w:r>
      <w:r>
        <w:rPr>
          <w:rFonts w:ascii="Times New Roman" w:cs="Times New Roman" w:eastAsia="Times New Roman" w:hAnsi="Times New Roman"/>
          <w:sz w:val="18"/>
          <w:szCs w:val="18"/>
          <w:color w:val="2C2C2C"/>
        </w:rPr>
        <w:t>compared to</w:t>
      </w:r>
      <w:r>
        <w:rPr>
          <w:rFonts w:ascii="Times New Roman" w:cs="Times New Roman" w:eastAsia="Times New Roman" w:hAnsi="Times New Roman"/>
          <w:sz w:val="18"/>
          <w:szCs w:val="18"/>
          <w:color w:val="auto"/>
        </w:rPr>
        <w:t xml:space="preserve"> $11.8 million </w:t>
      </w:r>
      <w:r>
        <w:rPr>
          <w:rFonts w:ascii="Times New Roman" w:cs="Times New Roman" w:eastAsia="Times New Roman" w:hAnsi="Times New Roman"/>
          <w:sz w:val="18"/>
          <w:szCs w:val="18"/>
          <w:color w:val="2C2C2C"/>
        </w:rPr>
        <w:t>for the</w:t>
      </w:r>
      <w:r>
        <w:rPr>
          <w:rFonts w:ascii="Times New Roman" w:cs="Times New Roman" w:eastAsia="Times New Roman" w:hAnsi="Times New Roman"/>
          <w:sz w:val="18"/>
          <w:szCs w:val="18"/>
          <w:color w:val="auto"/>
        </w:rPr>
        <w:t xml:space="preserve"> six months ended June 30, 2023, an increase of $4.7 million, or 40%. The increase in cost was primarily the result of expenses incurred for personnel expenses and professional fees incurred in connection with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Investment income for the six months ended June 30, 2024 was $2.4 million, compared to $2.7 million for the six months ended June 30, 2023. The decrease in investment income was due to decreased investment balance.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fluctuations during each of the six months ended June 30, 2024 and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We recognized no interest expense for the six months ended June 30, 2024, compared to $1.6 million for the six months ended June 30, 2023, representing interest expense and amortization of the carrying costs of our credit facilities that were extinguished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we recognized $2.9 million charge from the increase in the fair value of warrant liabilities, compared to $2.3 million of income from the decrease in the fair value of warrant liabilities for the six months ended June 30, 2023, a decrease of $5.2 million, or 226%. Fair value of warrant liabilities was determined utilizing the Black-Scholes valuation methodology. The increase in warrant value was primarily driven by an increase in the per-share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0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For the six months ended June 30, 2024, we recognized $36.8 million of expense associated with the increase in the fair value of the CVR liability. The fair value of the CVR liability as of June 30, 2024 was determined utilizing a Monte Carlo simulation model. The increase in the fair value of CVR liability was primarily due to changes in the amount and timing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anticipated payments and the passage of time. There was no CVR liability prior to the Merger and as such, no change in the fair value of the CVR liability is reflected in our unaudited consolidated financial statements for the six months ended June 30,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0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7"/>
          <w:szCs w:val="17"/>
          <w:color w:val="auto"/>
        </w:rPr>
        <w:t>For the six months ended June 30, 2024, we recognized $6.9 million of expense associated with the increase in the fair value of Series A Preferred Stock forward contract liabilities. The increase in Series A Preferred Stock value was primarily driven by an increase in the per-share price of our common stock since December 31, 2023 through settlement. The remaining Series A Preferred Stock forward contract liability was settled during the six months ended June 30, 2024. There was no Series A Preferred Stock forward contract liability prior to the Merger and as such, no change in the fair value of the Series A Preferred Stock forward contract liability is reflected in our unaudited consolidated financial statements for the six months ended June 30,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recognized other income, net of $0.8 million, compared to $0.5 million for the six months ended June 30, 2023, an increase of $0.3 million, or 60%.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Net loss for the six months ended June 30, 2024 was $43.0 million as compared to net loss of $33.1 million for the six months ended June 30, 2023, a decrease of $9.9 million or 30%. The change was primarily due to expenses associated with the change in the fair value of the CVR liability, Series A Preferred Stock forward contract liability, and warrant liabilities and increased general and administrative expenses, partially offset by revenue recognized under the Sobi License and decreased research and development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of $13.8 million for the quarter ended June 30, 2024 and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our cash, cash equivalents, and restricted cash were $88.9 million, of which $1.7 million was restricted cash related to lease</w:t>
      </w:r>
    </w:p>
    <w:p>
      <w:pPr>
        <w:spacing w:after="0" w:line="24"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8"/>
          <w:szCs w:val="18"/>
          <w:color w:val="auto"/>
        </w:rPr>
        <w:t>commitments and $0.2 million was held by our Russian subsidiary designated solely for use in its operations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On a pro forma basis, giving effect to the receipt of $124.4 million of net proceeds from our July 2024 Private Placement received subsequent to June 30, 2024, our cash, cash equivalents, and restricted cash were $213.3 million, as of June 30, 2024.</w:t>
      </w:r>
    </w:p>
    <w:p>
      <w:pPr>
        <w:spacing w:after="0" w:line="9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6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15 to our unaudited consolidated financial statements included elsewhere in this Quarterly Report.</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7"/>
          <w:szCs w:val="17"/>
          <w:color w:val="auto"/>
        </w:rPr>
        <w:t>Effective September 2019, we entered into a nonexclusive, worldwide license agreement, or the NCI Agreement, with the U.S. Department of Health and Human Services, represented by the National Cancer Institute of the National Institutes of Health, or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15 to our unaudited consolidated financial statements included elsewhere in this Quarterly Report.</w:t>
      </w:r>
    </w:p>
    <w:p>
      <w:pPr>
        <w:spacing w:after="0" w:line="6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October 2021, we and Ginkgo Bioworks Holdings, Inc., or Ginkgo, entered into a Collaboration and License Agreement, or the First Ginkgo Agreement, and paid Ginkgo a $0.5 million one-time upfront payment. In June 2022, we paid $0.5 million and issued 29,761 shares of our common stock then-valued at $1.0 million to Ginkgo for the achievement of certain preclinical milestones under the First Ginkgo Agreement. In January 2022, we entered into a Collaboration and License Agreement, or the Second Ginkgo Agreement, and paid Ginkgo a $1.5 million one-time upfront payment. In July 2023, we paid $1.0 million and issued 44,642 shares of our common stock then-valued at $1.5 million to Ginkgo for the achievement of certain preclinical milestones under the Second Ginkgo Agreement. For further description of the First Ginkgo Agreement and the Second Ginkgo Agreement, see Note 15 to our unaudited consolidated financial statements included elsewhere in this Quarterly Report.</w:t>
      </w:r>
    </w:p>
    <w:p>
      <w:pPr>
        <w:spacing w:after="0" w:line="8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Additionally, in October 2021, we entered into an Exclusive License Agreement with Genovis, or the Genovis Agreement, and paid Genovis a $4.0 million one-time upfront payment. In February 2023, as a result of the sublicense of Xork to Astellas, we made a $4.0 million payment to Genovis. In March 2024, we informed Genovis of our intent to terminate the Genovis Agreement, effective September 13, 2024. For further description of the Genovis Agreement, see Note 15 to our unaudited consolidated financial statements included elsewhere in this Quarterly Report.</w:t>
      </w:r>
    </w:p>
    <w:p>
      <w:pPr>
        <w:spacing w:after="0" w:line="72"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September 7, 2021, we entered into a Collaboration and License Agreement, or the Cyrus Agreement, with Cyrus Biotechnology, Inc., or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15 to our unaudited consolidated financial statements included elsewhere in this Quarterly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The Astellas Agreement was terminated effective June 6, 2024. For further description of the Astellas Agreement, see Note 13 to our unaudited consolidated financial statements included elsewhere in this Quarterly Report. Amounts paid and remaining obligations with regard to the Xork product candidate not reimbursed by Astellas through the Astellas Agreement are subject to potential reimbursement through deductions to CVR distributions as described in Note 5 to our unaudited consolidated financial statements included elsewhere in this Quarterly Report.</w:t>
      </w:r>
    </w:p>
    <w:p>
      <w:pPr>
        <w:spacing w:after="0" w:line="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2021, we entered into a License Agreement, or the Takeda Agreement, with Takeda Pharmaceuticals USA, Inc., or Takeda.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13 to our unaudited consolidated financial statements included elsewhere in this Quarterly Report.</w:t>
      </w:r>
    </w:p>
    <w:p>
      <w:pPr>
        <w:spacing w:after="0" w:line="62"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$138.468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In June 2024, we recorded a $30.0 million receivable for the milestone associated with the initiation of a rolling biologics license application to the FDA for SEL-212 for the potential treatment of chronic refractory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gout by Sobi. Proceeds from milestone payments and royalties on sales of SEL-212, if any, are required to be distributed, net of certain agreed deductions, to holders of the CVRs. For further description of the Sobi License, see Note 13 to our unaudited consolidated financial statements included elsewhere in this Quarterly Report.</w:t>
      </w:r>
    </w:p>
    <w:p>
      <w:pPr>
        <w:spacing w:after="0" w:line="82"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Additionally, in June 2020, we and Sarepta Therapeutics, Inc., or Sarepta, entered into a Research License and Option Agreement, or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13 to our unaudited consolidated financial statements included elsewhere in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On October 25, 2021, we entered into a Sales Agreement, or the 2021 Sales Agreement, with Leerink Partners LLC, or Leerink Partners (and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or SEC, for remaining aggregate gross sales proceeds of up to $51.0 million.</w:t>
      </w:r>
    </w:p>
    <w:p>
      <w:pPr>
        <w:spacing w:after="0" w:line="7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and the year ended December 31, 2023, we sold no shares of our common stock pursuant to the 2021 Sales Agreement. During the year ended December 31, 2022, we sold 25,818 shares of our common stock pursuant to the 2021 Sales Agreement for aggregate net proceeds of $2.1 million, after deducting commissions and other transaction costs.</w:t>
      </w:r>
    </w:p>
    <w:p>
      <w:pPr>
        <w:spacing w:after="0" w:line="68"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On November 13, 2023, we entered into the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during the six months ended June 30, 2024 for gross proceeds of $40.0 million.</w:t>
      </w:r>
    </w:p>
    <w:p>
      <w:pPr>
        <w:spacing w:after="0" w:line="87"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On July 2, 2024, we entered into the July 2024 Purchase Agreement for the July 2024 Private Placement with certain institutional and accredited investors, or the Purchasers. In the July 2024 Private Placement, we issued and sold an aggregate of 3,563,247 shares of common stock and 2,937,903 shares of Series B Preferred Stock for which we generated gross proceeds of approximately $130.0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in the future we seek debt financing, the terms of such debt could restrict our operating and financial flexibility by imposing liens on our assets and covenants on the operation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Quarterly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encounter unforeseen expenses, difficulties, complications, delays and other unknown factors that may adversely affect our business. We expect that we will need substantial additional funding to support our continuing operations.</w:t>
      </w:r>
    </w:p>
    <w:p>
      <w:pPr>
        <w:spacing w:after="0" w:line="54"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we had an accumulated deficit of $657.6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June 30, 2024, combined with net proceeds from the July 2024 Private Placement received subsequent to June 30, 2024,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60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Requirements due to Contractual Obligations and Other Commitments</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under agreement to lease approximately 32,294 square feet of laboratory and office space in Watertown, Massachusetts through May 2028. Remaining lease payments from June 30, 2024 through the end of the lease term total approximately $11.0 million. Payments made and remaining obligations on this lease liability are subject to potential reimbursement through deductions to CVR distributions as described in Note 5 to our unaudited consolidated financial statements included elsewhere in this Quarterly Report.</w:t>
      </w:r>
    </w:p>
    <w:p>
      <w:pPr>
        <w:spacing w:after="0" w:line="7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November 2023, in connection with the Merger, we acquired two leases for office and laboratory space in Gaithersburg, Maryland, which expire in January 2027. Annualized rent is approximately $0.3 million and remaining lease payments total $0.8 million through the end of the lease term.</w:t>
      </w:r>
    </w:p>
    <w:p>
      <w:pPr>
        <w:spacing w:after="0" w:line="54" w:lineRule="exact"/>
        <w:rPr>
          <w:sz w:val="20"/>
          <w:szCs w:val="20"/>
          <w:color w:val="auto"/>
        </w:rPr>
      </w:pPr>
    </w:p>
    <w:p>
      <w:pPr>
        <w:ind w:right="740" w:firstLine="324"/>
        <w:spacing w:after="0" w:line="266" w:lineRule="auto"/>
        <w:rPr>
          <w:sz w:val="20"/>
          <w:szCs w:val="20"/>
          <w:color w:val="auto"/>
        </w:rPr>
      </w:pPr>
      <w:r>
        <w:rPr>
          <w:rFonts w:ascii="Times New Roman" w:cs="Times New Roman" w:eastAsia="Times New Roman" w:hAnsi="Times New Roman"/>
          <w:sz w:val="18"/>
          <w:szCs w:val="18"/>
          <w:color w:val="auto"/>
        </w:rPr>
        <w:t>In February 2024, we entered into an agreement to lease approximately 19,199 square feet of integrated manufacturing and office space in Fredericksburg, Maryland. In May 2024, we entered into an amendment to lease an additional approximately 7,842 square feet. The leases expire coterminous in June 2031. Annualized base rent under the leases is approximately $1.2</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million and is subject to annual increases in accordance with the terms of the lease agreement. The leases provide for a tenant improvement allowance of $0.8 million.</w:t>
      </w:r>
    </w:p>
    <w:p>
      <w:pPr>
        <w:spacing w:after="0" w:line="40"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We are also party to certain license and collaboration agreements with Biogen, NCI, and Shenyang Sunshine Pharmaceutical Co., Ltd., or 3SBio. We may be obligated to make certain future payments which are contingent upon future events such as our achievement of specified regulatory and commercial milestones, or royalties on net product sales under these agreements. As of June 30, 2024, we were unable to estimate the timing or likelihood of achieving these milestones or generating future product sales. Payments made and remaining obligations on the license agreement with 3SBio are subject to potential reimbursement through deductions to CVR distributions as described in Note 5 to our unaudited consolidated financial statements included elsewhere in this Quarterly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82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0" w:type="dxa"/>
            <w:vAlign w:val="bottom"/>
          </w:tcPr>
          <w:p>
            <w:pPr>
              <w:spacing w:after="0"/>
              <w:rPr>
                <w:sz w:val="1"/>
                <w:szCs w:val="1"/>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was $30.4 million compared to $18.7 million for the six months ended June 30, 2023. The increase in cash used in operating activities of $11.7 million was primarily due to $8.1 million of net income, adjusted for non-cash items, and approximately $38.5 million cash used in changes in operating assets and liabilities for the six months ended June 30, 2024 compared to $27.6 million of net loss, adjusted for non-cash items, and approximately $8.9 million cash provided by changes in operating assets and liabilities for the six months ended June 30, 2023.</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$2.2 million compared to net cash provided by investing activities of $28.1 million for the six months ended June 30, 2023, a decrease of $30.3 million. The net cash used in investing activities for the six months ended June 30, 2024 consisted primarily of purchases of property and equipment. The net cash provided by investing activities for the six months ended June 30, 2023 was primarily proceeds from the maturities of marketable securities offset by purchases of property and equipment.</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$43.2 million compared to net cash used in financing activities of $2.4 million for the six months ended June 30, 2023, an increase of $45.6 million. The net cash provided by financing activities in the six months ended June 30, 2024 was primarily the result of proceeds of the November 2023 Private Placement. The net cash used in financing activities in the six months ended June 30, 2023 was primarily the result of repayments of principal on outstanding debt offset by proceeds from issuance of common stock under the Employee Stock Purchase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unaudited consolidated financial statements included elsewhere in this Quarterly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2024, we did not have any off-balance sheet arrangements as defined in the rules and regulations of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conditions. During the three and six months ended June 30, 2024, there were no material changes to our critical accounting policies from those described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21"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2024 and December 31, 2023, we had cash, cash equivalents, and restricted cash of $88.9 million and $78.3 million, respectively, consisting of non-interest and interest-bearing money market accounts. Our primary exposure to market risk is interest rate sensitivity, which is affected by changes in the general level of U.S. interest rates. Due to the short-term and the low risk profile of our money market accounts and marketable securities, and our current policy to hold marketable securities to maturity, an immediate 100 basis point change in interest rates would not have a material effect on the fair market value of our cash equivalents or short-term marketable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Quarterly Report, the effectiveness of our disclosure controls and procedures (as defined in Rules 13a-15(e) and 15d-15(e) under the Exchange Act). Based on that evaluation, our Chief Executive Officer and Chief Financial Officer concluded that our disclosure controls and procedures were not effective at the reasonable assurance level as of June 30, 2024 because of the material weakness in internal control over financial reporting discussed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result of its review of the internal control procedures for the year ended December 31, 2023, management identified a material weakness.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 There are no material accounting errors or omissions within the consolidated financial statements as a result of this material weakness. Management concluded that it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 for Material Weakness in Internal Control over Financial Reporting</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In response to the identified material weakness above, we, with the oversight of the Audit Committee,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internal control over financial reporting. Accordingly, even an effective system of internal control over financial reporting can only provide reasonable assurance with respect to financial statement preparation and presentation in accordance with U.S. GAAP. Our internal controls over financial reporting are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 inadequate because of changes in conditions and the risk that the degree of compliance with policies or procedures may deteriorate over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See the risk factors previously disclosed in Item 1A of our Annual Report on Form 10-K for the year ended December 31, 2023. There have been no material changes from the risk factors previously disclosed in such filings.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During the quarter ended June 30, 2024, no director or officer adopted or terminated any contract, instrument or written plan for the purchase or sale of Cartesian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gridSpan w:val="7"/>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4"/>
                <w:szCs w:val="14"/>
                <w:color w:val="auto"/>
              </w:rPr>
            </w:pPr>
          </w:p>
        </w:tc>
        <w:tc>
          <w:tcPr>
            <w:tcW w:w="5540" w:type="dxa"/>
            <w:vAlign w:val="bottom"/>
            <w:gridSpan w:val="9"/>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14"/>
                <w:szCs w:val="14"/>
                <w:color w:val="auto"/>
              </w:rPr>
            </w:pPr>
          </w:p>
        </w:tc>
        <w:tc>
          <w:tcPr>
            <w:tcW w:w="7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120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21"/>
                <w:szCs w:val="21"/>
                <w:color w:val="auto"/>
              </w:rPr>
            </w:pPr>
          </w:p>
        </w:tc>
        <w:tc>
          <w:tcPr>
            <w:tcW w:w="5540" w:type="dxa"/>
            <w:vAlign w:val="bottom"/>
            <w:gridSpan w:val="9"/>
            <w:vMerge w:val="continue"/>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82"/>
        </w:trPr>
        <w:tc>
          <w:tcPr>
            <w:tcW w:w="760" w:type="dxa"/>
            <w:vAlign w:val="bottom"/>
            <w:tcBorders>
              <w:top w:val="single" w:sz="8" w:color="auto"/>
            </w:tcBorders>
            <w:gridSpan w:val="4"/>
          </w:tcPr>
          <w:p>
            <w:pPr>
              <w:jc w:val="center"/>
              <w:ind w:left="270"/>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5540" w:type="dxa"/>
            <w:vAlign w:val="bottom"/>
            <w:tcBorders>
              <w:top w:val="single" w:sz="8" w:color="auto"/>
            </w:tcBorders>
            <w:gridSpan w:val="9"/>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5"/>
                <w:szCs w:val="15"/>
                <w:color w:val="auto"/>
              </w:rPr>
            </w:pPr>
          </w:p>
        </w:tc>
        <w:tc>
          <w:tcPr>
            <w:tcW w:w="78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Selecta Biosciences, Inc., Sakura Merger Sub I, Inc., Sakura Merger Sub</w:t>
              </w:r>
            </w:hyperlink>
          </w:p>
        </w:tc>
        <w:tc>
          <w:tcPr>
            <w:tcW w:w="260" w:type="dxa"/>
            <w:vAlign w:val="bottom"/>
            <w:gridSpan w:val="2"/>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2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LLC, and Cartesian Therapeutics, Inc.</w:t>
              </w:r>
            </w:hyperlink>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860" w:type="dxa"/>
            <w:vAlign w:val="bottom"/>
            <w:gridSpan w:val="6"/>
          </w:tcPr>
          <w:p>
            <w:pPr>
              <w:jc w:val="center"/>
              <w:ind w:right="44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40" w:type="dxa"/>
            <w:vAlign w:val="bottom"/>
          </w:tcPr>
          <w:p>
            <w:pPr>
              <w:spacing w:after="0"/>
              <w:rPr>
                <w:sz w:val="18"/>
                <w:szCs w:val="18"/>
                <w:color w:val="auto"/>
              </w:rPr>
            </w:pPr>
          </w:p>
        </w:tc>
        <w:tc>
          <w:tcPr>
            <w:tcW w:w="5540" w:type="dxa"/>
            <w:vAlign w:val="bottom"/>
            <w:gridSpan w:val="9"/>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6/29/2016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7"/>
          </w:tcPr>
          <w:p>
            <w:pPr>
              <w:jc w:val="center"/>
              <w:ind w:right="80"/>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40" w:type="dxa"/>
            <w:vAlign w:val="bottom"/>
          </w:tcPr>
          <w:p>
            <w:pPr>
              <w:spacing w:after="0"/>
              <w:rPr>
                <w:sz w:val="18"/>
                <w:szCs w:val="18"/>
                <w:color w:val="auto"/>
              </w:rPr>
            </w:pPr>
          </w:p>
        </w:tc>
        <w:tc>
          <w:tcPr>
            <w:tcW w:w="5540" w:type="dxa"/>
            <w:vAlign w:val="bottom"/>
            <w:gridSpan w:val="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0" w:type="dxa"/>
            <w:vAlign w:val="bottom"/>
          </w:tcPr>
          <w:p>
            <w:pPr>
              <w:spacing w:after="0"/>
              <w:rPr>
                <w:sz w:val="1"/>
                <w:szCs w:val="1"/>
                <w:color w:val="auto"/>
              </w:rPr>
            </w:pPr>
          </w:p>
        </w:tc>
      </w:tr>
      <w:tr>
        <w:trPr>
          <w:trHeight w:val="155"/>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860" w:type="dxa"/>
            <w:vAlign w:val="bottom"/>
            <w:gridSpan w:val="6"/>
          </w:tcPr>
          <w:p>
            <w:pPr>
              <w:jc w:val="center"/>
              <w:ind w:right="440"/>
              <w:spacing w:after="0"/>
              <w:rPr>
                <w:rFonts w:ascii="Times New Roman" w:cs="Times New Roman" w:eastAsia="Times New Roman" w:hAnsi="Times New Roman"/>
                <w:sz w:val="18"/>
                <w:szCs w:val="18"/>
                <w:color w:val="0000FF"/>
                <w:w w:val="98"/>
              </w:rPr>
            </w:pPr>
            <w:hyperlink r:id="rId64">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1(c)</w:t>
              </w:r>
            </w:hyperlink>
          </w:p>
        </w:tc>
        <w:tc>
          <w:tcPr>
            <w:tcW w:w="40" w:type="dxa"/>
            <w:vAlign w:val="bottom"/>
          </w:tcPr>
          <w:p>
            <w:pPr>
              <w:spacing w:after="0"/>
              <w:rPr>
                <w:sz w:val="19"/>
                <w:szCs w:val="19"/>
                <w:color w:val="auto"/>
              </w:rPr>
            </w:pPr>
          </w:p>
        </w:tc>
        <w:tc>
          <w:tcPr>
            <w:tcW w:w="5540" w:type="dxa"/>
            <w:vAlign w:val="bottom"/>
            <w:gridSpan w:val="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2"/>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7"/>
          </w:tcPr>
          <w:p>
            <w:pPr>
              <w:jc w:val="center"/>
              <w:ind w:right="80"/>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1(d)</w:t>
              </w:r>
            </w:hyperlink>
          </w:p>
        </w:tc>
        <w:tc>
          <w:tcPr>
            <w:tcW w:w="40" w:type="dxa"/>
            <w:vAlign w:val="bottom"/>
          </w:tcPr>
          <w:p>
            <w:pPr>
              <w:spacing w:after="0"/>
              <w:rPr>
                <w:sz w:val="19"/>
                <w:szCs w:val="19"/>
                <w:color w:val="auto"/>
              </w:rPr>
            </w:pPr>
          </w:p>
        </w:tc>
        <w:tc>
          <w:tcPr>
            <w:tcW w:w="5540" w:type="dxa"/>
            <w:vAlign w:val="bottom"/>
            <w:gridSpan w:val="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Certificate of Amendment to the Restated Certificate of Incorporation, as</w:t>
              </w:r>
            </w:hyperlink>
          </w:p>
        </w:tc>
        <w:tc>
          <w:tcPr>
            <w:tcW w:w="120" w:type="dxa"/>
            <w:vAlign w:val="bottom"/>
          </w:tcPr>
          <w:p>
            <w:pPr>
              <w:spacing w:after="0"/>
              <w:rPr>
                <w:sz w:val="19"/>
                <w:szCs w:val="19"/>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amended, of Cartesian Therapeutics, Inc., dated March 28, 2024.</w:t>
              </w:r>
            </w:hyperlink>
          </w:p>
        </w:tc>
        <w:tc>
          <w:tcPr>
            <w:tcW w:w="600" w:type="dxa"/>
            <w:vAlign w:val="bottom"/>
            <w:tcBorders>
              <w:top w:val="single" w:sz="8" w:color="0000FF"/>
            </w:tcBorders>
            <w:gridSpan w:val="2"/>
          </w:tcPr>
          <w:p>
            <w:pPr>
              <w:spacing w:after="0"/>
              <w:rPr>
                <w:sz w:val="13"/>
                <w:szCs w:val="13"/>
                <w:color w:val="auto"/>
              </w:rPr>
            </w:pPr>
          </w:p>
        </w:tc>
        <w:tc>
          <w:tcPr>
            <w:tcW w:w="2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220" w:type="dxa"/>
        <w:tblCellMar>
          <w:top w:w="0" w:type="dxa"/>
          <w:left w:w="0" w:type="dxa"/>
          <w:bottom w:w="0" w:type="dxa"/>
          <w:right w:w="0" w:type="dxa"/>
        </w:tblCellMar>
      </w:tblPr>
      <w:tr>
        <w:trPr>
          <w:trHeight w:val="207"/>
        </w:trPr>
        <w:tc>
          <w:tcPr>
            <w:tcW w:w="220" w:type="dxa"/>
            <w:vAlign w:val="bottom"/>
            <w:gridSpan w:val="2"/>
          </w:tcPr>
          <w:p>
            <w:pPr>
              <w:spacing w:after="0"/>
              <w:rPr>
                <w:sz w:val="17"/>
                <w:szCs w:val="17"/>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6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Amended and Restated By-laws of Cartesian Therapeutics, Inc.</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880" w:type="dxa"/>
            <w:vAlign w:val="bottom"/>
            <w:gridSpan w:val="5"/>
          </w:tcPr>
          <w:p>
            <w:pPr>
              <w:jc w:val="center"/>
              <w:ind w:right="460"/>
              <w:spacing w:after="0"/>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1(a)</w:t>
              </w:r>
            </w:hyperlink>
          </w:p>
        </w:tc>
        <w:tc>
          <w:tcPr>
            <w:tcW w:w="5700" w:type="dxa"/>
            <w:vAlign w:val="bottom"/>
            <w:gridSpan w:val="25"/>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Certificate of Designation of Preferences, Rights and Limitations of Series</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0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A Non-Voting Convertible Preferred Stock</w:t>
              </w:r>
            </w:hyperlink>
          </w:p>
        </w:tc>
        <w:tc>
          <w:tcPr>
            <w:tcW w:w="22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gridSpan w:val="6"/>
          </w:tcPr>
          <w:p>
            <w:pPr>
              <w:jc w:val="center"/>
              <w:ind w:right="320"/>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1(b)</w:t>
              </w:r>
            </w:hyperlink>
          </w:p>
        </w:tc>
        <w:tc>
          <w:tcPr>
            <w:tcW w:w="5700" w:type="dxa"/>
            <w:vAlign w:val="bottom"/>
            <w:gridSpan w:val="25"/>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Certificate of Amendment to the Certificate of Designation of Series A Non-</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Voting Convertible Preferred Stock, dated March 26, 2024.</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gridSpan w:val="3"/>
          </w:tcPr>
          <w:p>
            <w:pPr>
              <w:jc w:val="center"/>
              <w:ind w:left="130"/>
              <w:spacing w:after="0"/>
              <w:rPr>
                <w:rFonts w:ascii="Times New Roman" w:cs="Times New Roman" w:eastAsia="Times New Roman" w:hAnsi="Times New Roman"/>
                <w:sz w:val="18"/>
                <w:szCs w:val="18"/>
                <w:color w:val="0000FF"/>
                <w:w w:val="97"/>
              </w:rPr>
            </w:pPr>
            <w:hyperlink r:id="rId6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Certificate of Designation of Preferences, Rights and Limitations of Series B</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9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69">
              <w:r>
                <w:rPr>
                  <w:rFonts w:ascii="Times New Roman" w:cs="Times New Roman" w:eastAsia="Times New Roman" w:hAnsi="Times New Roman"/>
                  <w:sz w:val="18"/>
                  <w:szCs w:val="18"/>
                  <w:color w:val="0000FF"/>
                  <w:w w:val="98"/>
                </w:rPr>
                <w:t>Non-Voting Convertible Preferred Stock</w:t>
              </w:r>
            </w:hyperlink>
          </w:p>
        </w:tc>
        <w:tc>
          <w:tcPr>
            <w:tcW w:w="2620" w:type="dxa"/>
            <w:vAlign w:val="bottom"/>
            <w:tcBorders>
              <w:top w:val="single" w:sz="8" w:color="0000FF"/>
            </w:tcBorders>
            <w:gridSpan w:val="17"/>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20" w:type="dxa"/>
            <w:vAlign w:val="bottom"/>
            <w:gridSpan w:val="2"/>
          </w:tcPr>
          <w:p>
            <w:pPr>
              <w:spacing w:after="0"/>
              <w:rPr>
                <w:sz w:val="19"/>
                <w:szCs w:val="19"/>
                <w:color w:val="auto"/>
              </w:rPr>
            </w:pPr>
          </w:p>
        </w:tc>
        <w:tc>
          <w:tcPr>
            <w:tcW w:w="220" w:type="dxa"/>
            <w:vAlign w:val="bottom"/>
          </w:tcPr>
          <w:p>
            <w:pPr>
              <w:jc w:val="center"/>
              <w:spacing w:after="0"/>
              <w:rPr>
                <w:rFonts w:ascii="Times New Roman" w:cs="Times New Roman" w:eastAsia="Times New Roman" w:hAnsi="Times New Roman"/>
                <w:sz w:val="18"/>
                <w:szCs w:val="18"/>
                <w:color w:val="0000FF"/>
                <w:w w:val="97"/>
              </w:rPr>
            </w:pPr>
            <w:hyperlink r:id="rId7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Form of Registration Rights Agreement</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4"/>
          </w:tcPr>
          <w:p>
            <w:pPr>
              <w:jc w:val="center"/>
              <w:ind w:left="50"/>
              <w:spacing w:after="0"/>
              <w:rPr>
                <w:rFonts w:ascii="Times New Roman" w:cs="Times New Roman" w:eastAsia="Times New Roman" w:hAnsi="Times New Roman"/>
                <w:sz w:val="18"/>
                <w:szCs w:val="18"/>
                <w:color w:val="0000FF"/>
                <w:w w:val="98"/>
              </w:rPr>
            </w:pPr>
            <w:hyperlink r:id="rId7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Cartesian Therapeutics, Inc. 2016 Incentive Award</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333-281204</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Plan and form of agreements thereunder</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4"/>
          </w:tcPr>
          <w:p>
            <w:pPr>
              <w:jc w:val="center"/>
              <w:ind w:left="50"/>
              <w:spacing w:after="0"/>
              <w:rPr>
                <w:rFonts w:ascii="Times New Roman" w:cs="Times New Roman" w:eastAsia="Times New Roman" w:hAnsi="Times New Roman"/>
                <w:sz w:val="18"/>
                <w:szCs w:val="18"/>
                <w:color w:val="0000FF"/>
                <w:w w:val="98"/>
              </w:rPr>
            </w:pPr>
            <w:hyperlink r:id="rId7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Non-Employee Director Compensation Program</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333-281204</w:t>
            </w:r>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0" w:type="dxa"/>
            <w:vAlign w:val="bottom"/>
            <w:gridSpan w:val="4"/>
          </w:tcPr>
          <w:p>
            <w:pPr>
              <w:jc w:val="center"/>
              <w:ind w:left="50"/>
              <w:spacing w:after="0"/>
              <w:rPr>
                <w:rFonts w:ascii="Times New Roman" w:cs="Times New Roman" w:eastAsia="Times New Roman" w:hAnsi="Times New Roman"/>
                <w:sz w:val="18"/>
                <w:szCs w:val="18"/>
                <w:color w:val="0000FF"/>
                <w:w w:val="98"/>
              </w:rPr>
            </w:pPr>
            <w:hyperlink r:id="rId7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w:t>
              </w:r>
            </w:hyperlink>
            <w:r>
              <w:rPr>
                <w:rFonts w:ascii="Times New Roman" w:cs="Times New Roman" w:eastAsia="Times New Roman" w:hAnsi="Times New Roman"/>
                <w:sz w:val="18"/>
                <w:szCs w:val="18"/>
                <w:color w:val="000000"/>
                <w:w w:val="98"/>
              </w:rPr>
              <w: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2018 Inducement Incentive Award Plan and form of</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333-281204</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agreements thereunder</w:t>
              </w:r>
            </w:hyperlink>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4"/>
          </w:tcPr>
          <w:p>
            <w:pPr>
              <w:jc w:val="center"/>
              <w:ind w:left="50"/>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5"/>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Securities Purchase Agreement, dated as of July 2, 2024, by and between</w:t>
              </w:r>
            </w:hyperlink>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001-37798</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Cartesian Therapeutics, Inc. and each purchaser identified on Annex A</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20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1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thereto</w:t>
              </w:r>
            </w:hyperlink>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8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8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28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36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340" w:type="dxa"/>
            <w:vAlign w:val="bottom"/>
            <w:gridSpan w:val="8"/>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gridSpan w:val="6"/>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380" w:type="dxa"/>
            <w:vAlign w:val="bottom"/>
            <w:gridSpan w:val="2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6"/>
          </w:tcPr>
          <w:p>
            <w:pPr>
              <w:jc w:val="center"/>
              <w:ind w:right="320"/>
              <w:spacing w:after="0" w:line="196" w:lineRule="exact"/>
              <w:rPr>
                <w:sz w:val="20"/>
                <w:szCs w:val="20"/>
                <w:color w:val="auto"/>
              </w:rPr>
            </w:pPr>
            <w:r>
              <w:rPr>
                <w:rFonts w:ascii="Times New Roman" w:cs="Times New Roman" w:eastAsia="Times New Roman" w:hAnsi="Times New Roman"/>
                <w:sz w:val="18"/>
                <w:szCs w:val="18"/>
                <w:color w:val="auto"/>
                <w:w w:val="99"/>
              </w:rPr>
              <w:t>101.INS</w:t>
            </w:r>
          </w:p>
        </w:tc>
        <w:tc>
          <w:tcPr>
            <w:tcW w:w="57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00" w:type="dxa"/>
            <w:vAlign w:val="bottom"/>
            <w:gridSpan w:val="25"/>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color w:val="auto"/>
                <w:w w:val="99"/>
              </w:rPr>
              <w:t>101.SCH</w:t>
            </w:r>
          </w:p>
        </w:tc>
        <w:tc>
          <w:tcPr>
            <w:tcW w:w="570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234"/>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11/13/2023</w:t>
            </w:r>
          </w:p>
        </w:tc>
        <w:tc>
          <w:tcPr>
            <w:tcW w:w="0" w:type="dxa"/>
            <w:vAlign w:val="bottom"/>
          </w:tcPr>
          <w:p>
            <w:pPr>
              <w:spacing w:after="0"/>
              <w:rPr>
                <w:sz w:val="1"/>
                <w:szCs w:val="1"/>
                <w:color w:val="auto"/>
              </w:rPr>
            </w:pPr>
          </w:p>
        </w:tc>
      </w:tr>
      <w:tr>
        <w:trPr>
          <w:trHeight w:val="419"/>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3/28/2024</w:t>
            </w:r>
          </w:p>
        </w:tc>
        <w:tc>
          <w:tcPr>
            <w:tcW w:w="0" w:type="dxa"/>
            <w:vAlign w:val="bottom"/>
          </w:tcPr>
          <w:p>
            <w:pPr>
              <w:spacing w:after="0"/>
              <w:rPr>
                <w:sz w:val="1"/>
                <w:szCs w:val="1"/>
                <w:color w:val="auto"/>
              </w:rPr>
            </w:pPr>
          </w:p>
        </w:tc>
      </w:tr>
      <w:tr>
        <w:trPr>
          <w:trHeight w:val="418"/>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414"/>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r>
        <w:trPr>
          <w:trHeight w:val="234"/>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8/2/2024</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8/2/2024</w:t>
            </w:r>
          </w:p>
        </w:tc>
        <w:tc>
          <w:tcPr>
            <w:tcW w:w="0" w:type="dxa"/>
            <w:vAlign w:val="bottom"/>
          </w:tcPr>
          <w:p>
            <w:pPr>
              <w:spacing w:after="0"/>
              <w:rPr>
                <w:sz w:val="1"/>
                <w:szCs w:val="1"/>
                <w:color w:val="auto"/>
              </w:rPr>
            </w:pPr>
          </w:p>
        </w:tc>
      </w:tr>
      <w:tr>
        <w:trPr>
          <w:trHeight w:val="108"/>
        </w:trPr>
        <w:tc>
          <w:tcPr>
            <w:tcW w:w="6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10.3</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0" w:type="dxa"/>
            <w:vAlign w:val="bottom"/>
            <w:vMerge w:val="continue"/>
          </w:tcPr>
          <w:p>
            <w:pPr>
              <w:spacing w:after="0"/>
              <w:rPr>
                <w:sz w:val="19"/>
                <w:szCs w:val="19"/>
                <w:color w:val="auto"/>
              </w:rPr>
            </w:pPr>
          </w:p>
        </w:tc>
        <w:tc>
          <w:tcPr>
            <w:tcW w:w="11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8/2/2024</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7/2/2024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780" w:hanging="651"/>
        <w:spacing w:after="0"/>
        <w:tabs>
          <w:tab w:leader="none" w:pos="78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Filed herewith</w:t>
      </w:r>
    </w:p>
    <w:p>
      <w:pPr>
        <w:spacing w:after="0" w:line="203" w:lineRule="exact"/>
        <w:rPr>
          <w:rFonts w:ascii="Times New Roman" w:cs="Times New Roman" w:eastAsia="Times New Roman" w:hAnsi="Times New Roman"/>
          <w:sz w:val="34"/>
          <w:szCs w:val="34"/>
          <w:color w:val="auto"/>
          <w:vertAlign w:val="superscript"/>
        </w:rPr>
      </w:pPr>
    </w:p>
    <w:p>
      <w:pPr>
        <w:ind w:left="780" w:hanging="651"/>
        <w:spacing w:after="0"/>
        <w:tabs>
          <w:tab w:leader="none" w:pos="78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Filed herewith</w:t>
      </w:r>
    </w:p>
    <w:p>
      <w:pPr>
        <w:spacing w:after="0" w:line="240" w:lineRule="exact"/>
        <w:rPr>
          <w:rFonts w:ascii="Times New Roman" w:cs="Times New Roman" w:eastAsia="Times New Roman" w:hAnsi="Times New Roman"/>
          <w:sz w:val="34"/>
          <w:szCs w:val="34"/>
          <w:color w:val="auto"/>
          <w:vertAlign w:val="superscript"/>
        </w:rPr>
      </w:pPr>
    </w:p>
    <w:p>
      <w:pPr>
        <w:ind w:left="940" w:hanging="811"/>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herewith</w:t>
      </w:r>
    </w:p>
    <w:p>
      <w:pPr>
        <w:spacing w:after="0" w:line="142" w:lineRule="exact"/>
        <w:rPr>
          <w:rFonts w:ascii="Times New Roman" w:cs="Times New Roman" w:eastAsia="Times New Roman" w:hAnsi="Times New Roman"/>
          <w:sz w:val="18"/>
          <w:szCs w:val="18"/>
          <w:color w:val="auto"/>
        </w:rPr>
      </w:pPr>
    </w:p>
    <w:p>
      <w:pPr>
        <w:ind w:left="780" w:hanging="651"/>
        <w:spacing w:after="0"/>
        <w:tabs>
          <w:tab w:leader="none" w:pos="78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Filed herewith</w:t>
      </w:r>
    </w:p>
    <w:p>
      <w:pPr>
        <w:spacing w:after="0" w:line="203" w:lineRule="exact"/>
        <w:rPr>
          <w:rFonts w:ascii="Times New Roman" w:cs="Times New Roman" w:eastAsia="Times New Roman" w:hAnsi="Times New Roman"/>
          <w:sz w:val="34"/>
          <w:szCs w:val="34"/>
          <w:color w:val="auto"/>
          <w:vertAlign w:val="superscript"/>
        </w:rPr>
      </w:pPr>
    </w:p>
    <w:p>
      <w:pPr>
        <w:ind w:left="780" w:hanging="651"/>
        <w:spacing w:after="0"/>
        <w:tabs>
          <w:tab w:leader="none" w:pos="78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ectPr>
          <w:pgSz w:w="11900" w:h="16838" w:orient="portrait"/>
          <w:cols w:equalWidth="0" w:num="2">
            <w:col w:w="8760" w:space="620"/>
            <w:col w:w="1860"/>
          </w:cols>
          <w:pgMar w:left="320" w:top="121"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60" w:type="dxa"/>
            <w:vAlign w:val="bottom"/>
            <w:vMerge w:val="continue"/>
          </w:tcPr>
          <w:p>
            <w:pPr>
              <w:spacing w:after="0"/>
              <w:rPr>
                <w:sz w:val="19"/>
                <w:szCs w:val="19"/>
                <w:color w:val="auto"/>
              </w:rPr>
            </w:pPr>
          </w:p>
        </w:tc>
        <w:tc>
          <w:tcPr>
            <w:tcW w:w="58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08"/>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8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060" w:type="dxa"/>
            <w:vAlign w:val="bottom"/>
            <w:vMerge w:val="continue"/>
          </w:tcPr>
          <w:p>
            <w:pPr>
              <w:spacing w:after="0"/>
              <w:rPr>
                <w:sz w:val="15"/>
                <w:szCs w:val="15"/>
                <w:color w:val="auto"/>
              </w:rPr>
            </w:pPr>
          </w:p>
        </w:tc>
        <w:tc>
          <w:tcPr>
            <w:tcW w:w="5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5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 Exhibit 101)</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1060" w:type="dxa"/>
            <w:vAlign w:val="bottom"/>
          </w:tcPr>
          <w:p>
            <w:pPr>
              <w:spacing w:after="0"/>
              <w:rPr>
                <w:sz w:val="6"/>
                <w:szCs w:val="6"/>
                <w:color w:val="auto"/>
              </w:rPr>
            </w:pPr>
          </w:p>
        </w:tc>
        <w:tc>
          <w:tcPr>
            <w:tcW w:w="58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82" w:lineRule="auto"/>
        <w:tabs>
          <w:tab w:leader="none" w:pos="1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President and Chief Executive Officer, and Director</w:t>
            </w:r>
          </w:p>
        </w:tc>
      </w:tr>
      <w:tr>
        <w:trPr>
          <w:trHeight w:val="236"/>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71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2024</w:t>
            </w:r>
          </w:p>
        </w:tc>
        <w:tc>
          <w:tcPr>
            <w:tcW w:w="26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Blaine Davis</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r>
      <w:tr>
        <w:trPr>
          <w:trHeight w:val="229"/>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August 8, 2024</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bl>
    <w:p>
      <w:pPr>
        <w:sectPr>
          <w:pgSz w:w="11900" w:h="16838" w:orient="portrait"/>
          <w:cols w:equalWidth="0" w:num="1">
            <w:col w:w="11240"/>
          </w:cols>
          <w:pgMar w:left="320" w:top="76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Blaine Davis, certify that:</w:t>
      </w:r>
    </w:p>
    <w:p>
      <w:pPr>
        <w:spacing w:after="0" w:line="229"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C2C2C"/>
              </w:rPr>
              <w:t>August 8, 2024</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r>
      <w:tr>
        <w:trPr>
          <w:trHeight w:val="256"/>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ectPr>
          <w:pgSz w:w="11900" w:h="16838" w:orient="portrait"/>
          <w:cols w:equalWidth="0" w:num="1">
            <w:col w:w="11240"/>
          </w:cols>
          <w:pgMar w:left="320" w:top="76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Quarterly Report on Form 10-Q of Cartesian Therapeutics, Inc. (the “Company”) for the period ended June 30, 2024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right="480" w:hanging="328"/>
        <w:spacing w:after="0" w:line="283" w:lineRule="auto"/>
        <w:tabs>
          <w:tab w:leader="none" w:pos="67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June 30, 2024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August 8, 2024</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August 8, 2024</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c>
          <w:tcPr>
            <w:tcW w:w="20" w:type="dxa"/>
            <w:vAlign w:val="bottom"/>
          </w:tcPr>
          <w:p>
            <w:pPr>
              <w:spacing w:after="0"/>
              <w:rPr>
                <w:sz w:val="20"/>
                <w:szCs w:val="20"/>
                <w:color w:val="auto"/>
              </w:rPr>
            </w:pP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pacing w:after="0" w:line="1" w:lineRule="exact"/>
        <w:rPr>
          <w:sz w:val="20"/>
          <w:szCs w:val="20"/>
          <w:color w:val="auto"/>
        </w:rPr>
      </w:pP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1."/>
      <w:numFmt w:val="decimal"/>
      <w:start w:val="15"/>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61" Type="http://schemas.openxmlformats.org/officeDocument/2006/relationships/hyperlink" Target="https://www.sec.gov/Archives/edgar/data/1453687/000119312523275461/d869185dex21.htm" TargetMode="External"/><Relationship Id="rId62" Type="http://schemas.openxmlformats.org/officeDocument/2006/relationships/hyperlink" Target="https://www.sec.gov/Archives/edgar/data/1453687/000110465916129891/a16-14002_1ex3d1.htm" TargetMode="External"/><Relationship Id="rId63" Type="http://schemas.openxmlformats.org/officeDocument/2006/relationships/hyperlink" Target="https://www.sec.gov/Archives/edgar/data/0001453687/000145368722000109/exhibit31_charteramendment.htm" TargetMode="External"/><Relationship Id="rId64" Type="http://schemas.openxmlformats.org/officeDocument/2006/relationships/hyperlink" Target="https://www.sec.gov/Archives/edgar/data/1453687/000119312523275461/d869185dex33.htm" TargetMode="External"/><Relationship Id="rId65" Type="http://schemas.openxmlformats.org/officeDocument/2006/relationships/hyperlink" Target="https://www.sec.gov/Archives/edgar/data/1453687/000145368724000048/exhibit32certificateofamen.htm" TargetMode="External"/><Relationship Id="rId66" Type="http://schemas.openxmlformats.org/officeDocument/2006/relationships/hyperlink" Target="https://www.sec.gov/Archives/edgar/data/1453687/000119312523276086/d549858dex32.htm" TargetMode="External"/><Relationship Id="rId67" Type="http://schemas.openxmlformats.org/officeDocument/2006/relationships/hyperlink" Target="https://www.sec.gov/Archives/edgar/data/1453687/000119312523275461/d869185dex34.htm" TargetMode="External"/><Relationship Id="rId68" Type="http://schemas.openxmlformats.org/officeDocument/2006/relationships/hyperlink" Target="https://www.sec.gov/Archives/edgar/data/1453687/000145368724000048/exhibit31certificateofamen.htm" TargetMode="External"/><Relationship Id="rId69" Type="http://schemas.openxmlformats.org/officeDocument/2006/relationships/hyperlink" Target="https://www.sec.gov/Archives/edgar/data/1453687/000114036124032080/ef20031962_ex3-1.htm" TargetMode="External"/><Relationship Id="rId70" Type="http://schemas.openxmlformats.org/officeDocument/2006/relationships/hyperlink" Target="https://www.sec.gov/Archives/edgar/data/1453687/000114036124032080/ef20031962_ex10-2.htm" TargetMode="External"/><Relationship Id="rId71" Type="http://schemas.openxmlformats.org/officeDocument/2006/relationships/hyperlink" Target="https://www.sec.gov/Archives/edgar/data/0001453687/000114036124035433/ny20033174x1_ex10-1.htm" TargetMode="External"/><Relationship Id="rId72" Type="http://schemas.openxmlformats.org/officeDocument/2006/relationships/hyperlink" Target="https://www.sec.gov/Archives/edgar/data/0001453687/000114036124035433/ny20033174x1_ex10-6.htm" TargetMode="External"/><Relationship Id="rId73" Type="http://schemas.openxmlformats.org/officeDocument/2006/relationships/hyperlink" Target="https://www.sec.gov/Archives/edgar/data/0001453687/000114036124035433/ny20033174x1_ex10-3.htm" TargetMode="External"/><Relationship Id="rId74" Type="http://schemas.openxmlformats.org/officeDocument/2006/relationships/hyperlink" Target="https://www.sec.gov/Archives/edgar/data/1453687/000114036124032080/ef2003196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2024-08-08T06:20:39Z</dcterms:created>
  <dcterms:modified xsi:type="dcterms:W3CDTF">2024-08-08T06:20:39Z</dcterms:modified>
</cp:coreProperties>
</file>