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91" w:lineRule="exact"/>
        <w:rPr>
          <w:sz w:val="24"/>
          <w:szCs w:val="24"/>
          <w:color w:val="auto"/>
        </w:rPr>
      </w:pPr>
    </w:p>
    <w:p>
      <w:pPr>
        <w:ind w:left="3980" w:right="1540" w:hanging="3715"/>
        <w:spacing w:after="0" w:line="274" w:lineRule="auto"/>
        <w:tabs>
          <w:tab w:leader="none" w:pos="73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760" w:type="dxa"/>
        <w:tblCellMar>
          <w:top w:w="0" w:type="dxa"/>
          <w:left w:w="0" w:type="dxa"/>
          <w:bottom w:w="0" w:type="dxa"/>
          <w:right w:w="0" w:type="dxa"/>
        </w:tblCellMar>
      </w:tblPr>
      <w:tr>
        <w:trPr>
          <w:trHeight w:val="234"/>
        </w:trPr>
        <w:tc>
          <w:tcPr>
            <w:tcW w:w="362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810"/>
              <w:spacing w:after="0"/>
              <w:rPr>
                <w:sz w:val="20"/>
                <w:szCs w:val="20"/>
                <w:color w:val="auto"/>
              </w:rPr>
            </w:pPr>
            <w:r>
              <w:rPr>
                <w:rFonts w:ascii="Arial" w:cs="Arial" w:eastAsia="Arial" w:hAnsi="Arial"/>
                <w:sz w:val="18"/>
                <w:szCs w:val="18"/>
                <w:b w:val="1"/>
                <w:bCs w:val="1"/>
                <w:color w:val="auto"/>
              </w:rPr>
              <w:t>26-1622110</w:t>
            </w:r>
          </w:p>
        </w:tc>
      </w:tr>
      <w:tr>
        <w:trPr>
          <w:trHeight w:val="269"/>
        </w:trPr>
        <w:tc>
          <w:tcPr>
            <w:tcW w:w="3620" w:type="dxa"/>
            <w:vAlign w:val="bottom"/>
          </w:tcPr>
          <w:p>
            <w:pPr>
              <w:jc w:val="center"/>
              <w:ind w:right="430"/>
              <w:spacing w:after="0"/>
              <w:rPr>
                <w:sz w:val="20"/>
                <w:szCs w:val="20"/>
                <w:color w:val="auto"/>
              </w:rPr>
            </w:pPr>
            <w:r>
              <w:rPr>
                <w:rFonts w:ascii="Arial" w:cs="Arial" w:eastAsia="Arial" w:hAnsi="Arial"/>
                <w:sz w:val="18"/>
                <w:szCs w:val="18"/>
                <w:color w:val="auto"/>
                <w:w w:val="92"/>
              </w:rPr>
              <w:t>(State or other jurisdiction of incorporation</w:t>
            </w:r>
          </w:p>
        </w:tc>
        <w:tc>
          <w:tcPr>
            <w:tcW w:w="3120" w:type="dxa"/>
            <w:vAlign w:val="bottom"/>
          </w:tcPr>
          <w:p>
            <w:pPr>
              <w:jc w:val="center"/>
              <w:ind w:left="43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620" w:type="dxa"/>
            <w:vAlign w:val="bottom"/>
          </w:tcPr>
          <w:p>
            <w:pPr>
              <w:jc w:val="center"/>
              <w:ind w:right="430"/>
              <w:spacing w:after="0"/>
              <w:rPr>
                <w:sz w:val="20"/>
                <w:szCs w:val="20"/>
                <w:color w:val="auto"/>
              </w:rPr>
            </w:pPr>
            <w:r>
              <w:rPr>
                <w:rFonts w:ascii="Arial" w:cs="Arial" w:eastAsia="Arial" w:hAnsi="Arial"/>
                <w:sz w:val="18"/>
                <w:szCs w:val="18"/>
                <w:color w:val="auto"/>
                <w:w w:val="91"/>
              </w:rPr>
              <w:t>or organization)</w:t>
            </w:r>
          </w:p>
        </w:tc>
        <w:tc>
          <w:tcPr>
            <w:tcW w:w="3120" w:type="dxa"/>
            <w:vAlign w:val="bottom"/>
          </w:tcPr>
          <w:p>
            <w:pPr>
              <w:spacing w:after="0"/>
              <w:rPr>
                <w:sz w:val="20"/>
                <w:szCs w:val="20"/>
                <w:color w:val="auto"/>
              </w:rPr>
            </w:pPr>
          </w:p>
        </w:tc>
      </w:tr>
      <w:tr>
        <w:trPr>
          <w:trHeight w:val="405"/>
        </w:trPr>
        <w:tc>
          <w:tcPr>
            <w:tcW w:w="3620" w:type="dxa"/>
            <w:vAlign w:val="bottom"/>
          </w:tcPr>
          <w:p>
            <w:pPr>
              <w:spacing w:after="0"/>
              <w:rPr>
                <w:sz w:val="20"/>
                <w:szCs w:val="20"/>
                <w:color w:val="auto"/>
              </w:rPr>
            </w:pPr>
            <w:r>
              <w:rPr>
                <w:rFonts w:ascii="Arial" w:cs="Arial" w:eastAsia="Arial" w:hAnsi="Arial"/>
                <w:sz w:val="18"/>
                <w:szCs w:val="18"/>
                <w:b w:val="1"/>
                <w:bCs w:val="1"/>
                <w:color w:val="auto"/>
              </w:rPr>
              <w:t>480 Arsenal Way  Watertown MA</w:t>
            </w:r>
          </w:p>
        </w:tc>
        <w:tc>
          <w:tcPr>
            <w:tcW w:w="312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02472</w:t>
            </w:r>
          </w:p>
        </w:tc>
      </w:tr>
      <w:tr>
        <w:trPr>
          <w:trHeight w:val="284"/>
        </w:trPr>
        <w:tc>
          <w:tcPr>
            <w:tcW w:w="36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312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r>
    </w:tbl>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4500" w:type="dxa"/>
            <w:vAlign w:val="bottom"/>
          </w:tcPr>
          <w:p>
            <w:pPr>
              <w:jc w:val="center"/>
              <w:ind w:right="90"/>
              <w:spacing w:after="0"/>
              <w:rPr>
                <w:sz w:val="20"/>
                <w:szCs w:val="20"/>
                <w:color w:val="auto"/>
              </w:rPr>
            </w:pPr>
            <w:r>
              <w:rPr>
                <w:rFonts w:ascii="Arial" w:cs="Arial" w:eastAsia="Arial" w:hAnsi="Arial"/>
                <w:sz w:val="18"/>
                <w:szCs w:val="18"/>
                <w:color w:val="auto"/>
                <w:w w:val="89"/>
              </w:rPr>
              <w:t>Name of each exchange on which registered</w:t>
            </w:r>
          </w:p>
        </w:tc>
      </w:tr>
      <w:tr>
        <w:trPr>
          <w:trHeight w:val="270"/>
        </w:trPr>
        <w:tc>
          <w:tcPr>
            <w:tcW w:w="4440" w:type="dxa"/>
            <w:vAlign w:val="bottom"/>
          </w:tcPr>
          <w:p>
            <w:pPr>
              <w:jc w:val="center"/>
              <w:ind w:left="70"/>
              <w:spacing w:after="0"/>
              <w:rPr>
                <w:sz w:val="20"/>
                <w:szCs w:val="20"/>
                <w:color w:val="auto"/>
              </w:rPr>
            </w:pPr>
            <w:r>
              <w:rPr>
                <w:rFonts w:ascii="Arial" w:cs="Arial" w:eastAsia="Arial" w:hAnsi="Arial"/>
                <w:sz w:val="18"/>
                <w:szCs w:val="18"/>
                <w:color w:val="auto"/>
                <w:w w:val="89"/>
              </w:rPr>
              <w:t>Common Stock, $0.0001 par value per share</w:t>
            </w:r>
          </w:p>
        </w:tc>
        <w:tc>
          <w:tcPr>
            <w:tcW w:w="2480" w:type="dxa"/>
            <w:vAlign w:val="bottom"/>
          </w:tcPr>
          <w:p>
            <w:pPr>
              <w:jc w:val="center"/>
              <w:spacing w:after="0"/>
              <w:rPr>
                <w:sz w:val="20"/>
                <w:szCs w:val="20"/>
                <w:color w:val="auto"/>
              </w:rPr>
            </w:pPr>
            <w:r>
              <w:rPr>
                <w:rFonts w:ascii="Arial" w:cs="Arial" w:eastAsia="Arial" w:hAnsi="Arial"/>
                <w:sz w:val="18"/>
                <w:szCs w:val="18"/>
                <w:color w:val="auto"/>
                <w:w w:val="95"/>
              </w:rPr>
              <w:t>SELB</w:t>
            </w:r>
          </w:p>
        </w:tc>
        <w:tc>
          <w:tcPr>
            <w:tcW w:w="4500" w:type="dxa"/>
            <w:vAlign w:val="bottom"/>
          </w:tcPr>
          <w:p>
            <w:pPr>
              <w:jc w:val="center"/>
              <w:ind w:right="90"/>
              <w:spacing w:after="0"/>
              <w:rPr>
                <w:sz w:val="20"/>
                <w:szCs w:val="20"/>
                <w:color w:val="auto"/>
              </w:rPr>
            </w:pPr>
            <w:r>
              <w:rPr>
                <w:rFonts w:ascii="Arial" w:cs="Arial" w:eastAsia="Arial" w:hAnsi="Arial"/>
                <w:sz w:val="18"/>
                <w:szCs w:val="18"/>
                <w:color w:val="auto"/>
                <w:w w:val="91"/>
              </w:rPr>
              <w:t>Nasdaq Global Market</w:t>
            </w:r>
          </w:p>
        </w:tc>
      </w:tr>
      <w:tr>
        <w:trPr>
          <w:trHeight w:val="284"/>
        </w:trPr>
        <w:tc>
          <w:tcPr>
            <w:tcW w:w="4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45"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0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80" w:type="dxa"/>
        <w:tblCellMar>
          <w:top w:w="0" w:type="dxa"/>
          <w:left w:w="0" w:type="dxa"/>
          <w:bottom w:w="0" w:type="dxa"/>
          <w:right w:w="0" w:type="dxa"/>
        </w:tblCellMar>
      </w:tblPr>
      <w:tr>
        <w:trPr>
          <w:trHeight w:val="270"/>
        </w:trPr>
        <w:tc>
          <w:tcPr>
            <w:tcW w:w="2900" w:type="dxa"/>
            <w:vAlign w:val="bottom"/>
          </w:tcPr>
          <w:p>
            <w:pPr>
              <w:jc w:val="right"/>
              <w:ind w:right="115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3220" w:type="dxa"/>
            <w:vAlign w:val="bottom"/>
          </w:tcPr>
          <w:p>
            <w:pPr>
              <w:jc w:val="right"/>
              <w:spacing w:after="0" w:line="207"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8"/>
                <w:szCs w:val="18"/>
                <w:color w:val="auto"/>
              </w:rPr>
              <w:t>☒</w:t>
            </w:r>
          </w:p>
        </w:tc>
      </w:tr>
      <w:tr>
        <w:trPr>
          <w:trHeight w:val="270"/>
        </w:trPr>
        <w:tc>
          <w:tcPr>
            <w:tcW w:w="2900" w:type="dxa"/>
            <w:vAlign w:val="bottom"/>
          </w:tcPr>
          <w:p>
            <w:pPr>
              <w:jc w:val="right"/>
              <w:ind w:right="1159"/>
              <w:spacing w:after="0" w:line="184" w:lineRule="exact"/>
              <w:rPr>
                <w:sz w:val="20"/>
                <w:szCs w:val="20"/>
                <w:color w:val="auto"/>
              </w:rPr>
            </w:pPr>
            <w:r>
              <w:rPr>
                <w:rFonts w:ascii="Arial" w:cs="Arial" w:eastAsia="Arial" w:hAnsi="Arial"/>
                <w:sz w:val="16"/>
                <w:szCs w:val="16"/>
                <w:color w:val="auto"/>
                <w:w w:val="97"/>
              </w:rPr>
              <w:t xml:space="preserve">Non-accelerated filer </w:t>
            </w:r>
            <w:r>
              <w:rPr>
                <w:rFonts w:ascii="MS PGothic" w:cs="MS PGothic" w:eastAsia="MS PGothic" w:hAnsi="MS PGothic"/>
                <w:sz w:val="16"/>
                <w:szCs w:val="16"/>
                <w:color w:val="auto"/>
                <w:w w:val="97"/>
              </w:rPr>
              <w:t>☐</w:t>
            </w:r>
          </w:p>
        </w:tc>
        <w:tc>
          <w:tcPr>
            <w:tcW w:w="3220" w:type="dxa"/>
            <w:vAlign w:val="bottom"/>
          </w:tcPr>
          <w:p>
            <w:pPr>
              <w:jc w:val="right"/>
              <w:spacing w:after="0" w:line="207"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8"/>
                <w:szCs w:val="18"/>
                <w:color w:val="auto"/>
              </w:rPr>
              <w:t>☒</w:t>
            </w:r>
          </w:p>
        </w:tc>
      </w:tr>
      <w:tr>
        <w:trPr>
          <w:trHeight w:val="283"/>
        </w:trPr>
        <w:tc>
          <w:tcPr>
            <w:tcW w:w="2900" w:type="dxa"/>
            <w:vAlign w:val="bottom"/>
          </w:tcPr>
          <w:p>
            <w:pPr>
              <w:spacing w:after="0"/>
              <w:rPr>
                <w:sz w:val="24"/>
                <w:szCs w:val="24"/>
                <w:color w:val="auto"/>
              </w:rPr>
            </w:pPr>
          </w:p>
        </w:tc>
        <w:tc>
          <w:tcPr>
            <w:tcW w:w="3220" w:type="dxa"/>
            <w:vAlign w:val="bottom"/>
          </w:tcPr>
          <w:p>
            <w:pPr>
              <w:jc w:val="right"/>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tc>
      </w:tr>
    </w:tbl>
    <w:p>
      <w:pPr>
        <w:sectPr>
          <w:pgSz w:w="11900" w:h="16838" w:orient="portrait"/>
          <w:cols w:equalWidth="0" w:num="1">
            <w:col w:w="11420"/>
          </w:cols>
          <w:pgMar w:left="240" w:top="675" w:right="239" w:bottom="1440" w:gutter="0" w:footer="0" w:header="0"/>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right="208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2019, the registrant had 44,962,951 shares of common stock, par value $0.0001 per share, outstanding.</w:t>
      </w:r>
    </w:p>
    <w:p>
      <w:pPr>
        <w:sectPr>
          <w:pgSz w:w="11900" w:h="16838" w:orient="portrait"/>
          <w:cols w:equalWidth="0" w:num="1">
            <w:col w:w="11280"/>
          </w:cols>
          <w:pgMar w:left="240" w:top="80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5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74"/>
        </w:trPr>
        <w:tc>
          <w:tcPr>
            <w:tcW w:w="1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80" w:type="dxa"/>
            <w:vAlign w:val="bottom"/>
            <w:gridSpan w:val="6"/>
          </w:tcPr>
          <w:p>
            <w:pPr>
              <w:jc w:val="center"/>
              <w:ind w:right="4140"/>
              <w:spacing w:after="0"/>
              <w:rPr>
                <w:sz w:val="20"/>
                <w:szCs w:val="20"/>
                <w:color w:val="auto"/>
              </w:rPr>
            </w:pPr>
            <w:r>
              <w:rPr>
                <w:rFonts w:ascii="Arial" w:cs="Arial" w:eastAsia="Arial" w:hAnsi="Arial"/>
                <w:sz w:val="18"/>
                <w:szCs w:val="18"/>
                <w:color w:val="auto"/>
                <w:w w:val="98"/>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96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54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Consolidated Balance Sheets as of June 30, 2019 (Unaudited) and December 31, 2018</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54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w w:val="94"/>
              </w:rPr>
              <w:t>Consolidated Statements of Operations and Comprehensive Loss for the Three and Six Months ended June 30, 2019 and 2018</w:t>
            </w: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37"/>
        </w:trPr>
        <w:tc>
          <w:tcPr>
            <w:tcW w:w="1340" w:type="dxa"/>
            <w:vAlign w:val="bottom"/>
          </w:tcPr>
          <w:p>
            <w:pPr>
              <w:spacing w:after="0"/>
              <w:rPr>
                <w:sz w:val="20"/>
                <w:szCs w:val="20"/>
                <w:color w:val="auto"/>
              </w:rPr>
            </w:pP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w w:val="98"/>
              </w:rPr>
              <w:t>Consolidated Statements of Changes in Stockholders' Equity (Deficit) for the Three Months ended March 31 and June 30,</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37"/>
        </w:trPr>
        <w:tc>
          <w:tcPr>
            <w:tcW w:w="1340" w:type="dxa"/>
            <w:vAlign w:val="bottom"/>
          </w:tcPr>
          <w:p>
            <w:pPr>
              <w:spacing w:after="0"/>
              <w:rPr>
                <w:sz w:val="20"/>
                <w:szCs w:val="20"/>
                <w:color w:val="auto"/>
              </w:rPr>
            </w:pP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2019 and 2018 (Unaudited)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Consolidated Statements of Cash Flows for the Six Months ended June 30, 2019 and 2018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54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r>
      <w:tr>
        <w:trPr>
          <w:trHeight w:val="547"/>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r>
        <w:trPr>
          <w:trHeight w:val="547"/>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547"/>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574"/>
        </w:trPr>
        <w:tc>
          <w:tcPr>
            <w:tcW w:w="1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Arial" w:cs="Arial" w:eastAsia="Arial" w:hAnsi="Arial"/>
                <w:sz w:val="18"/>
                <w:szCs w:val="18"/>
                <w:color w:val="auto"/>
                <w:w w:val="95"/>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3120" w:type="dxa"/>
            <w:vAlign w:val="bottom"/>
            <w:gridSpan w:val="2"/>
          </w:tcPr>
          <w:p>
            <w:pPr>
              <w:ind w:left="260"/>
              <w:spacing w:after="0"/>
              <w:rPr>
                <w:sz w:val="20"/>
                <w:szCs w:val="20"/>
                <w:color w:val="auto"/>
              </w:rPr>
            </w:pPr>
            <w:r>
              <w:rPr>
                <w:rFonts w:ascii="Arial" w:cs="Arial" w:eastAsia="Arial" w:hAnsi="Arial"/>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57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547"/>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r>
      <w:tr>
        <w:trPr>
          <w:trHeight w:val="53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r>
      <w:tr>
        <w:trPr>
          <w:trHeight w:val="53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r>
      <w:tr>
        <w:trPr>
          <w:trHeight w:val="534"/>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r>
      <w:tr>
        <w:trPr>
          <w:trHeight w:val="53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gridSpan w:val="7"/>
          </w:tcPr>
          <w:p>
            <w:pPr>
              <w:ind w:left="26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81</w:t>
              </w:r>
            </w:hyperlink>
          </w:p>
        </w:tc>
      </w:tr>
      <w:tr>
        <w:trPr>
          <w:trHeight w:val="588"/>
        </w:trPr>
        <w:tc>
          <w:tcPr>
            <w:tcW w:w="1340" w:type="dxa"/>
            <w:vAlign w:val="bottom"/>
          </w:tcPr>
          <w:p>
            <w:pPr>
              <w:spacing w:after="0"/>
              <w:rPr>
                <w:sz w:val="20"/>
                <w:szCs w:val="20"/>
                <w:color w:val="auto"/>
              </w:rPr>
            </w:pPr>
            <w:r>
              <w:rPr>
                <w:rFonts w:ascii="Arial" w:cs="Arial" w:eastAsia="Arial" w:hAnsi="Arial"/>
                <w:sz w:val="18"/>
                <w:szCs w:val="18"/>
                <w:color w:val="auto"/>
              </w:rPr>
              <w:t>SIGNATURES</w:t>
            </w: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80" w:top="83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6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 our future capital needs and our need to raise additional funds;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Cash, cash equivalents, and restricted cash</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30,479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37,403</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Prepaid expenses and other current assets</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2,490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4,673</w:t>
            </w:r>
          </w:p>
        </w:tc>
      </w:tr>
      <w:tr>
        <w:trPr>
          <w:trHeight w:val="204"/>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44,449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42,076</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Property and equipment, net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Right of use asset, net (Note 8)</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r>
      <w:tr>
        <w:trPr>
          <w:trHeight w:val="256"/>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46,947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44,482</w:t>
            </w:r>
          </w:p>
        </w:tc>
      </w:tr>
      <w:tr>
        <w:trPr>
          <w:trHeight w:val="22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11,700</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 payable, current portion</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21,385</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Lease liability, current portion (Note 8)</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Deferred revenue, current portion</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r>
      <w:tr>
        <w:trPr>
          <w:trHeight w:val="204"/>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31,908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35,144</w:t>
            </w:r>
          </w:p>
        </w:tc>
      </w:tr>
      <w:tr>
        <w:trPr>
          <w:trHeight w:val="256"/>
        </w:trPr>
        <w:tc>
          <w:tcPr>
            <w:tcW w:w="880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shd w:val="clear" w:color="auto" w:fill="CCEEFF"/>
              </w:rPr>
              <w:t>Non</w:t>
            </w:r>
            <w:r>
              <w:rPr>
                <w:rFonts w:ascii="MS PGothic" w:cs="MS PGothic" w:eastAsia="MS PGothic" w:hAnsi="MS PGothic"/>
                <w:sz w:val="14"/>
                <w:szCs w:val="14"/>
                <w:b w:val="1"/>
                <w:bCs w:val="1"/>
                <w:color w:val="auto"/>
                <w:shd w:val="clear" w:color="auto" w:fill="CCEEFF"/>
              </w:rPr>
              <w:t>‑</w:t>
            </w:r>
            <w:r>
              <w:rPr>
                <w:rFonts w:ascii="Arial" w:cs="Arial" w:eastAsia="Arial" w:hAnsi="Arial"/>
                <w:sz w:val="14"/>
                <w:szCs w:val="14"/>
                <w:b w:val="1"/>
                <w:bCs w:val="1"/>
                <w:color w:val="auto"/>
                <w:shd w:val="clear" w:color="auto" w:fill="CCEEFF"/>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13,818</w:t>
            </w:r>
          </w:p>
        </w:tc>
      </w:tr>
      <w:tr>
        <w:trPr>
          <w:trHeight w:val="264"/>
        </w:trPr>
        <w:tc>
          <w:tcPr>
            <w:tcW w:w="8800" w:type="dxa"/>
            <w:vAlign w:val="bottom"/>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904</w:t>
            </w:r>
          </w:p>
        </w:tc>
      </w:tr>
      <w:tr>
        <w:trPr>
          <w:trHeight w:val="216"/>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49,900</w:t>
            </w:r>
          </w:p>
        </w:tc>
      </w:tr>
      <w:tr>
        <w:trPr>
          <w:trHeight w:val="244"/>
        </w:trPr>
        <w:tc>
          <w:tcPr>
            <w:tcW w:w="8800" w:type="dxa"/>
            <w:vAlign w:val="bottom"/>
          </w:tcPr>
          <w:p>
            <w:pPr>
              <w:ind w:left="40"/>
              <w:spacing w:after="0"/>
              <w:rPr>
                <w:sz w:val="20"/>
                <w:szCs w:val="20"/>
                <w:color w:val="auto"/>
              </w:rPr>
            </w:pPr>
            <w:r>
              <w:rPr>
                <w:rFonts w:ascii="Arial" w:cs="Arial" w:eastAsia="Arial" w:hAnsi="Arial"/>
                <w:sz w:val="14"/>
                <w:szCs w:val="14"/>
                <w:color w:val="auto"/>
              </w:rPr>
              <w:t>Commitments and contingencies (Note 17)</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 (deficit):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8"/>
              </w:rPr>
              <w:t>Preferred stock, $0.0001 par value; 10,000,000 shares authorized; no shares issued and outstanding at June 30, 2019 and December 31, 2018,</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respectively</w:t>
            </w: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Common stock, $0.0001 par value; 200,000,000 shares authorized; 44,952,951 and 22,471,776 shares issued and outstanding as of June 30, 2019 and</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2018, respectively</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313,447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279,539</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(280,403)</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w:t>
            </w: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 (deficit)</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(5,418)</w:t>
            </w:r>
          </w:p>
        </w:tc>
      </w:tr>
      <w:tr>
        <w:trPr>
          <w:trHeight w:val="216"/>
        </w:trPr>
        <w:tc>
          <w:tcPr>
            <w:tcW w:w="880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 (deficit)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44,482</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0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26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12,134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14,407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19,487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25,546</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General and administrative</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4,114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4,362</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8,627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16,248</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18,769</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28,114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34,582</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(16,235)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(18,769)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(34,582)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transaction (loss),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(16,394)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(18,796)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(34,684)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gain on securities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(16,386)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(18,874)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(28,436)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(34,740)</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Net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44,855,083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22,355,603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41,668,902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22,350,591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0"/>
        </w:trPr>
        <w:tc>
          <w:tcPr>
            <w:tcW w:w="4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Additional</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other</w:t>
            </w:r>
          </w:p>
        </w:tc>
        <w:tc>
          <w:tcPr>
            <w:tcW w:w="220" w:type="dxa"/>
            <w:vAlign w:val="bottom"/>
          </w:tcPr>
          <w:p>
            <w:pPr>
              <w:spacing w:after="0"/>
              <w:rPr>
                <w:sz w:val="23"/>
                <w:szCs w:val="23"/>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Stockholders’</w:t>
            </w:r>
          </w:p>
        </w:tc>
      </w:tr>
      <w:tr>
        <w:trPr>
          <w:trHeight w:val="276"/>
        </w:trPr>
        <w:tc>
          <w:tcPr>
            <w:tcW w:w="4120" w:type="dxa"/>
            <w:vAlign w:val="bottom"/>
          </w:tcPr>
          <w:p>
            <w:pPr>
              <w:spacing w:after="0"/>
              <w:rPr>
                <w:sz w:val="24"/>
                <w:szCs w:val="24"/>
                <w:color w:val="auto"/>
              </w:rPr>
            </w:pPr>
          </w:p>
        </w:tc>
        <w:tc>
          <w:tcPr>
            <w:tcW w:w="18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28"/>
              <w:spacing w:after="0" w:line="161" w:lineRule="exact"/>
              <w:rPr>
                <w:sz w:val="20"/>
                <w:szCs w:val="20"/>
                <w:color w:val="auto"/>
              </w:rPr>
            </w:pPr>
            <w:r>
              <w:rPr>
                <w:rFonts w:ascii="Arial" w:cs="Arial" w:eastAsia="Arial" w:hAnsi="Arial"/>
                <w:sz w:val="14"/>
                <w:szCs w:val="14"/>
                <w:b w:val="1"/>
                <w:bCs w:val="1"/>
                <w:color w:val="auto"/>
              </w:rPr>
              <w:t>paid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In</w:t>
            </w:r>
          </w:p>
        </w:tc>
        <w:tc>
          <w:tcPr>
            <w:tcW w:w="2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24"/>
                <w:szCs w:val="2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r>
      <w:tr>
        <w:trPr>
          <w:trHeight w:val="250"/>
        </w:trPr>
        <w:tc>
          <w:tcPr>
            <w:tcW w:w="4120" w:type="dxa"/>
            <w:vAlign w:val="bottom"/>
          </w:tcPr>
          <w:p>
            <w:pPr>
              <w:spacing w:after="0"/>
              <w:rPr>
                <w:sz w:val="21"/>
                <w:szCs w:val="21"/>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78"/>
              </w:rPr>
              <w:t>loss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(Deficit)</w:t>
            </w:r>
          </w:p>
        </w:tc>
      </w:tr>
      <w:tr>
        <w:trPr>
          <w:trHeight w:val="31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2018</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22,471,776</w:t>
            </w:r>
          </w:p>
        </w:tc>
        <w:tc>
          <w:tcPr>
            <w:tcW w:w="8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279,539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(280,403)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(5,418)</w:t>
            </w: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Purchase Plan</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11,943</w:t>
            </w: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Issuance of common stock upon exercise of options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115,600</w:t>
            </w:r>
          </w:p>
        </w:tc>
        <w:tc>
          <w:tcPr>
            <w:tcW w:w="84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net of issuance costs of $344.1</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22,188,706</w:t>
            </w: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30,940</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30,942</w:t>
            </w:r>
          </w:p>
        </w:tc>
      </w:tr>
      <w:tr>
        <w:trPr>
          <w:trHeight w:val="264"/>
        </w:trPr>
        <w:tc>
          <w:tcPr>
            <w:tcW w:w="412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1,180</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1,180</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Unrealized gains (losses) on securities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(12,074)</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r>
      <w:tr>
        <w:trPr>
          <w:trHeight w:val="31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March 31, 2019</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44,788,025</w:t>
            </w:r>
          </w:p>
        </w:tc>
        <w:tc>
          <w:tcPr>
            <w:tcW w:w="8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311,824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(292,477)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14,819</w:t>
            </w: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at-the-market offering, net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164,926</w:t>
            </w: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r>
      <w:tr>
        <w:trPr>
          <w:trHeight w:val="264"/>
        </w:trPr>
        <w:tc>
          <w:tcPr>
            <w:tcW w:w="412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1,251</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1,251</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Unrealized gains (losses) on securities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(16,394)</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(16,394)</w:t>
            </w:r>
          </w:p>
        </w:tc>
      </w:tr>
      <w:tr>
        <w:trPr>
          <w:trHeight w:val="270"/>
        </w:trPr>
        <w:tc>
          <w:tcPr>
            <w:tcW w:w="4120" w:type="dxa"/>
            <w:vAlign w:val="bottom"/>
          </w:tcPr>
          <w:p>
            <w:pPr>
              <w:ind w:left="40"/>
              <w:spacing w:after="0"/>
              <w:rPr>
                <w:sz w:val="20"/>
                <w:szCs w:val="20"/>
                <w:color w:val="auto"/>
              </w:rPr>
            </w:pPr>
            <w:r>
              <w:rPr>
                <w:rFonts w:ascii="Arial" w:cs="Arial" w:eastAsia="Arial" w:hAnsi="Arial"/>
                <w:sz w:val="14"/>
                <w:szCs w:val="14"/>
                <w:color w:val="auto"/>
              </w:rPr>
              <w:t>Balance at June 30, 2019</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44,952,951</w:t>
            </w:r>
          </w:p>
        </w:tc>
        <w:tc>
          <w:tcPr>
            <w:tcW w:w="8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313,447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(308,871)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0"/>
        </w:trPr>
        <w:tc>
          <w:tcPr>
            <w:tcW w:w="3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23"/>
                <w:szCs w:val="23"/>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Stockholders'</w:t>
            </w:r>
          </w:p>
        </w:tc>
      </w:tr>
      <w:tr>
        <w:trPr>
          <w:trHeight w:val="276"/>
        </w:trPr>
        <w:tc>
          <w:tcPr>
            <w:tcW w:w="390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line="161" w:lineRule="exact"/>
              <w:rPr>
                <w:sz w:val="20"/>
                <w:szCs w:val="20"/>
                <w:color w:val="auto"/>
              </w:rPr>
            </w:pPr>
            <w:r>
              <w:rPr>
                <w:rFonts w:ascii="Arial" w:cs="Arial" w:eastAsia="Arial" w:hAnsi="Arial"/>
                <w:sz w:val="14"/>
                <w:szCs w:val="14"/>
                <w:b w:val="1"/>
                <w:bCs w:val="1"/>
                <w:color w:val="auto"/>
                <w:w w:val="96"/>
              </w:rPr>
              <w:t>paid</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In</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24"/>
                <w:szCs w:val="2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r>
      <w:tr>
        <w:trPr>
          <w:trHeight w:val="250"/>
        </w:trPr>
        <w:tc>
          <w:tcPr>
            <w:tcW w:w="3900" w:type="dxa"/>
            <w:vAlign w:val="bottom"/>
          </w:tcPr>
          <w:p>
            <w:pPr>
              <w:spacing w:after="0"/>
              <w:rPr>
                <w:sz w:val="21"/>
                <w:szCs w:val="21"/>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21"/>
                <w:szCs w:val="21"/>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(Deficit)</w:t>
            </w:r>
          </w:p>
        </w:tc>
      </w:tr>
      <w:tr>
        <w:trPr>
          <w:trHeight w:val="243"/>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22,343,254</w:t>
            </w:r>
          </w:p>
        </w:tc>
        <w:tc>
          <w:tcPr>
            <w:tcW w:w="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51,814</w:t>
            </w:r>
          </w:p>
        </w:tc>
      </w:tr>
      <w:tr>
        <w:trPr>
          <w:trHeight w:val="20"/>
        </w:trPr>
        <w:tc>
          <w:tcPr>
            <w:tcW w:w="3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3900" w:type="dxa"/>
            <w:vAlign w:val="bottom"/>
          </w:tcPr>
          <w:p>
            <w:pPr>
              <w:ind w:left="40"/>
              <w:spacing w:after="0"/>
              <w:rPr>
                <w:sz w:val="20"/>
                <w:szCs w:val="20"/>
                <w:color w:val="auto"/>
              </w:rPr>
            </w:pPr>
            <w:r>
              <w:rPr>
                <w:rFonts w:ascii="Arial" w:cs="Arial" w:eastAsia="Arial" w:hAnsi="Arial"/>
                <w:sz w:val="14"/>
                <w:szCs w:val="14"/>
                <w:color w:val="auto"/>
              </w:rPr>
              <w:t>Adoption of new accounting principle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1,830</w:t>
            </w: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Issuance of common stock under Employee Stock Purchase Plan</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6,586</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r>
      <w:tr>
        <w:trPr>
          <w:trHeight w:val="264"/>
        </w:trPr>
        <w:tc>
          <w:tcPr>
            <w:tcW w:w="390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1,153</w:t>
            </w: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Unrealized gains (losses) on securities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(15,888)</w:t>
            </w:r>
          </w:p>
        </w:tc>
      </w:tr>
      <w:tr>
        <w:trPr>
          <w:trHeight w:val="283"/>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March 31, 2018</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22,349,840</w:t>
            </w: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274,332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(230,955)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(4,398)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38,982</w:t>
            </w: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upon exercise of options</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46,343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w:t>
            </w:r>
          </w:p>
        </w:tc>
      </w:tr>
      <w:tr>
        <w:trPr>
          <w:trHeight w:val="264"/>
        </w:trPr>
        <w:tc>
          <w:tcPr>
            <w:tcW w:w="390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1,245</w:t>
            </w: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Unrealized gains on securities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(18,796)</w:t>
            </w:r>
          </w:p>
        </w:tc>
      </w:tr>
      <w:tr>
        <w:trPr>
          <w:trHeight w:val="243"/>
        </w:trPr>
        <w:tc>
          <w:tcPr>
            <w:tcW w:w="3900" w:type="dxa"/>
            <w:vAlign w:val="bottom"/>
          </w:tcPr>
          <w:p>
            <w:pPr>
              <w:ind w:left="40"/>
              <w:spacing w:after="0"/>
              <w:rPr>
                <w:sz w:val="20"/>
                <w:szCs w:val="20"/>
                <w:color w:val="auto"/>
              </w:rPr>
            </w:pPr>
            <w:r>
              <w:rPr>
                <w:rFonts w:ascii="Arial" w:cs="Arial" w:eastAsia="Arial" w:hAnsi="Arial"/>
                <w:sz w:val="14"/>
                <w:szCs w:val="14"/>
                <w:color w:val="auto"/>
              </w:rPr>
              <w:t>Balance at June 30, 2018</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22,396,183</w:t>
            </w: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275,888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(249,751)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21,664</w:t>
            </w:r>
          </w:p>
        </w:tc>
      </w:tr>
      <w:tr>
        <w:trPr>
          <w:trHeight w:val="20"/>
        </w:trPr>
        <w:tc>
          <w:tcPr>
            <w:tcW w:w="3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9" w:right="239" w:bottom="1440" w:gutter="0" w:footer="0" w:header="0"/>
        </w:sectPr>
      </w:pPr>
    </w:p>
    <w:bookmarkStart w:id="8" w:name="page9"/>
    <w:bookmarkEnd w:id="8"/>
    <w:p>
      <w:pPr>
        <w:ind w:left="424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264"/>
        </w:trPr>
        <w:tc>
          <w:tcPr>
            <w:tcW w:w="9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2"/>
        </w:trPr>
        <w:tc>
          <w:tcPr>
            <w:tcW w:w="9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(34,684)</w:t>
            </w:r>
          </w:p>
        </w:tc>
        <w:tc>
          <w:tcPr>
            <w:tcW w:w="0" w:type="dxa"/>
            <w:vAlign w:val="bottom"/>
          </w:tcPr>
          <w:p>
            <w:pPr>
              <w:spacing w:after="0"/>
              <w:rPr>
                <w:sz w:val="1"/>
                <w:szCs w:val="1"/>
                <w:color w:val="auto"/>
              </w:rPr>
            </w:pPr>
          </w:p>
        </w:tc>
      </w:tr>
      <w:tr>
        <w:trPr>
          <w:trHeight w:val="264"/>
        </w:trPr>
        <w:tc>
          <w:tcPr>
            <w:tcW w:w="92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64"/>
        </w:trPr>
        <w:tc>
          <w:tcPr>
            <w:tcW w:w="9200" w:type="dxa"/>
            <w:vAlign w:val="bottom"/>
          </w:tcPr>
          <w:p>
            <w:pPr>
              <w:ind w:left="260"/>
              <w:spacing w:after="0"/>
              <w:rPr>
                <w:sz w:val="20"/>
                <w:szCs w:val="20"/>
                <w:color w:val="auto"/>
              </w:rPr>
            </w:pPr>
            <w:r>
              <w:rPr>
                <w:rFonts w:ascii="Arial" w:cs="Arial" w:eastAsia="Arial" w:hAnsi="Arial"/>
                <w:sz w:val="14"/>
                <w:szCs w:val="14"/>
                <w:color w:val="auto"/>
              </w:rPr>
              <w:t>Amortization of premiums (accretion of discounts) on investments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Gain on disposal of property and equipment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9200" w:type="dxa"/>
            <w:vAlign w:val="bottom"/>
          </w:tcPr>
          <w:p>
            <w:pPr>
              <w:ind w:left="2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64"/>
        </w:trPr>
        <w:tc>
          <w:tcPr>
            <w:tcW w:w="9200" w:type="dxa"/>
            <w:vAlign w:val="bottom"/>
          </w:tcPr>
          <w:p>
            <w:pPr>
              <w:ind w:left="260"/>
              <w:spacing w:after="0"/>
              <w:rPr>
                <w:sz w:val="20"/>
                <w:szCs w:val="20"/>
                <w:color w:val="auto"/>
              </w:rPr>
            </w:pPr>
            <w:r>
              <w:rPr>
                <w:rFonts w:ascii="Arial" w:cs="Arial" w:eastAsia="Arial" w:hAnsi="Arial"/>
                <w:sz w:val="14"/>
                <w:szCs w:val="14"/>
                <w:color w:val="auto"/>
              </w:rPr>
              <w:t>Loss on disposal of property and equipment</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200" w:type="dxa"/>
            <w:vAlign w:val="bottom"/>
          </w:tcPr>
          <w:p>
            <w:pPr>
              <w:ind w:left="380"/>
              <w:spacing w:after="0"/>
              <w:rPr>
                <w:sz w:val="20"/>
                <w:szCs w:val="20"/>
                <w:color w:val="auto"/>
              </w:rPr>
            </w:pPr>
            <w:r>
              <w:rPr>
                <w:rFonts w:ascii="Arial" w:cs="Arial" w:eastAsia="Arial" w:hAnsi="Arial"/>
                <w:sz w:val="14"/>
                <w:szCs w:val="14"/>
                <w:color w:val="auto"/>
              </w:rPr>
              <w:t>Prepaid expenses, deposits and other assets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64"/>
        </w:trPr>
        <w:tc>
          <w:tcPr>
            <w:tcW w:w="92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0"/>
        </w:trPr>
        <w:tc>
          <w:tcPr>
            <w:tcW w:w="9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250"/>
        </w:trPr>
        <w:tc>
          <w:tcPr>
            <w:tcW w:w="9200" w:type="dxa"/>
            <w:vAlign w:val="bottom"/>
          </w:tcPr>
          <w:p>
            <w:pPr>
              <w:ind w:left="740"/>
              <w:spacing w:after="0"/>
              <w:rPr>
                <w:sz w:val="20"/>
                <w:szCs w:val="20"/>
                <w:color w:val="auto"/>
              </w:rPr>
            </w:pPr>
            <w:r>
              <w:rPr>
                <w:rFonts w:ascii="Arial" w:cs="Arial" w:eastAsia="Arial" w:hAnsi="Arial"/>
                <w:sz w:val="14"/>
                <w:szCs w:val="14"/>
                <w:color w:val="auto"/>
              </w:rPr>
              <w:t>Net cash used in operating activities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(27,437)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(30,382)</w:t>
            </w: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200" w:type="dxa"/>
            <w:vAlign w:val="bottom"/>
          </w:tcPr>
          <w:p>
            <w:pPr>
              <w:ind w:left="20"/>
              <w:spacing w:after="0"/>
              <w:rPr>
                <w:sz w:val="20"/>
                <w:szCs w:val="20"/>
                <w:color w:val="auto"/>
              </w:rPr>
            </w:pPr>
            <w:r>
              <w:rPr>
                <w:rFonts w:ascii="Arial" w:cs="Arial" w:eastAsia="Arial" w:hAnsi="Arial"/>
                <w:sz w:val="14"/>
                <w:szCs w:val="14"/>
                <w:color w:val="auto"/>
              </w:rPr>
              <w:t>Receipts from the maturity of short-term investments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4,850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33,955</w:t>
            </w:r>
          </w:p>
        </w:tc>
        <w:tc>
          <w:tcPr>
            <w:tcW w:w="0" w:type="dxa"/>
            <w:vAlign w:val="bottom"/>
          </w:tcPr>
          <w:p>
            <w:pPr>
              <w:spacing w:after="0"/>
              <w:rPr>
                <w:sz w:val="1"/>
                <w:szCs w:val="1"/>
                <w:color w:val="auto"/>
              </w:rPr>
            </w:pPr>
          </w:p>
        </w:tc>
      </w:tr>
      <w:tr>
        <w:trPr>
          <w:trHeight w:val="197"/>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short-term investments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(13,900)</w:t>
            </w:r>
          </w:p>
        </w:tc>
        <w:tc>
          <w:tcPr>
            <w:tcW w:w="0" w:type="dxa"/>
            <w:vAlign w:val="bottom"/>
          </w:tcPr>
          <w:p>
            <w:pPr>
              <w:spacing w:after="0"/>
              <w:rPr>
                <w:sz w:val="1"/>
                <w:szCs w:val="1"/>
                <w:color w:val="auto"/>
              </w:rPr>
            </w:pPr>
          </w:p>
        </w:tc>
      </w:tr>
      <w:tr>
        <w:trPr>
          <w:trHeight w:val="80"/>
        </w:trPr>
        <w:tc>
          <w:tcPr>
            <w:tcW w:w="9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9200" w:type="dxa"/>
            <w:vAlign w:val="bottom"/>
          </w:tcPr>
          <w:p>
            <w:pPr>
              <w:ind w:left="20"/>
              <w:spacing w:after="0"/>
              <w:rPr>
                <w:sz w:val="20"/>
                <w:szCs w:val="20"/>
                <w:color w:val="auto"/>
              </w:rPr>
            </w:pPr>
            <w:r>
              <w:rPr>
                <w:rFonts w:ascii="Arial" w:cs="Arial" w:eastAsia="Arial" w:hAnsi="Arial"/>
                <w:sz w:val="14"/>
                <w:szCs w:val="14"/>
                <w:color w:val="auto"/>
              </w:rPr>
              <w:t>Sale of short term investments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64"/>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6"/>
        </w:trPr>
        <w:tc>
          <w:tcPr>
            <w:tcW w:w="92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19,630</w:t>
            </w:r>
          </w:p>
        </w:tc>
        <w:tc>
          <w:tcPr>
            <w:tcW w:w="0" w:type="dxa"/>
            <w:vAlign w:val="bottom"/>
          </w:tcPr>
          <w:p>
            <w:pPr>
              <w:spacing w:after="0"/>
              <w:rPr>
                <w:sz w:val="1"/>
                <w:szCs w:val="1"/>
                <w:color w:val="auto"/>
              </w:rPr>
            </w:pPr>
          </w:p>
        </w:tc>
      </w:tr>
      <w:tr>
        <w:trPr>
          <w:trHeight w:val="264"/>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200" w:type="dxa"/>
            <w:vAlign w:val="bottom"/>
          </w:tcPr>
          <w:p>
            <w:pPr>
              <w:ind w:left="20"/>
              <w:spacing w:after="0"/>
              <w:rPr>
                <w:sz w:val="20"/>
                <w:szCs w:val="20"/>
                <w:color w:val="auto"/>
              </w:rPr>
            </w:pPr>
            <w:r>
              <w:rPr>
                <w:rFonts w:ascii="Arial" w:cs="Arial" w:eastAsia="Arial" w:hAnsi="Arial"/>
                <w:sz w:val="14"/>
                <w:szCs w:val="14"/>
                <w:color w:val="auto"/>
              </w:rPr>
              <w:t>Net proceeds from issuance of common stock- at-the-market offering</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64"/>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50"/>
        </w:trPr>
        <w:tc>
          <w:tcPr>
            <w:tcW w:w="92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31,479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5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(10,461)</w:t>
            </w:r>
          </w:p>
        </w:tc>
        <w:tc>
          <w:tcPr>
            <w:tcW w:w="0" w:type="dxa"/>
            <w:vAlign w:val="bottom"/>
          </w:tcPr>
          <w:p>
            <w:pPr>
              <w:spacing w:after="0"/>
              <w:rPr>
                <w:sz w:val="1"/>
                <w:szCs w:val="1"/>
                <w:color w:val="auto"/>
              </w:rPr>
            </w:pPr>
          </w:p>
        </w:tc>
      </w:tr>
      <w:tr>
        <w:trPr>
          <w:trHeight w:val="264"/>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71,027</w:t>
            </w:r>
          </w:p>
        </w:tc>
        <w:tc>
          <w:tcPr>
            <w:tcW w:w="0" w:type="dxa"/>
            <w:vAlign w:val="bottom"/>
          </w:tcPr>
          <w:p>
            <w:pPr>
              <w:spacing w:after="0"/>
              <w:rPr>
                <w:sz w:val="1"/>
                <w:szCs w:val="1"/>
                <w:color w:val="auto"/>
              </w:rPr>
            </w:pPr>
          </w:p>
        </w:tc>
      </w:tr>
      <w:tr>
        <w:trPr>
          <w:trHeight w:val="243"/>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30,479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60,566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 cash flow information</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58"/>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1233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Purchase of property and equipment not yet paid</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offering costs in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2123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Unrealized gain (loss) on marketable securities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70"/>
        </w:trPr>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200" w:lineRule="exact"/>
        <w:rPr>
          <w:sz w:val="20"/>
          <w:szCs w:val="20"/>
          <w:color w:val="auto"/>
        </w:rPr>
      </w:pPr>
    </w:p>
    <w:p>
      <w:pPr>
        <w:sectPr>
          <w:pgSz w:w="11900" w:h="16838" w:orient="portrait"/>
          <w:cols w:equalWidth="0" w:num="2">
            <w:col w:w="8520" w:space="720"/>
            <w:col w:w="2120"/>
          </w:cols>
          <w:pgMar w:left="280" w:top="936" w:right="259" w:bottom="1440" w:gutter="0" w:footer="0" w:header="0"/>
          <w:type w:val="continuous"/>
        </w:sectPr>
      </w:pP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b w:val="1"/>
          <w:bCs w:val="1"/>
          <w:color w:val="auto"/>
        </w:rPr>
        <w:t>.</w:t>
      </w:r>
    </w:p>
    <w:p>
      <w:pPr>
        <w:sectPr>
          <w:pgSz w:w="11900" w:h="16838" w:orient="portrait"/>
          <w:cols w:equalWidth="0" w:num="1">
            <w:col w:w="11360"/>
          </w:cols>
          <w:pgMar w:left="280" w:top="936" w:right="259" w:bottom="1440" w:gutter="0" w:footer="0" w:header="0"/>
          <w:type w:val="continuous"/>
        </w:sect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80" w:top="936" w:right="25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Selecta Biosciences, Inc. (the “Company”) was incorporated in Delaware on December 10, 2007, and is based in Watertown, Massachusetts. The Company is a clinical-stage biotechnology company focused on unlocking the full potential of biologic therapies based on its immune tolerance technology (ImmTOR™) platform. The Company plans to combine ImmTOR™ with a range of biologic therapies for rare and serious diseases that require new treatment options due to high immunogenicity of existing therapies. Since inception, the Company has devoted its efforts principally to research and development of its technology and product candidates, recruiting management and technical staff, acquiring operating assets, and raising capital.</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accompanying financial statements have been prepared on a basis that assumes the Company is a going concern, and does not include any adjustments to reflect the possible future effects on the recoverability and classification of assets or the amounts and classifications of liabilities that may result from any uncertainty related to its ability to continue as a going concern.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unaudited consolidated financial statements for the three and six months ended June 30, 2019 and 2018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2018 included in the Company’s Annual Report on Form 10-K that was filed with the SEC on March 15, 2019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2019 and consolidated results of operations and cash flows for the six months ended June 30, 2019. Such adjustments are of a normal and recurring nature. The results of operations for the three and six months ended June 30, 2019 are not necessarily indicative of the results of operations that may be expected for the year ending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958" w:right="259" w:bottom="1440" w:gutter="0" w:footer="0" w:header="0"/>
        </w:sectPr>
      </w:pPr>
    </w:p>
    <w:bookmarkStart w:id="10" w:name="page11"/>
    <w:bookmarkEnd w:id="10"/>
    <w:p>
      <w:pPr>
        <w:jc w:val="both"/>
        <w:ind w:right="100"/>
        <w:spacing w:after="0" w:line="255" w:lineRule="auto"/>
        <w:rPr>
          <w:sz w:val="20"/>
          <w:szCs w:val="20"/>
          <w:color w:val="auto"/>
        </w:rPr>
      </w:pPr>
      <w:r>
        <w:rPr>
          <w:rFonts w:ascii="Arial" w:cs="Arial" w:eastAsia="Arial" w:hAnsi="Arial"/>
          <w:sz w:val="18"/>
          <w:szCs w:val="18"/>
          <w:color w:val="auto"/>
        </w:rPr>
        <w:t>To date, the Company has financed its operations primarily through the initial public offering of its common stock, a private placement of its common stock, issuances of common and preferred stock, debt, research grants and research collaborations. The Company currently has no source of product revenue, and it does not expect to generate product revenue for the foreseeable future. All of its revenue to date has been collaboration and grant revenue. The Company has devoted substantially all of its financial resources and efforts to developing its ImmTOR technology,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30, 2019, the Company’s short-term deposits and investments were $11.5 million, and its cash, cash equivalents and restricted cash were $30.5 million, of which $0.4 million was held by its Russian subsidiary designated solely for use in its operations. The Company has incurred losses and negative cash flows from operating activities since inception. As of June 30, 2019 and December 31, 2018, the Company had an accumulated deficit of $308.9 million and $280.4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 substantial doubt about its ability to continue as a going concern within one year after the date that the financial statements are issued.</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Management is actively exploring licenses and other strategic collaborations that have the potential to provide non-dilutive capital and/or accelerate the development of new or existing product candidates incorporating the Company’s ImmTOR technology. Additionally, the Company may seek to fund its operations through issuances of equity and/or other securities. If the Company enters into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current operating plan accounts for funding in preparation for the planned Phase 3 clinical program for SEL-212. The Company believes that it has the financial resources to complete the ongoing head-to-head Phase 2 trial against Krystexxa®, but will require additional external sources of capital to conduct the planned Phase 3 clinical program. If the Company is unable to raise sufficient capital through strategic collaborations and/or the sale of equity or other securities,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and the insufficient amount of capital resources at June 30, 2019, management has concluded that substantial doubt exists with respect to the Company's ability to continue as a going concern within one year after the date of the filing of this Quarterly Report on Form 10-Q.</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All amounts due under the 2017 Term Loan (Note 9) have been classified as a current liability as of June 30, 2019 due to the considerations discussed above and the assessment that the material adverse change clause under the 2017 Term Loan is not within the Company's control. The Company has not been notified of an event of default by the Lender as of the date of the filing of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June 30, 2019,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76" w:lineRule="exact"/>
        <w:rPr>
          <w:sz w:val="20"/>
          <w:szCs w:val="20"/>
          <w:color w:val="auto"/>
        </w:rPr>
      </w:pPr>
    </w:p>
    <w:p>
      <w:pPr>
        <w:ind w:right="78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right="10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and estimating accrued research and development expenses. The Company assesses the above estimates on an ongoing basis; however, actual results could materially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17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2019, the Company has restricted cash balances relating to a secured letter of credit in connection with its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30,200</w:t>
            </w:r>
          </w:p>
        </w:tc>
        <w:tc>
          <w:tcPr>
            <w:tcW w:w="5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60,237</w:t>
            </w:r>
          </w:p>
        </w:tc>
      </w:tr>
      <w:tr>
        <w:trPr>
          <w:trHeight w:val="264"/>
        </w:trPr>
        <w:tc>
          <w:tcPr>
            <w:tcW w:w="83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5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r>
      <w:tr>
        <w:trPr>
          <w:trHeight w:val="270"/>
        </w:trPr>
        <w:tc>
          <w:tcPr>
            <w:tcW w:w="832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30,479</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60,566</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cash equivalents, short-term deposits and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June 30, 2019, the Company maintained approximately $0.4 million in Russian bank accounts, all of which was held in U.S. dollars.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92"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Company did not have any off-balance sheet arrangements as of June 30, 2019 and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restricted cash, accounts payable, loans payable, and common stock warrants. The carrying amounts of cash equivalents, short-term investments, restricted cash, accounts receivable, and accounts payable approximate their estimated fair value due to their short-term maturities. At June 30, 2019, the carrying amount of the Company's loan payable approximates its estimated fair value due to the short-term nature of the instrument.</w:t>
      </w:r>
    </w:p>
    <w:p>
      <w:pPr>
        <w:spacing w:after="0" w:line="204" w:lineRule="exact"/>
        <w:rPr>
          <w:sz w:val="20"/>
          <w:szCs w:val="20"/>
          <w:color w:val="auto"/>
        </w:rPr>
      </w:pPr>
    </w:p>
    <w:p>
      <w:pPr>
        <w:ind w:right="28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2 inputs.</w:t>
      </w:r>
    </w:p>
    <w:p>
      <w:pPr>
        <w:spacing w:after="0" w:line="187" w:lineRule="exact"/>
        <w:rPr>
          <w:sz w:val="20"/>
          <w:szCs w:val="20"/>
          <w:color w:val="auto"/>
        </w:rPr>
      </w:pPr>
    </w:p>
    <w:p>
      <w:pPr>
        <w:ind w:right="180"/>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six months ended June 30, 2019 or the year ended December 31,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60"/>
        <w:spacing w:after="0" w:line="219" w:lineRule="exact"/>
        <w:rPr>
          <w:sz w:val="20"/>
          <w:szCs w:val="20"/>
          <w:color w:val="auto"/>
        </w:rPr>
      </w:pPr>
      <w:r>
        <w:rPr>
          <w:rFonts w:ascii="Arial" w:cs="Arial" w:eastAsia="Arial" w:hAnsi="Arial"/>
          <w:sz w:val="16"/>
          <w:szCs w:val="16"/>
          <w:color w:val="auto"/>
        </w:rPr>
        <w:t>Property and equipment are recorded at cost and depreciated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Company reviews long</w:t>
      </w:r>
      <w:r>
        <w:rPr>
          <w:rFonts w:ascii="MS PGothic" w:cs="MS PGothic" w:eastAsia="MS PGothic" w:hAnsi="MS PGothic"/>
          <w:sz w:val="16"/>
          <w:szCs w:val="16"/>
          <w:color w:val="auto"/>
        </w:rPr>
        <w:t>‑</w:t>
      </w:r>
      <w:r>
        <w:rPr>
          <w:rFonts w:ascii="Arial" w:cs="Arial" w:eastAsia="Arial" w:hAnsi="Arial"/>
          <w:sz w:val="16"/>
          <w:szCs w:val="16"/>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any material impairment losses during the six months ended June 30, 2019 and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w:t>
      </w:r>
    </w:p>
    <w:p>
      <w:pPr>
        <w:sectPr>
          <w:pgSz w:w="11900" w:h="16838" w:orient="portrait"/>
          <w:cols w:equalWidth="0" w:num="1">
            <w:col w:w="11420"/>
          </w:cols>
          <w:pgMar w:left="240" w:top="69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92" w:right="239" w:bottom="1440" w:gutter="0" w:footer="0" w:header="0"/>
          <w:type w:val="continuous"/>
        </w:sectPr>
      </w:pPr>
    </w:p>
    <w:bookmarkStart w:id="13" w:name="page14"/>
    <w:bookmarkEnd w:id="13"/>
    <w:p>
      <w:pPr>
        <w:ind w:right="240"/>
        <w:spacing w:after="0" w:line="277" w:lineRule="auto"/>
        <w:rPr>
          <w:sz w:val="20"/>
          <w:szCs w:val="20"/>
          <w:color w:val="auto"/>
        </w:rPr>
      </w:pPr>
      <w:r>
        <w:rPr>
          <w:rFonts w:ascii="Arial" w:cs="Arial" w:eastAsia="Arial" w:hAnsi="Arial"/>
          <w:sz w:val="18"/>
          <w:szCs w:val="18"/>
          <w:color w:val="auto"/>
        </w:rPr>
        <w:t>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on available-for-sale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Foreign currency translation</w:t>
            </w:r>
          </w:p>
        </w:tc>
        <w:tc>
          <w:tcPr>
            <w:tcW w:w="1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Unrealized gains (losses)</w:t>
            </w:r>
          </w:p>
        </w:tc>
        <w:tc>
          <w:tcPr>
            <w:tcW w:w="240" w:type="dxa"/>
            <w:vAlign w:val="bottom"/>
          </w:tcPr>
          <w:p>
            <w:pPr>
              <w:spacing w:after="0"/>
              <w:rPr>
                <w:sz w:val="14"/>
                <w:szCs w:val="14"/>
                <w:color w:val="auto"/>
              </w:rPr>
            </w:pPr>
          </w:p>
        </w:tc>
        <w:tc>
          <w:tcPr>
            <w:tcW w:w="1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available-for-sale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during the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June 30, 2019</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(see Note 12 to the Company's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Collaboration and Grant Revenue: </w:t>
      </w:r>
      <w:r>
        <w:rPr>
          <w:rFonts w:ascii="Arial" w:cs="Arial" w:eastAsia="Arial" w:hAnsi="Arial"/>
          <w:sz w:val="18"/>
          <w:szCs w:val="18"/>
          <w:color w:val="auto"/>
        </w:rPr>
        <w:t>The Company currently generates its revenue through grants, collaboration and license agreements with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collaborators for the development and commercialization of product candidates. The grants, collaboration and license agreements are within the scope of ASC 606.</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the agreements,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w:t>
      </w:r>
    </w:p>
    <w:p>
      <w:pPr>
        <w:ind w:right="60"/>
        <w:spacing w:after="0" w:line="287" w:lineRule="auto"/>
        <w:rPr>
          <w:sz w:val="20"/>
          <w:szCs w:val="20"/>
          <w:color w:val="auto"/>
        </w:rPr>
      </w:pPr>
      <w:r>
        <w:rPr>
          <w:rFonts w:ascii="Arial" w:cs="Arial" w:eastAsia="Arial" w:hAnsi="Arial"/>
          <w:sz w:val="16"/>
          <w:szCs w:val="16"/>
          <w:color w:val="auto"/>
        </w:rPr>
        <w:t>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47" w:lineRule="exact"/>
        <w:rPr>
          <w:sz w:val="20"/>
          <w:szCs w:val="20"/>
          <w:color w:val="auto"/>
        </w:rPr>
      </w:pPr>
    </w:p>
    <w:p>
      <w:pPr>
        <w:ind w:right="280"/>
        <w:spacing w:after="0" w:line="220"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interest and penalties related to uncertain tax positions as part of its provision for income taxes. To date, the Company has not incurred interest and penalties related to uncertain tax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color w:val="auto"/>
        </w:rPr>
        <w:t>The Company accounts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is measured at the grant date fair value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The Company reduces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Arial" w:cs="Arial" w:eastAsia="Arial" w:hAnsi="Arial"/>
          <w:sz w:val="18"/>
          <w:szCs w:val="18"/>
          <w:color w:val="auto"/>
        </w:rPr>
        <w:t>dilutive and basic and diluted loss per share have been the same.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June 30, 2019 and December 31, 2018,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ASC 842 which was adopted January 1, 2019, the Company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accordance with the guidance in ASU 2016-02,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right="420"/>
        <w:spacing w:after="0" w:line="312" w:lineRule="auto"/>
        <w:rPr>
          <w:sz w:val="20"/>
          <w:szCs w:val="20"/>
          <w:color w:val="auto"/>
        </w:rPr>
      </w:pPr>
      <w:r>
        <w:rPr>
          <w:rFonts w:ascii="Arial" w:cs="Arial" w:eastAsia="Arial" w:hAnsi="Arial"/>
          <w:sz w:val="16"/>
          <w:szCs w:val="16"/>
          <w:color w:val="auto"/>
        </w:rPr>
        <w:t>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See Note 8 for details.</w:t>
      </w:r>
    </w:p>
    <w:p>
      <w:pPr>
        <w:spacing w:after="0" w:line="147" w:lineRule="exact"/>
        <w:rPr>
          <w:sz w:val="20"/>
          <w:szCs w:val="20"/>
          <w:color w:val="auto"/>
        </w:rPr>
      </w:pPr>
    </w:p>
    <w:p>
      <w:pPr>
        <w:ind w:right="380"/>
        <w:spacing w:after="0" w:line="224" w:lineRule="exact"/>
        <w:rPr>
          <w:sz w:val="20"/>
          <w:szCs w:val="20"/>
          <w:color w:val="auto"/>
        </w:rPr>
      </w:pPr>
      <w:r>
        <w:rPr>
          <w:rFonts w:ascii="Arial" w:cs="Arial" w:eastAsia="Arial" w:hAnsi="Arial"/>
          <w:sz w:val="16"/>
          <w:szCs w:val="16"/>
          <w:color w:val="auto"/>
        </w:rPr>
        <w:t>Under prior guidance ASC 840, rent expense and lease incentives from operating leases were recognized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lease term. The difference between rent expense recognized and rental payments was recorded as deferred rent in the accompanying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 xml:space="preserve">In February 2016, the FASB issued Accounting Standards Update No.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requires lessees to recognize most leases on their balance sheet as a right-of-use asset and a lease liability. Leases are classified as either operating or finance based on criteria similar to current lease accounting, with the classification affecting the pattern and classification of expense recognition in the statement of operations.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Subsequently, in July 2018, the FASB issued ASU No. 2018-11, </w:t>
      </w:r>
      <w:r>
        <w:rPr>
          <w:rFonts w:ascii="Arial" w:cs="Arial" w:eastAsia="Arial" w:hAnsi="Arial"/>
          <w:sz w:val="17"/>
          <w:szCs w:val="17"/>
          <w:i w:val="1"/>
          <w:iCs w:val="1"/>
          <w:color w:val="auto"/>
        </w:rPr>
        <w:t>Leases (Topic 842): Targeted Improvements (ASU 2018-11)</w:t>
      </w:r>
      <w:r>
        <w:rPr>
          <w:rFonts w:ascii="Arial" w:cs="Arial" w:eastAsia="Arial" w:hAnsi="Arial"/>
          <w:sz w:val="17"/>
          <w:szCs w:val="17"/>
          <w:color w:val="auto"/>
        </w:rPr>
        <w:t>, which includes certain amendments to ASU 2016-02 intended to provide relief in implementing the new standard. Among these amendments is the option to not restate comparative periods presented in the financial statements. The Company has elected this transition approach, using a cumulative-effect adjustment on the effective date of the standard, with comparative periods presented in accordance with the existing guidance in ASC 840.</w:t>
      </w:r>
    </w:p>
    <w:p>
      <w:pPr>
        <w:spacing w:after="0" w:line="17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Pursuant to the guidance under ASU 2016-02, the Company elected certain available expedients by electing the transition package of practical expedients permitted with ASU 2016-02, which allows the Company the option not to reassess previous accounting conclusions around, (i) whether expired or existing contracts contain leases, (ii) lease classification for any expired or existing leases, and (iii) the treatment of initial direct costs for any existing leases. The Company also made an accounting policy election to exclude leases with an initial term of 12 months or less from their balance sheet.</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adopted the new standard as of the required effective date of January 1, 2019 resulting in the recognition of a net additional lease liability and right-of-use asset. The standard did not impact the Company's consolidated net loss. See Note 8 for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Subsequently, in November 2018, the FASB issued ASU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public entities for fiscal years beginning after December 15, 2019, with early adoption permitted. The Company is assessing the impact this standard will have on its consolidated financial statements and disclosures.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(ASU 2018-13) which changes the fair value measurement disclosure requirements of ASC 820. Entities will no longer be required to disclose</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and reasons for, transfers between Level 1 and Level 2 of the fair value hierarchy, the policy of timing of transfers between levels of the fair value hierarchy and the valuation processes for Level 3 fair value measurements. This ASU is effective for public entities for fiscal years beginning after December 15, 2019, with early adoption permitted. The Company is assessing the impact this standard will have on its consolidated financial statements and disclosures.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(ASU 2018-15). The amendments in this update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new standard will be effective beginning January 1, 2020 and early adoption is permitted. The Company is currently evaluating the potential impact ASU 2018-15 may have on its financial position upon adoption.</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 and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606 </w:t>
      </w:r>
      <w:r>
        <w:rPr>
          <w:rFonts w:ascii="Arial" w:cs="Arial" w:eastAsia="Arial" w:hAnsi="Arial"/>
          <w:sz w:val="18"/>
          <w:szCs w:val="18"/>
          <w:color w:val="auto"/>
        </w:rPr>
        <w:t>(ASU 2018-18), which provides guidance on whether certain transactions between collaborative arrangement participants should be accounted for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under Topic 606. This ASU is effective for public</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692" w:right="27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entities for fiscal years beginning after December 15, 2019, with early adoption permitted. The Company is assessing the impact this standard will have on its consolidated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June 30, 2019, the Company’s available-for-sale marketable securities consisted of U.S. government and agency securities, commercial paper and corporate bonds. As of December 31, 2018, the Company did not have available-for-sale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available-for-sale marketable securities by major type of security as of June 30, 2019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3"/>
                <w:szCs w:val="13"/>
                <w:color w:val="auto"/>
              </w:rPr>
            </w:pP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7,487</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 and commercial paper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3,991</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11,477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available-for-sale marketable securities are classified in the Company’s consolidated balance sheets as short-term deposits and investments. The Company classifies its marketable debt securities based on their contractual maturity dates.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Amortized Cost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Amortized Cost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June 30, 2019, the Company held a total of 10 positions, none of which have been in an unrealized loss position for 12 months or greater. Based on the Company’s review of these securities, the Company believes that the cost basis of its available-for-sale marketable securities is recoverable and that, therefore, it had no other-than-temporary impairments on these securities as of June 30, 2019. The Company does not intend to sell these debt securities and the Company believes it is not more likely than not that it will be required to sell these securities before the recovery of their amortized cost basis, which may be maturity.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color w:val="auto"/>
        </w:rPr>
        <w:t>The Company has reported a net loss for the three and six months ended June 30, 2019, and 2018, and for this reason basic and diluted net loss per share are the same for all periods presented.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3"/>
        </w:trPr>
        <w:tc>
          <w:tcPr>
            <w:tcW w:w="56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(16,394)</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(18,796)</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(28,468)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(34,684)</w:t>
            </w:r>
          </w:p>
        </w:tc>
        <w:tc>
          <w:tcPr>
            <w:tcW w:w="0" w:type="dxa"/>
            <w:vAlign w:val="bottom"/>
          </w:tcPr>
          <w:p>
            <w:pPr>
              <w:spacing w:after="0"/>
              <w:rPr>
                <w:sz w:val="1"/>
                <w:szCs w:val="1"/>
                <w:color w:val="auto"/>
              </w:rPr>
            </w:pPr>
          </w:p>
        </w:tc>
      </w:tr>
      <w:tr>
        <w:trPr>
          <w:trHeight w:val="106"/>
        </w:trPr>
        <w:tc>
          <w:tcPr>
            <w:tcW w:w="56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30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44,855,083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22,355,603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41,668,902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22,350,591</w:t>
            </w:r>
          </w:p>
        </w:tc>
        <w:tc>
          <w:tcPr>
            <w:tcW w:w="0" w:type="dxa"/>
            <w:vAlign w:val="bottom"/>
          </w:tcPr>
          <w:p>
            <w:pPr>
              <w:spacing w:after="0"/>
              <w:rPr>
                <w:sz w:val="1"/>
                <w:szCs w:val="1"/>
                <w:color w:val="auto"/>
              </w:rPr>
            </w:pPr>
          </w:p>
        </w:tc>
      </w:tr>
      <w:tr>
        <w:trPr>
          <w:trHeight w:val="74"/>
        </w:trPr>
        <w:tc>
          <w:tcPr>
            <w:tcW w:w="56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60"/>
        </w:trPr>
        <w:tc>
          <w:tcPr>
            <w:tcW w:w="56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14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00" w:type="dxa"/>
            <w:vAlign w:val="bottom"/>
          </w:tcPr>
          <w:p>
            <w:pPr>
              <w:spacing w:after="0"/>
              <w:rPr>
                <w:sz w:val="18"/>
                <w:szCs w:val="18"/>
                <w:color w:val="auto"/>
              </w:rPr>
            </w:pPr>
          </w:p>
        </w:tc>
        <w:tc>
          <w:tcPr>
            <w:tcW w:w="160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3"/>
        </w:trPr>
        <w:tc>
          <w:tcPr>
            <w:tcW w:w="8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4,637,463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3,242,670</w:t>
            </w:r>
          </w:p>
        </w:tc>
        <w:tc>
          <w:tcPr>
            <w:tcW w:w="0" w:type="dxa"/>
            <w:vAlign w:val="bottom"/>
          </w:tcPr>
          <w:p>
            <w:pPr>
              <w:spacing w:after="0"/>
              <w:rPr>
                <w:sz w:val="1"/>
                <w:szCs w:val="1"/>
                <w:color w:val="auto"/>
              </w:rPr>
            </w:pPr>
          </w:p>
        </w:tc>
      </w:tr>
      <w:tr>
        <w:trPr>
          <w:trHeight w:val="80"/>
        </w:trPr>
        <w:tc>
          <w:tcPr>
            <w:tcW w:w="810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0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600" w:type="dxa"/>
            <w:vAlign w:val="bottom"/>
            <w:vMerge w:val="restart"/>
          </w:tcPr>
          <w:p>
            <w:pPr>
              <w:jc w:val="right"/>
              <w:ind w:right="48"/>
              <w:spacing w:after="0"/>
              <w:rPr>
                <w:sz w:val="20"/>
                <w:szCs w:val="20"/>
                <w:color w:val="auto"/>
              </w:rPr>
            </w:pPr>
            <w:r>
              <w:rPr>
                <w:rFonts w:ascii="Arial" w:cs="Arial" w:eastAsia="Arial" w:hAnsi="Arial"/>
                <w:sz w:val="14"/>
                <w:szCs w:val="14"/>
                <w:color w:val="auto"/>
              </w:rPr>
              <w:t>275,000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74"/>
        </w:trPr>
        <w:tc>
          <w:tcPr>
            <w:tcW w:w="8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95,619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0" w:type="dxa"/>
            <w:vAlign w:val="bottom"/>
          </w:tcPr>
          <w:p>
            <w:pPr>
              <w:spacing w:after="0"/>
              <w:rPr>
                <w:sz w:val="1"/>
                <w:szCs w:val="1"/>
                <w:color w:val="auto"/>
              </w:rPr>
            </w:pPr>
          </w:p>
        </w:tc>
      </w:tr>
      <w:tr>
        <w:trPr>
          <w:trHeight w:val="74"/>
        </w:trPr>
        <w:tc>
          <w:tcPr>
            <w:tcW w:w="8100" w:type="dxa"/>
            <w:vAlign w:val="bottom"/>
            <w:shd w:val="clear" w:color="auto" w:fill="CCEEFF"/>
          </w:tcPr>
          <w:p>
            <w:pPr>
              <w:spacing w:after="0"/>
              <w:rPr>
                <w:sz w:val="6"/>
                <w:szCs w:val="6"/>
                <w:color w:val="auto"/>
              </w:rPr>
            </w:pPr>
          </w:p>
        </w:tc>
        <w:tc>
          <w:tcPr>
            <w:tcW w:w="1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5,008,082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3,459,102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92"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tables below present information about the Company’s financial assets that are measured and carried at fair value as of June 30, 2019 and December 31, 2018, and indicate the level within the fair value hierarchy where each measurement is classified. Below is a summary of assets measured at fair value on a recurring basis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9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345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cash equivalents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345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Short-term investments: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7,489</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Corporate bonds and commercial paper</w:t>
            </w: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3,991</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short-term investments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6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600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10,123</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10,123</w:t>
            </w:r>
          </w:p>
        </w:tc>
      </w:tr>
      <w:tr>
        <w:trPr>
          <w:trHeight w:val="290"/>
        </w:trPr>
        <w:tc>
          <w:tcPr>
            <w:tcW w:w="6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6000" w:type="dxa"/>
            <w:vAlign w:val="bottom"/>
          </w:tcPr>
          <w:p>
            <w:pPr>
              <w:ind w:left="40"/>
              <w:spacing w:after="0"/>
              <w:rPr>
                <w:sz w:val="20"/>
                <w:szCs w:val="20"/>
                <w:color w:val="auto"/>
              </w:rPr>
            </w:pPr>
            <w:r>
              <w:rPr>
                <w:rFonts w:ascii="Arial" w:cs="Arial" w:eastAsia="Arial" w:hAnsi="Arial"/>
                <w:sz w:val="14"/>
                <w:szCs w:val="14"/>
                <w:color w:val="auto"/>
              </w:rPr>
              <w:t>Total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10,123</w:t>
            </w:r>
          </w:p>
        </w:tc>
        <w:tc>
          <w:tcPr>
            <w:tcW w:w="24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10,123</w:t>
            </w: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each of June 30, 2019 and December 31, 2018, cash and cash equivalent investments were held in money market funds maturing within 90 days from the date of purchase.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average maturity date for U.S. government and agency securities, included in investments at June 30, 2019 was 33 days. Fair value of U.S. government and agency securities approximated amortized value at each reporting date.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average maturity date for corporate bonds, included in investments at June 30, 2019 was 122 days. Fair value of corporate bonds approximated amortized value at June 30, 2019.</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average maturity date for commercial paper, included in investments at June 30, 2019 was 32 days. Fair value of commercial paper approximated amortized value at June 30, 2019.</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561</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247</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r>
      <w:tr>
        <w:trPr>
          <w:trHeight w:val="21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6,679</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(4,552)</w:t>
            </w:r>
          </w:p>
        </w:tc>
      </w:tr>
      <w:tr>
        <w:trPr>
          <w:trHeight w:val="216"/>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Depreciation expense was $0.2 million and $0.4 million for the three months ended June 30, 2019 and 2018, respectively. For the six months ended June 30, 2019 and 2018, depreciation expense was $0.4 million and $0.6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and licensing</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736</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5,344</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994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509</w:t>
            </w:r>
          </w:p>
        </w:tc>
      </w:tr>
      <w:tr>
        <w:trPr>
          <w:trHeight w:val="216"/>
        </w:trPr>
        <w:tc>
          <w:tcPr>
            <w:tcW w:w="85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11,700</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1, 2019, the Company adopted Topic 842 using the modified retrospective approach. The Company recorded operating lease assets (right-of-use assets) of $1.6 million and operating lease liabilities of $1.8 million and reversed a lease liability of $0.2 million related to straight-line rent and incentives. There was no impact to accumulated deficit upon adoption of Topic 842. The underlying assets of the Company’s leases are primarily office space. The Company determines if an arrangement qualifies as a lease at its inception.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 On January 1, 2019, the discount rate used on existing operating leases at adoption, which had remaining lease terms of 15 months, was 10.0%. For new or renewed leases starting in 2020, the discount rate is determined based on the Company’s incremental borrowing rate adjusted for the lease term including any reasonably certain renewal periods.</w:t>
      </w:r>
    </w:p>
    <w:p>
      <w:pPr>
        <w:spacing w:after="0" w:line="80"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Company enters into lease agreements with terms generally ranging from 2-8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1 and 5 years. When determining the lease term, renewal options reasonably certain of being exercised are included in the lease term. When determining if a renewal option is reasonably certain</w:t>
      </w:r>
    </w:p>
    <w:p>
      <w:pPr>
        <w:sectPr>
          <w:pgSz w:w="11900" w:h="16838" w:orient="portrait"/>
          <w:cols w:equalWidth="0" w:num="1">
            <w:col w:w="11420"/>
          </w:cols>
          <w:pgMar w:left="240" w:top="68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88" w:right="239" w:bottom="1440" w:gutter="0" w:footer="0" w:header="0"/>
          <w:type w:val="continuous"/>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t>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w:t>
      </w:r>
    </w:p>
    <w:p>
      <w:pPr>
        <w:spacing w:after="0" w:line="79" w:lineRule="exact"/>
        <w:rPr>
          <w:sz w:val="20"/>
          <w:szCs w:val="20"/>
          <w:color w:val="auto"/>
        </w:rPr>
      </w:pPr>
    </w:p>
    <w:p>
      <w:pPr>
        <w:ind w:right="40"/>
        <w:spacing w:after="0" w:line="221" w:lineRule="exact"/>
        <w:rPr>
          <w:sz w:val="20"/>
          <w:szCs w:val="20"/>
          <w:color w:val="auto"/>
        </w:rPr>
      </w:pPr>
      <w:r>
        <w:rPr>
          <w:rFonts w:ascii="Arial" w:cs="Arial" w:eastAsia="Arial" w:hAnsi="Arial"/>
          <w:sz w:val="17"/>
          <w:szCs w:val="17"/>
          <w:color w:val="auto"/>
        </w:rPr>
        <w:t>The Company has a non</w:t>
      </w:r>
      <w:r>
        <w:rPr>
          <w:rFonts w:ascii="MS PGothic" w:cs="MS PGothic" w:eastAsia="MS PGothic" w:hAnsi="MS PGothic"/>
          <w:sz w:val="17"/>
          <w:szCs w:val="17"/>
          <w:color w:val="auto"/>
        </w:rPr>
        <w:t>‑</w:t>
      </w:r>
      <w:r>
        <w:rPr>
          <w:rFonts w:ascii="Arial" w:cs="Arial" w:eastAsia="Arial" w:hAnsi="Arial"/>
          <w:sz w:val="17"/>
          <w:szCs w:val="17"/>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leasehold improvements are capitalized as a component of property and equipment.</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Headquarters Lease, the Company secured a letter of credit for $0.3 million which renews automatically each year and is classified in restricted cash.</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August 2016, the Company signed an amendment to the Headquarters Lease, which extends the term through March 31, 2020. Leases with an initial term of 12 months or less are not recorded on the balance sheet; the Company recognizes lease expense for these leases on a straight-line basis over the lease term. For lease agreements entered into or reassessed after the adoption of Topic 842, lease and non-lease components are combined.</w:t>
      </w:r>
    </w:p>
    <w:p>
      <w:pPr>
        <w:spacing w:after="0" w:line="14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October 2017, the Company entered into a lease for approximately 5,100 square feet of additional office space located at 75 North Beacon Street, Watertown, Massachusetts (the “75 North Beacon Lease”). On January 11, 2019, the Company vacated 75 North Beacon Street, Watertown, MA and consolidated all employees at its corporate headquarters at 480 Arsenal Way, Watertown, MA. The lease term expires in March 2020. The right of use asset carrying amount of $0.2 million attributable to the 75 North Beacon Lease was written down to zero during the first quarter of 2019.</w:t>
      </w:r>
    </w:p>
    <w:p>
      <w:pPr>
        <w:spacing w:after="0" w:line="17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office. Rent expense is recognized as incurred.</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Rent expense for the three months ended June 30, 2019 and 2018 was $0.6 million and $0.5 million, respectively. Rent expense for the six months ended June 30, 2019 and 2018 was $1.1 million and $1.0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2019, the components of lease costs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540" w:type="dxa"/>
            <w:vAlign w:val="bottom"/>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80" w:type="dxa"/>
            <w:vAlign w:val="bottom"/>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5380" w:type="dxa"/>
            <w:vAlign w:val="bottom"/>
          </w:tcPr>
          <w:p>
            <w:pPr>
              <w:spacing w:after="0"/>
              <w:rPr>
                <w:sz w:val="17"/>
                <w:szCs w:val="17"/>
                <w:color w:val="auto"/>
              </w:rPr>
            </w:pPr>
          </w:p>
        </w:tc>
        <w:tc>
          <w:tcPr>
            <w:tcW w:w="2540" w:type="dxa"/>
            <w:vAlign w:val="bottom"/>
          </w:tcPr>
          <w:p>
            <w:pPr>
              <w:jc w:val="right"/>
              <w:ind w:right="828"/>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80" w:type="dxa"/>
            <w:vAlign w:val="bottom"/>
          </w:tcPr>
          <w:p>
            <w:pPr>
              <w:jc w:val="right"/>
              <w:ind w:right="1248"/>
              <w:spacing w:after="0"/>
              <w:rPr>
                <w:sz w:val="20"/>
                <w:szCs w:val="20"/>
                <w:color w:val="auto"/>
              </w:rPr>
            </w:pPr>
            <w:r>
              <w:rPr>
                <w:rFonts w:ascii="Arial" w:cs="Arial" w:eastAsia="Arial" w:hAnsi="Arial"/>
                <w:sz w:val="14"/>
                <w:szCs w:val="14"/>
                <w:b w:val="1"/>
                <w:bCs w:val="1"/>
                <w:color w:val="auto"/>
              </w:rPr>
              <w:t>2019</w:t>
            </w:r>
          </w:p>
        </w:tc>
      </w:tr>
      <w:tr>
        <w:trPr>
          <w:trHeight w:val="80"/>
        </w:trPr>
        <w:tc>
          <w:tcPr>
            <w:tcW w:w="5380" w:type="dxa"/>
            <w:vAlign w:val="bottom"/>
            <w:tcBorders>
              <w:bottom w:val="single" w:sz="8" w:color="CCEEFF"/>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expense</w:t>
            </w:r>
          </w:p>
        </w:tc>
        <w:tc>
          <w:tcPr>
            <w:tcW w:w="2540" w:type="dxa"/>
            <w:vAlign w:val="bottom"/>
            <w:shd w:val="clear" w:color="auto" w:fill="CCEEFF"/>
          </w:tcPr>
          <w:p>
            <w:pPr>
              <w:jc w:val="right"/>
              <w:ind w:right="23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Variable lease expense</w:t>
            </w:r>
          </w:p>
        </w:tc>
        <w:tc>
          <w:tcPr>
            <w:tcW w:w="2540" w:type="dxa"/>
            <w:vAlign w:val="bottom"/>
          </w:tcPr>
          <w:p>
            <w:pPr>
              <w:spacing w:after="0"/>
              <w:rPr>
                <w:sz w:val="22"/>
                <w:szCs w:val="22"/>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460" w:type="dxa"/>
            <w:vAlign w:val="bottom"/>
          </w:tcPr>
          <w:p>
            <w:pPr>
              <w:spacing w:after="0"/>
              <w:rPr>
                <w:sz w:val="22"/>
                <w:szCs w:val="22"/>
                <w:color w:val="auto"/>
              </w:rPr>
            </w:pPr>
          </w:p>
        </w:tc>
        <w:tc>
          <w:tcPr>
            <w:tcW w:w="2580" w:type="dxa"/>
            <w:vAlign w:val="bottom"/>
          </w:tcPr>
          <w:p>
            <w:pPr>
              <w:jc w:val="right"/>
              <w:ind w:right="28"/>
              <w:spacing w:after="0"/>
              <w:rPr>
                <w:sz w:val="20"/>
                <w:szCs w:val="20"/>
                <w:color w:val="auto"/>
              </w:rPr>
            </w:pPr>
            <w:r>
              <w:rPr>
                <w:rFonts w:ascii="Arial" w:cs="Arial" w:eastAsia="Arial" w:hAnsi="Arial"/>
                <w:sz w:val="14"/>
                <w:szCs w:val="14"/>
                <w:color w:val="auto"/>
              </w:rPr>
              <w:t>414</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lease expense</w:t>
            </w:r>
          </w:p>
        </w:tc>
        <w:tc>
          <w:tcPr>
            <w:tcW w:w="25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460" w:type="dxa"/>
            <w:vAlign w:val="bottom"/>
            <w:tcBorders>
              <w:bottom w:val="single" w:sz="8" w:color="auto"/>
            </w:tcBorders>
            <w:shd w:val="clear" w:color="auto" w:fill="CCEEFF"/>
          </w:tcPr>
          <w:p>
            <w:pPr>
              <w:spacing w:after="0"/>
              <w:rPr>
                <w:sz w:val="23"/>
                <w:szCs w:val="23"/>
                <w:color w:val="auto"/>
              </w:rPr>
            </w:pPr>
          </w:p>
        </w:tc>
        <w:tc>
          <w:tcPr>
            <w:tcW w:w="2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Total lease expense</w:t>
            </w:r>
          </w:p>
        </w:tc>
        <w:tc>
          <w:tcPr>
            <w:tcW w:w="2540" w:type="dxa"/>
            <w:vAlign w:val="bottom"/>
            <w:tcBorders>
              <w:bottom w:val="single" w:sz="8" w:color="auto"/>
            </w:tcBorders>
          </w:tcPr>
          <w:p>
            <w:pPr>
              <w:jc w:val="right"/>
              <w:ind w:right="23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w:t>
            </w:r>
          </w:p>
        </w:tc>
      </w:tr>
      <w:tr>
        <w:trPr>
          <w:trHeight w:val="20"/>
        </w:trPr>
        <w:tc>
          <w:tcPr>
            <w:tcW w:w="538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the Company's operating lease liabilities as of June 30, 2019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09"/>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leases:</w:t>
            </w: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 (Remainder)</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2020</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future minimum lease payments</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imputed interest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operating lease liabilities</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0"/>
        </w:trPr>
        <w:tc>
          <w:tcPr>
            <w:tcW w:w="9940" w:type="dxa"/>
            <w:vAlign w:val="bottom"/>
            <w:vMerge w:val="restart"/>
          </w:tcPr>
          <w:p>
            <w:pPr>
              <w:ind w:left="40"/>
              <w:spacing w:after="0"/>
              <w:rPr>
                <w:sz w:val="20"/>
                <w:szCs w:val="20"/>
                <w:color w:val="auto"/>
              </w:rPr>
            </w:pPr>
            <w:r>
              <w:rPr>
                <w:rFonts w:ascii="Arial" w:cs="Arial" w:eastAsia="Arial" w:hAnsi="Arial"/>
                <w:sz w:val="14"/>
                <w:szCs w:val="14"/>
                <w:color w:val="auto"/>
              </w:rPr>
              <w:t>Included in the condensed consolidated balance sheet:</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940" w:type="dxa"/>
            <w:vAlign w:val="bottom"/>
            <w:vMerge w:val="continue"/>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operating lease liabilities</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Non-current operating lease liabilities</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lease liabilities</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tcPr>
          <w:p>
            <w:pPr>
              <w:jc w:val="center"/>
              <w:ind w:right="30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08"/>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b w:val="1"/>
                <w:bCs w:val="1"/>
                <w:color w:val="auto"/>
              </w:rPr>
              <w:t>2019</w:t>
            </w: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Supplemental Cash Flows Information</w:t>
            </w:r>
          </w:p>
        </w:tc>
        <w:tc>
          <w:tcPr>
            <w:tcW w:w="3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r>
      <w:tr>
        <w:trPr>
          <w:trHeight w:val="216"/>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Operating cash flows from operating leases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735</w:t>
            </w:r>
          </w:p>
        </w:tc>
      </w:tr>
      <w:tr>
        <w:trPr>
          <w:trHeight w:val="20"/>
        </w:trPr>
        <w:tc>
          <w:tcPr>
            <w:tcW w:w="8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changes in the Company’s right of use asset and lease liability for the six months ended June 30, 2019 are reflected in the changes in prepaid expenses, deposits and other assets and accrued expenses and other liabilities, respectively, in the consolidated statements of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209"/>
        </w:trPr>
        <w:tc>
          <w:tcPr>
            <w:tcW w:w="9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leases:</w:t>
            </w: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16"/>
        </w:trPr>
        <w:tc>
          <w:tcPr>
            <w:tcW w:w="9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remaining lease term</w:t>
            </w: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 years</w:t>
            </w:r>
          </w:p>
        </w:tc>
      </w:tr>
      <w:tr>
        <w:trPr>
          <w:trHeight w:val="191"/>
        </w:trPr>
        <w:tc>
          <w:tcPr>
            <w:tcW w:w="9900" w:type="dxa"/>
            <w:vAlign w:val="bottom"/>
          </w:tcPr>
          <w:p>
            <w:pPr>
              <w:ind w:left="40"/>
              <w:spacing w:after="0"/>
              <w:rPr>
                <w:sz w:val="20"/>
                <w:szCs w:val="20"/>
                <w:color w:val="auto"/>
              </w:rPr>
            </w:pPr>
            <w:r>
              <w:rPr>
                <w:rFonts w:ascii="Arial" w:cs="Arial" w:eastAsia="Arial" w:hAnsi="Arial"/>
                <w:sz w:val="14"/>
                <w:szCs w:val="14"/>
                <w:color w:val="auto"/>
              </w:rPr>
              <w:t>Weighted-average discount rate</w:t>
            </w:r>
          </w:p>
        </w:tc>
        <w:tc>
          <w:tcPr>
            <w:tcW w:w="152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September 12, 2017, the Company entered into a term loan facility of up to $21.0 million (the “2017 Term Loan”) with Silicon Valley Bank, a California corporation (“SVB”). The 2017 Term Loan is governed by a loan and security agreement, dated September 12, 2017, between the Company and SVB (the “Loan Agreement”). The 2017 Term Loan was funded in full on September 13, 2017 (the “Funding Date”).</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w:t>
      </w:r>
    </w:p>
    <w:p>
      <w:pPr>
        <w:spacing w:after="0" w:line="2" w:lineRule="exact"/>
        <w:rPr>
          <w:sz w:val="20"/>
          <w:szCs w:val="20"/>
          <w:color w:val="auto"/>
        </w:rPr>
      </w:pPr>
    </w:p>
    <w:p>
      <w:pPr>
        <w:ind w:right="140" w:firstLine="8"/>
        <w:spacing w:after="0" w:line="261"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pays on the date of such prepayment for all outstanding principal plus accrued and unpaid interest, 2% if prepaid after the first anniversary but before the second anniversaries, and 1% if prepaid after the second anniversary.</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disposition of intellectual property. The Company has also granted SVB a negative pledge with respect to its intellectual property.</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All deposits in operating, depository and securities accounts are required to be maintained with SVB in an amount equal to the lessor of (i) 100% of the dollar value owed or (ii) 105% of the dollar amount of the then outstanding obligations.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and December 31, 2018, the outstanding principal balance under the 2017 Term Loan was $21.0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and interest payments on the 2017 Term Loan as of June 30, 2019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Pr>
          <w:p>
            <w:pPr>
              <w:ind w:left="40"/>
              <w:spacing w:after="0"/>
              <w:rPr>
                <w:sz w:val="20"/>
                <w:szCs w:val="20"/>
                <w:color w:val="auto"/>
              </w:rPr>
            </w:pPr>
            <w:r>
              <w:rPr>
                <w:rFonts w:ascii="Arial" w:cs="Arial" w:eastAsia="Arial" w:hAnsi="Arial"/>
                <w:sz w:val="14"/>
                <w:szCs w:val="14"/>
                <w:color w:val="auto"/>
              </w:rPr>
              <w:t>2019 (Remainder)</w:t>
            </w:r>
          </w:p>
        </w:tc>
        <w:tc>
          <w:tcPr>
            <w:tcW w:w="5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4,109</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9,232</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8,718</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1,754</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23,813</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r>
      <w:tr>
        <w:trPr>
          <w:trHeight w:val="197"/>
        </w:trPr>
        <w:tc>
          <w:tcPr>
            <w:tcW w:w="994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Current portion of loan payable</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(21,548)</w:t>
            </w:r>
          </w:p>
        </w:tc>
      </w:tr>
      <w:tr>
        <w:trPr>
          <w:trHeight w:val="190"/>
        </w:trPr>
        <w:tc>
          <w:tcPr>
            <w:tcW w:w="9940" w:type="dxa"/>
            <w:vAlign w:val="bottom"/>
          </w:tcPr>
          <w:p>
            <w:pPr>
              <w:ind w:left="40"/>
              <w:spacing w:after="0"/>
              <w:rPr>
                <w:sz w:val="20"/>
                <w:szCs w:val="20"/>
                <w:color w:val="auto"/>
              </w:rPr>
            </w:pPr>
            <w:r>
              <w:rPr>
                <w:rFonts w:ascii="Arial" w:cs="Arial" w:eastAsia="Arial" w:hAnsi="Arial"/>
                <w:sz w:val="14"/>
                <w:szCs w:val="14"/>
                <w:color w:val="auto"/>
              </w:rPr>
              <w:t>Loan payable, net of current portion</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
        </w:trPr>
        <w:tc>
          <w:tcPr>
            <w:tcW w:w="9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 amounts due under the 2017 Term Loan have been classified as a current liability as of June 30, 2019 due to the considerations discussed in Note 1 and the assessment that the material adverse change clause under the 2017 Term Loan is not within the Company's control. The Company has not been notified of an event of default by SVB as of the date of the filing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each of the three months ended June 30, 2019 and 2018, the Company recognized $0.4 million of interest expense related to the 2017 Term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2019 and 2018, interest expense was $0.8 million and $0.7 million, respectively.</w:t>
      </w:r>
    </w:p>
    <w:p>
      <w:pPr>
        <w:spacing w:after="0" w:line="200" w:lineRule="exact"/>
        <w:rPr>
          <w:sz w:val="20"/>
          <w:szCs w:val="20"/>
          <w:color w:val="auto"/>
        </w:rPr>
      </w:pPr>
    </w:p>
    <w:p>
      <w:pPr>
        <w:spacing w:after="0" w:line="223" w:lineRule="exact"/>
        <w:rPr>
          <w:sz w:val="20"/>
          <w:szCs w:val="20"/>
          <w:color w:val="auto"/>
        </w:rPr>
      </w:pPr>
    </w:p>
    <w:p>
      <w:pPr>
        <w:ind w:right="9520" w:firstLine="8"/>
        <w:spacing w:after="0" w:line="566"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2019 Public Offering</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25, 2019, the Company completed an underwritten public offering of 20,000,000 shares of its common stock at a public offering price of $1.50 per share. On January 29, 2019, an additional 2,188,706 shares were sold at a public offering price of $1.50 per share pursuant to the underwriters’ exercise of an overallotment option. The total net proceeds from the offering were $30.9 million, after deducting underwriting discounts, transaction costs and commissions.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Shelf Registration Statement and “At-the-Market” Offering</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August 10, 2017, the Company filed a universal shelf registration statement on Form S-3 with the SEC to sell up to $200 million of equity and/or debt securities. The shelf registration statement was declared effective by the SEC on August 28, 2017.</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Concurrent with the filing of the shelf registration statement, the Company entered into a sales agreement (the “Sales Agreement”) with Jefferies LLC, as sales agent, pursuant to which the Company may, from time to time, issue and sell common stock with an aggregate value of up to $50 million in an "at-the-market" offering. During the three months ended June 30, 2019, the Company sold 164,926 shares of its common stock pursuant to the Sales Agreement for aggregate net proceeds of approximately $0.4 million, after deducting commissions and other transaction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6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After deducting for placement agent fees and offering expenses, the aggregate net proceeds from the 2017 PIPE was approximately $47.1 million. The Company expects to use the proceeds from the 2017 PIPE towards working capital requirements and general corporate purposes.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21, 2016, the Company completed its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Company's IPO on June 27, 2016, all outstanding shares of its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of June 30, 2019, the Company had 200,000,000 shares of common stock authorized for issuance, $0.0001 par value per share, with 44,952,951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June 30, 2019,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ectPr>
          <w:pgSz w:w="11900" w:h="16838" w:orient="portrait"/>
          <w:cols w:equalWidth="0" w:num="1">
            <w:col w:w="11400"/>
          </w:cols>
          <w:pgMar w:left="240" w:top="688" w:right="25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688" w:right="2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48"/>
              <w:spacing w:after="0"/>
              <w:rPr>
                <w:sz w:val="20"/>
                <w:szCs w:val="20"/>
                <w:color w:val="auto"/>
              </w:rPr>
            </w:pPr>
            <w:r>
              <w:rPr>
                <w:rFonts w:ascii="Arial" w:cs="Arial" w:eastAsia="Arial" w:hAnsi="Arial"/>
                <w:sz w:val="14"/>
                <w:szCs w:val="14"/>
                <w:b w:val="1"/>
                <w:bCs w:val="1"/>
                <w:color w:val="auto"/>
              </w:rPr>
              <w:t>Period ending</w:t>
            </w:r>
          </w:p>
        </w:tc>
      </w:tr>
      <w:tr>
        <w:trPr>
          <w:trHeight w:val="264"/>
        </w:trPr>
        <w:tc>
          <w:tcPr>
            <w:tcW w:w="7900" w:type="dxa"/>
            <w:vAlign w:val="bottom"/>
          </w:tcPr>
          <w:p>
            <w:pPr>
              <w:spacing w:after="0"/>
              <w:rPr>
                <w:sz w:val="22"/>
                <w:szCs w:val="22"/>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 2019</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95,619</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95,619</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3,939,486</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1,586,925</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RSUs reserved for issuance</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225,000</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175,000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common stock options</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4,637,463</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4,093,979</w:t>
            </w:r>
          </w:p>
        </w:tc>
      </w:tr>
      <w:tr>
        <w:trPr>
          <w:trHeight w:val="216"/>
        </w:trPr>
        <w:tc>
          <w:tcPr>
            <w:tcW w:w="7900" w:type="dxa"/>
            <w:vAlign w:val="bottom"/>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8,947,568</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5,951,523</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00" w:firstLine="8"/>
        <w:spacing w:after="0" w:line="503"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spacing w:after="0" w:line="1"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7"/>
          <w:szCs w:val="17"/>
          <w:color w:val="auto"/>
        </w:rPr>
        <w:t>‑</w:t>
      </w:r>
      <w:r>
        <w:rPr>
          <w:rFonts w:ascii="Arial" w:cs="Arial" w:eastAsia="Arial" w:hAnsi="Arial"/>
          <w:sz w:val="17"/>
          <w:szCs w:val="17"/>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7"/>
          <w:szCs w:val="17"/>
          <w:color w:val="auto"/>
        </w:rPr>
        <w:t>‑</w:t>
      </w:r>
      <w:r>
        <w:rPr>
          <w:rFonts w:ascii="Arial" w:cs="Arial" w:eastAsia="Arial" w:hAnsi="Arial"/>
          <w:sz w:val="17"/>
          <w:szCs w:val="17"/>
          <w:color w:val="auto"/>
        </w:rPr>
        <w:t>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six months ended June 30, 2019 and 2018, the number of shares of common stock that may be issued under the 2016 Plan was increased by 898,871 shares and 893,730 shares, respectively. As of June 30, 2019, 1,686,818 shares remain available for future issuance under the 2016 Plan.</w:t>
      </w:r>
    </w:p>
    <w:p>
      <w:pPr>
        <w:spacing w:after="0" w:line="20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2008 Plan and 2016 Plan provide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and 2016 Plan vest over periods as determined by the Board, which are generally four years and, for options, with terms that generally expire ten years from the grant date.</w:t>
      </w:r>
    </w:p>
    <w:p>
      <w:pPr>
        <w:spacing w:after="0" w:line="15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Inducement Incentive Award Plan. On March 25, 2019, the Board approved the amendment and restatement of the Inducement Incentive Award Plan to reserve an additional 2,000,000 shares of the Company’s common stock for issuance thereunder. As of June 30, 2019, there are 1,500,000 shares available for future grant under the Inducement Incentive Award Plan.</w:t>
      </w:r>
    </w:p>
    <w:p>
      <w:pPr>
        <w:spacing w:after="0" w:line="167"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color w:val="auto"/>
        </w:rPr>
        <w:t>The fair value of each option award was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Expected volatilities are based on historical volatilities from guideline companies because the Company's common stock has not traded for a period that is at least equal to the expected term of its stock option awards. The Company uses the “simplified” method to</w:t>
      </w:r>
    </w:p>
    <w:p>
      <w:pPr>
        <w:sectPr>
          <w:pgSz w:w="11900" w:h="16838" w:orient="portrait"/>
          <w:cols w:equalWidth="0" w:num="1">
            <w:col w:w="11420"/>
          </w:cols>
          <w:pgMar w:left="240" w:top="112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21" w:right="239" w:bottom="1440" w:gutter="0" w:footer="0" w:header="0"/>
          <w:type w:val="continuous"/>
        </w:sectPr>
      </w:pPr>
    </w:p>
    <w:bookmarkStart w:id="25" w:name="page26"/>
    <w:bookmarkEnd w:id="25"/>
    <w:p>
      <w:pPr>
        <w:ind w:right="20"/>
        <w:spacing w:after="0" w:line="219" w:lineRule="exact"/>
        <w:rPr>
          <w:sz w:val="20"/>
          <w:szCs w:val="20"/>
          <w:color w:val="auto"/>
        </w:rPr>
      </w:pPr>
      <w:r>
        <w:rPr>
          <w:rFonts w:ascii="Arial" w:cs="Arial" w:eastAsia="Arial" w:hAnsi="Arial"/>
          <w:sz w:val="18"/>
          <w:szCs w:val="18"/>
          <w:color w:val="auto"/>
        </w:rPr>
        <w:t>estimate the expected life of options granted and are expected to be outstanding.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only on awards that are expected to vest.</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March 31, 2019, the Company entered into a transition agreement and release with John Leaman, M.D., an executive officer, under which he vested in his outstanding unvested stock options (60,001 shares) that would have vested based solely on his continued service if he had continued providing services to the Company until December 31, 2019 and the right to exercise any vested stock options (137,918 shares) (after giving effect to the foregoing accelerated vesting) was extended until March 31, 2020. The subsequent stock based compensation amount was not material.</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2016 Plan and the Inducement Incentive Award Plan were calculated using the Black-Scholes option pricing model, based on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96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87.56%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85.45%</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12.37</w:t>
            </w:r>
          </w:p>
        </w:tc>
      </w:tr>
    </w:tbl>
    <w:p>
      <w:pPr>
        <w:spacing w:after="0" w:line="200" w:lineRule="exact"/>
        <w:rPr>
          <w:sz w:val="20"/>
          <w:szCs w:val="20"/>
          <w:color w:val="auto"/>
        </w:rPr>
      </w:pPr>
    </w:p>
    <w:p>
      <w:pPr>
        <w:spacing w:after="0" w:line="21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weighted average grant date fair value of stock options granted to employees during the six months ended June 30, 2019 and 2018 was $1.78 and $9.02, respectively. The aggregate intrinsic value of stock options exercised during the six months ended June 30, 2019 and 2018 was $0.1 million and $0.3 million, respectively.</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June 30, 2019, total unrecognized compensation expense related to unvested employee stock options was $9.3 million, which is expected to be recognized over a weighted average period of 3.0 years.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estimated grant date fair values of non-employee stock option awards granted under the 2016 Plan were calculated using the Black-Scholes option pricing model, based on the following weighted-average assumptions:</w:t>
      </w:r>
    </w:p>
    <w:p>
      <w:pPr>
        <w:spacing w:after="0" w:line="176"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23495</wp:posOffset>
            </wp:positionV>
            <wp:extent cx="1989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r>
      <w:tr>
        <w:trPr>
          <w:trHeight w:val="256"/>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264"/>
        </w:trPr>
        <w:tc>
          <w:tcPr>
            <w:tcW w:w="9260" w:type="dxa"/>
            <w:vAlign w:val="bottom"/>
            <w:gridSpan w:val="2"/>
          </w:tcPr>
          <w:p>
            <w:pPr>
              <w:ind w:left="40"/>
              <w:spacing w:after="0"/>
              <w:rPr>
                <w:sz w:val="20"/>
                <w:szCs w:val="20"/>
                <w:color w:val="auto"/>
              </w:rPr>
            </w:pPr>
            <w:r>
              <w:rPr>
                <w:rFonts w:ascii="Arial" w:cs="Arial" w:eastAsia="Arial" w:hAnsi="Arial"/>
                <w:sz w:val="14"/>
                <w:szCs w:val="14"/>
                <w:color w:val="auto"/>
              </w:rPr>
              <w:t>Dividend yield</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5.85</w:t>
            </w:r>
          </w:p>
        </w:tc>
      </w:tr>
      <w:tr>
        <w:trPr>
          <w:trHeight w:val="258"/>
        </w:trPr>
        <w:tc>
          <w:tcPr>
            <w:tcW w:w="9260" w:type="dxa"/>
            <w:vAlign w:val="bottom"/>
            <w:gridSpan w:val="2"/>
          </w:tcPr>
          <w:p>
            <w:pPr>
              <w:ind w:left="40"/>
              <w:spacing w:after="0"/>
              <w:rPr>
                <w:sz w:val="20"/>
                <w:szCs w:val="20"/>
                <w:color w:val="auto"/>
              </w:rPr>
            </w:pPr>
            <w:r>
              <w:rPr>
                <w:rFonts w:ascii="Arial" w:cs="Arial" w:eastAsia="Arial" w:hAnsi="Arial"/>
                <w:sz w:val="14"/>
                <w:szCs w:val="14"/>
                <w:color w:val="auto"/>
              </w:rPr>
              <w:t>Expected volatility</w:t>
            </w:r>
          </w:p>
        </w:tc>
        <w:tc>
          <w:tcPr>
            <w:tcW w:w="540" w:type="dxa"/>
            <w:vAlign w:val="bottom"/>
          </w:tcPr>
          <w:p>
            <w:pPr>
              <w:jc w:val="right"/>
              <w:spacing w:after="0"/>
              <w:rPr>
                <w:sz w:val="20"/>
                <w:szCs w:val="20"/>
                <w:color w:val="auto"/>
              </w:rPr>
            </w:pPr>
            <w:r>
              <w:rPr>
                <w:rFonts w:ascii="Arial" w:cs="Arial" w:eastAsia="Arial" w:hAnsi="Arial"/>
                <w:sz w:val="14"/>
                <w:szCs w:val="14"/>
                <w:color w:val="auto"/>
              </w:rPr>
              <w:t>88.44%</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85.95%</w:t>
            </w:r>
          </w:p>
        </w:tc>
      </w:tr>
    </w:tbl>
    <w:p>
      <w:pPr>
        <w:spacing w:after="0" w:line="200" w:lineRule="exact"/>
        <w:rPr>
          <w:sz w:val="20"/>
          <w:szCs w:val="20"/>
          <w:color w:val="auto"/>
        </w:rPr>
      </w:pPr>
    </w:p>
    <w:p>
      <w:pPr>
        <w:spacing w:after="0" w:line="2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grant date fair value of stock options granted to non-employees during the six months ended June 30, 2019 and 2018 was $0.65 and $8.71, respectively.</w:t>
      </w:r>
    </w:p>
    <w:p>
      <w:pPr>
        <w:spacing w:after="0" w:line="170" w:lineRule="exact"/>
        <w:rPr>
          <w:sz w:val="20"/>
          <w:szCs w:val="20"/>
          <w:color w:val="auto"/>
        </w:rPr>
      </w:pPr>
    </w:p>
    <w:p>
      <w:pPr>
        <w:ind w:right="360"/>
        <w:spacing w:after="0" w:line="223" w:lineRule="exact"/>
        <w:rPr>
          <w:sz w:val="20"/>
          <w:szCs w:val="20"/>
          <w:color w:val="auto"/>
        </w:rPr>
      </w:pPr>
      <w:r>
        <w:rPr>
          <w:rFonts w:ascii="Arial" w:cs="Arial" w:eastAsia="Arial" w:hAnsi="Arial"/>
          <w:sz w:val="18"/>
          <w:szCs w:val="18"/>
          <w:color w:val="auto"/>
        </w:rPr>
        <w:t>As of June 30, 2019,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$0.9 million, which is expected to be recognized over a weighted average period of 1.7 years.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summarizes the activity under the 2008 Plan, 2016 Plan, and Inducement Incentive Award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 price ($)</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3,681,575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1,561,054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(115,600)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(951,970)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June 30, 2019</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4,175,059</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72</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June 30,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1,175,155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June 30, 2019</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3,934,281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284"/>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412,404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June 30, 2019</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462,404</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June 30,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266,794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June 30, 2019</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462,404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2018, the Company awarded 175,000 restricted stock units under the Inducement Incentive Award Plan. The restricted stock units granted had a weighted average fair value of $6.03 per share based on the closing price of the Company’s common stock on the date of grant. These restricted stock units were valued at approximately $1.1 million.</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first quarter of 2019, the Company awarded 100,000 restricted stock units under the Inducement Incentive Award Plan, of which 50,000 were determined to be granted as of the award date consistent with ASC 718. The remaining 50,000 restricted stock units do not have a defined performance metric as of the award date, resulting in the restricted stock units being reserved for future issuance as of June 30, 2019. These restricted stock units will vest in two equal installments on the dates an applicable performance condition is achieved, on or prior to December 31, 2020. If the performance conditions are not satisfied on or prior to December 31, 2020, the restricted stock units will be forfeited for no consideration. The restricted stock units granted had a weighted average fair value of $2.29 per share based on the closing price of the Company’s common stock on the date of grant. The restricted stock units were valued at approximately $0.1 million on their grant date.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Unrecognized compensation expense is $1.0 million as of June 30, 2019, which is expected to be recognized over a weighted average period of 3.2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 ($)</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at December 31, 2018</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Granted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2.29</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Reserved for issuance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4"/>
                <w:szCs w:val="14"/>
                <w:color w:val="auto"/>
              </w:rPr>
              <w:t>Unvested at June 30, 2019</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275,000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5.20</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ectPr>
          <w:pgSz w:w="11900" w:h="16838" w:orient="portrait"/>
          <w:cols w:equalWidth="0" w:num="1">
            <w:col w:w="11420"/>
          </w:cols>
          <w:pgMar w:left="240" w:top="692" w:right="239" w:bottom="1068"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92" w:right="239" w:bottom="1068" w:gutter="0" w:footer="0" w:header="0"/>
          <w:type w:val="continuous"/>
        </w:sectPr>
      </w:pPr>
    </w:p>
    <w:bookmarkStart w:id="27" w:name="page28"/>
    <w:bookmarkEnd w:id="27"/>
    <w:p>
      <w:pPr>
        <w:ind w:right="22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ESPP offering period began on March 1, 2017.</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six months ended June 30, 2019 and 2018, the number of shares of common stock that may be issued under the ESPP was increased by 224,717 shares and 223,432 shares, respectively. During the six months ended June 30, 2019, the Company issued 11,943 shares of common stock under the ESPP. As of June 30, 2019, 752,668 shares remain available for future issuance under the ESPP.</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each of the six months ended June 30, 2019 and 2018, the Company recognized less than $0.1 million of stock-based compensation expense under the ESPP.</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806</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w:t>
            </w:r>
          </w:p>
        </w:tc>
      </w:tr>
      <w:tr>
        <w:trPr>
          <w:trHeight w:val="243"/>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2,439</w:t>
            </w:r>
          </w:p>
        </w:tc>
      </w:tr>
      <w:tr>
        <w:trPr>
          <w:trHeight w:val="20"/>
        </w:trPr>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320" w:firstLine="8"/>
        <w:spacing w:after="0" w:line="566"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Spark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ImmTOR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which term expires on December 1, 2019.</w:t>
      </w:r>
    </w:p>
    <w:p>
      <w:pPr>
        <w:spacing w:after="0" w:line="18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w:t>
      </w:r>
    </w:p>
    <w:p>
      <w:pPr>
        <w:sectPr>
          <w:pgSz w:w="11900" w:h="16838" w:orient="portrait"/>
          <w:cols w:equalWidth="0" w:num="1">
            <w:col w:w="11420"/>
          </w:cols>
          <w:pgMar w:left="240" w:top="692"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92" w:right="239" w:bottom="1440" w:gutter="0" w:footer="0" w:header="0"/>
          <w:type w:val="continuous"/>
        </w:sectPr>
      </w:pPr>
    </w:p>
    <w:bookmarkStart w:id="28" w:name="page29"/>
    <w:bookmarkEnd w:id="28"/>
    <w:p>
      <w:pPr>
        <w:ind w:right="340"/>
        <w:spacing w:after="0" w:line="277" w:lineRule="auto"/>
        <w:rPr>
          <w:sz w:val="20"/>
          <w:szCs w:val="20"/>
          <w:color w:val="auto"/>
        </w:rPr>
      </w:pPr>
      <w:r>
        <w:rPr>
          <w:rFonts w:ascii="Arial" w:cs="Arial" w:eastAsia="Arial" w:hAnsi="Arial"/>
          <w:sz w:val="18"/>
          <w:szCs w:val="18"/>
          <w:color w:val="auto"/>
        </w:rPr>
        <w:t>patents covering the jointly invented field specific improvements, or (iii) the expiration of regulatory exclusivity in the applicable country for the licensed product.</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agreed not to dispose of any of the Initial Closing Shares or any Acquisition Right Shares that it may acquire until January 1, 2018 and, thereafter, transfers are contractually subject to volume limitations applicable to an “affiliate” under Rule 144 of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Beyond the Initial Closing, the Spark Purchase Agreement contemplated potential future sales of shares by the Company to Spark as follows:</w:t>
      </w:r>
    </w:p>
    <w:p>
      <w:pPr>
        <w:spacing w:after="0" w:line="225" w:lineRule="exact"/>
        <w:rPr>
          <w:sz w:val="20"/>
          <w:szCs w:val="20"/>
          <w:color w:val="auto"/>
        </w:rPr>
      </w:pPr>
    </w:p>
    <w:p>
      <w:pPr>
        <w:ind w:left="660" w:right="4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46" w:lineRule="exact"/>
        <w:rPr>
          <w:rFonts w:ascii="Arial" w:cs="Arial" w:eastAsia="Arial" w:hAnsi="Arial"/>
          <w:sz w:val="17"/>
          <w:szCs w:val="17"/>
          <w:color w:val="auto"/>
        </w:rPr>
      </w:pPr>
    </w:p>
    <w:p>
      <w:pPr>
        <w:ind w:left="660" w:right="160" w:hanging="328"/>
        <w:spacing w:after="0" w:line="27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(Note 14) totaling $2.2 million for the MIT sub-license provided to Spark, and $0.4 million relative to the calculated premium paid by Spark for the equity investments made under the Spark Purchase Agreement.</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9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identified the following promises at the inception of the agreement: (1) certain exclusive, worldwide, royalty bearing licenses to the Company’s intellectual property and a license to conduct certain research activities under the collaboration, or the License Obligation, (2) options to research, develop and commercialize gene therapies utilizing the ImmTOR technology for up to four additional target therapy options, or the Option Obligation, (3) manufactured supply of preclinical and clinical ImmTOR, or the Supply Obligation at a discount, and (4) option to purchase manufactured supply of commercial ImmTOR, or the Commercial Supply Obligation at fair value. In consideration for these promises, the Company received an upfront payment of $15.0 million. In addition, the Company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determined that the License Obligation was not capable of being distinct from the Supply Obligation. This is because Spark cannot derive benefit from the license without the simultaneous transfer of the preclinical and clinical supply. Therefore, the License Obligation and Supply Obligation are combined as a single performance obligation (the “Combined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9" w:name="page30"/>
    <w:bookmarkEnd w:id="29"/>
    <w:p>
      <w:pPr>
        <w:ind w:right="260"/>
        <w:spacing w:after="0" w:line="273" w:lineRule="auto"/>
        <w:rPr>
          <w:sz w:val="20"/>
          <w:szCs w:val="20"/>
          <w:color w:val="auto"/>
        </w:rPr>
      </w:pPr>
      <w:r>
        <w:rPr>
          <w:rFonts w:ascii="Arial" w:cs="Arial" w:eastAsia="Arial" w:hAnsi="Arial"/>
          <w:sz w:val="17"/>
          <w:szCs w:val="17"/>
          <w:color w:val="auto"/>
        </w:rPr>
        <w:t>License and Supply Obligation”). The Company also determined that the Option Obligation, which includes the related Supply Obligation, provides the customer with a material right and is considered a performance obligation in the arrangement since it was priced at an incremental discount. The Company determined that the optional Commercial Supply Obligation does not provide the customer with a material right and is not considered to be a performance obligation because Spark can derive benefit from the Combined License and Supply Obligation without the delivery of the Commercial Supply Obligation and is not at an incremental discount. Therefore, the Company determined that the Spark agreement contains five distinct performance obligations: the Combined License and Supply Obligation, and the four separate Option Obligations.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June 30, 2019, all milestones were constrained. The Company will re-evaluate the transaction price in each reporting period, as uncertain events are resolved, or as other changes in circumstances occur.</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Option Obligation ($1.3 million for each option) using the relative standalone selling price method to each obligation. The standalone selling price for the Combined License and Supply Obligation was determined using a discounted cash flow model. The standalone selling price for the Option Obligation was determined based on the fair value of the license minus the strike price of the option (the probability of exercise was included in the valuation) as well as the estimated discount of the Supply Obligation.</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estimated proceeds to be received from the sale of the Supply Obligation was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is estimated to be approximately four years. The discount associated with the Option Obligation, along with the proceeds to be received upon exercise and estimated sale of the Supply Obligation, will be recognized when each of the options are exercised, over the related expected deliveries of its supply. If the options expire without exercise, the related deferred revenue associated with each option will be recognized upon expiration (December 1, 2019).</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recognized other assets of $2.6 million related to the incremental costs relating to the payments to MIT that would not have been incurred if the contract with Spark had not been obtained. Under the Company existing license agreement with MIT (See Note 14), in the event the Company sublicenses the MIT patents to a third party, it will be required to remit to MIT a percentage (ranging from 10% to 30%) of sublicense income. The Company concluded that the payments made to MIT were analogous to sales commissions and represented the cost to obtain a contract, which were evaluated under ASC 340-40-25-1. Such amounts were capitalized as they were both incremental and recoverable. However, upon further review, the Company noted that the amounts paid to MIT represent the cost to fulfill a contract rather than a cost to obtain a contract as they represent the costs that were incurred in order to fulfill their supply obligations under the Spark License Agreement. Therefore, the incremental payments to MIT represent part of the cost to fulfill the contract. When determining the appropriate accounting guidance for the costs to fulfill a customer contract, ASC 340-40-25-6 indicates that any other applicable literature should be considered first. Since the intellectual property is being used exclusively for research and development, the accounting for the MIT costs were previously accounted for under ASC 730-10. Since all of the payments to MIT related to the underlying intellectual property, that does not have alternative future use, such amounts should not have been capitalized, and instead remained recorded as research and development expense.</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evaluated the impact of the error on previously issued financial statements included in the Form 10-Q for the quarters ended March 31, 2018, June 30, 2018 and September 30, 2018, noting that the impact was not material to the balance sheet, statement of operations or cash flows. However, correcting the error would be material to the quarterly trends in the statement of operations to expense the amount in the fourth quarter. Therefore, such amounts were corrected by reducing current and long-term assets by $0.2 million and $2.4 million, respectively and increasing accumulated deficit by $2.6 million as of January 1, 2018 by reversing the amounts initially recorded in transition as is shown in the first quarter 2018 Stockholders' Equity (Deficit) statement. There was no impact to the consolidated statements of operations or cash flows for any of the quarters previously filed and no impact to any of the previously issued annual financial statements.</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six months ended June 30, 2019, there were two deliveries resulting in less than $0.1 million of revenue recognized. No revenue related to the Spark License Agreement was recognized during the twelve months ended December 31, 2018.</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30" w:name="page31"/>
    <w:bookmarkEnd w:id="30"/>
    <w:p>
      <w:pPr>
        <w:ind w:right="60"/>
        <w:spacing w:after="0" w:line="264" w:lineRule="auto"/>
        <w:rPr>
          <w:sz w:val="20"/>
          <w:szCs w:val="20"/>
          <w:color w:val="auto"/>
        </w:rPr>
      </w:pPr>
      <w:r>
        <w:rPr>
          <w:rFonts w:ascii="Arial" w:cs="Arial" w:eastAsia="Arial" w:hAnsi="Arial"/>
          <w:sz w:val="18"/>
          <w:szCs w:val="18"/>
          <w:color w:val="auto"/>
        </w:rPr>
        <w:t>As of June 30, 2019, there was a contract liability of $15.9 million representing deferred revenue associated with this agreement. A total of $1.0 million is presented as current and $14.9 million is presented as noncurrent in the accompanying consolidated balance sheet. As of December 31, 2018, there was $14.7 million of deferred revenue related to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in an amount not to exceed $2.5 million.</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were made, the underlying liability was reduced. To the extent that an amount was expected to be applied towards the clinical supply obligation, the analysis of variable consideration was updated accordingly.</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5, 2019, the term of the Reimbursement Period under the Letter Agreement expired. As of June 30, 2019, the Company updated their estimate of variable consideration included in the transaction price to include $1.2 million of unpaid reimbursements to Spark. As of June 30, 2019, the transaction price totaled $18.3 million, consisting of $11.6 million allocated to the Combined License and Supply Obligation and $6.7 million allocated to the discount on the Option Obligation ($1.7 million for each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received grant funding from the Russia-based Development Fund of New Technologies Development and Commercialization Center ("Skolkovo"). From grant inception through June 30, 2019, the Company received $2.0 million from Skolkovo.</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1" w:name="page32"/>
    <w:bookmarkEnd w:id="31"/>
    <w:p>
      <w:pPr>
        <w:ind w:right="240"/>
        <w:spacing w:after="0" w:line="308" w:lineRule="auto"/>
        <w:rPr>
          <w:sz w:val="20"/>
          <w:szCs w:val="20"/>
          <w:color w:val="auto"/>
        </w:rPr>
      </w:pPr>
      <w:r>
        <w:rPr>
          <w:rFonts w:ascii="Arial" w:cs="Arial" w:eastAsia="Arial" w:hAnsi="Arial"/>
          <w:sz w:val="17"/>
          <w:szCs w:val="17"/>
          <w:color w:val="auto"/>
        </w:rPr>
        <w:t>As of June 30, 2019, a contract liability of $0.1 million remains on the balance sheet and will not be recognized as revenue until the expiration of the three-year audit period, expected April 2021, or sooner, if resolution is reached with Skolkovo or there is a change in the estimate.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and excludes unexercised contract options. As of June 30, 2019, the aggregate amount of the transaction price allocated to remaining performance obligations was $9.3 million. The Company expects to recognize revenue on approximately 8.8% of the remaining performance obligations over the next 12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during the six months ended June 30, 2019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right"/>
              <w:ind w:right="56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Beginning of Period</w:t>
            </w: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360" w:type="dxa"/>
            <w:vAlign w:val="bottom"/>
          </w:tcPr>
          <w:p>
            <w:pPr>
              <w:spacing w:after="0"/>
              <w:rPr>
                <w:sz w:val="24"/>
                <w:szCs w:val="2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24"/>
                <w:szCs w:val="24"/>
                <w:color w:val="auto"/>
              </w:rPr>
            </w:pPr>
          </w:p>
        </w:tc>
        <w:tc>
          <w:tcPr>
            <w:tcW w:w="1600" w:type="dxa"/>
            <w:vAlign w:val="bottom"/>
          </w:tcPr>
          <w:p>
            <w:pPr>
              <w:jc w:val="right"/>
              <w:ind w:right="468"/>
              <w:spacing w:after="0"/>
              <w:rPr>
                <w:sz w:val="20"/>
                <w:szCs w:val="20"/>
                <w:color w:val="auto"/>
              </w:rPr>
            </w:pPr>
            <w:r>
              <w:rPr>
                <w:rFonts w:ascii="Arial" w:cs="Arial" w:eastAsia="Arial" w:hAnsi="Arial"/>
                <w:sz w:val="14"/>
                <w:szCs w:val="14"/>
                <w:b w:val="1"/>
                <w:bCs w:val="1"/>
                <w:color w:val="auto"/>
              </w:rPr>
              <w:t>End of Period</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3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14,777</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16,006</w:t>
            </w:r>
          </w:p>
        </w:tc>
      </w:tr>
      <w:tr>
        <w:trPr>
          <w:trHeight w:val="264"/>
        </w:trPr>
        <w:tc>
          <w:tcPr>
            <w:tcW w:w="3340" w:type="dxa"/>
            <w:vAlign w:val="bottom"/>
          </w:tcPr>
          <w:p>
            <w:pPr>
              <w:ind w:left="220"/>
              <w:spacing w:after="0"/>
              <w:rPr>
                <w:sz w:val="20"/>
                <w:szCs w:val="20"/>
                <w:color w:val="auto"/>
              </w:rPr>
            </w:pPr>
            <w:r>
              <w:rPr>
                <w:rFonts w:ascii="Arial" w:cs="Arial" w:eastAsia="Arial" w:hAnsi="Arial"/>
                <w:sz w:val="14"/>
                <w:szCs w:val="14"/>
                <w:color w:val="auto"/>
              </w:rPr>
              <w:t>Other liabilities (i)</w:t>
            </w:r>
          </w:p>
        </w:tc>
        <w:tc>
          <w:tcPr>
            <w:tcW w:w="22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2,126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319</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16,903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16,325</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(i) As of June 30, 2019, the current portion of other liabilities in the amount of $0.3 million is presented in the accrued expenses line of the consolidated balance sheet.</w:t>
      </w:r>
    </w:p>
    <w:p>
      <w:pPr>
        <w:spacing w:after="0" w:line="200" w:lineRule="exact"/>
        <w:rPr>
          <w:sz w:val="20"/>
          <w:szCs w:val="20"/>
          <w:color w:val="auto"/>
        </w:rPr>
      </w:pPr>
    </w:p>
    <w:p>
      <w:pPr>
        <w:spacing w:after="0" w:line="39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January 2019, the Company completed a registered public offering pursuant to which it issued and sold an aggregate of 22,188,706 shares of its common stock (including 2,188,706 shares sold pursuant to the underwriters’ full exercise of their option to purchase additional shares) at a public offering price of $1.50 per share for aggregate gross proceeds to the Company of approximately $33.3 million (the “2019 Follow-On”). The following table sets forth the number of shares of common stock purchased in the 2019 Follow-On by directors (and related parties thereto) and holders of more than 5% of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820" w:type="dxa"/>
            <w:vAlign w:val="bottom"/>
          </w:tcPr>
          <w:p>
            <w:pPr>
              <w:jc w:val="right"/>
              <w:ind w:right="548"/>
              <w:spacing w:after="0"/>
              <w:rPr>
                <w:sz w:val="20"/>
                <w:szCs w:val="20"/>
                <w:color w:val="auto"/>
              </w:rPr>
            </w:pPr>
            <w:r>
              <w:rPr>
                <w:rFonts w:ascii="Arial" w:cs="Arial" w:eastAsia="Arial" w:hAnsi="Arial"/>
                <w:sz w:val="14"/>
                <w:szCs w:val="14"/>
                <w:b w:val="1"/>
                <w:bCs w:val="1"/>
                <w:color w:val="auto"/>
              </w:rPr>
              <w:t>Shares of Common</w:t>
            </w:r>
          </w:p>
        </w:tc>
        <w:tc>
          <w:tcPr>
            <w:tcW w:w="520" w:type="dxa"/>
            <w:vAlign w:val="bottom"/>
          </w:tcPr>
          <w:p>
            <w:pPr>
              <w:spacing w:after="0"/>
              <w:rPr>
                <w:sz w:val="14"/>
                <w:szCs w:val="14"/>
                <w:color w:val="auto"/>
              </w:rPr>
            </w:pPr>
          </w:p>
        </w:tc>
        <w:tc>
          <w:tcPr>
            <w:tcW w:w="1960" w:type="dxa"/>
            <w:vAlign w:val="bottom"/>
          </w:tcPr>
          <w:p>
            <w:pPr>
              <w:jc w:val="right"/>
              <w:ind w:right="9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3820" w:type="dxa"/>
            <w:vAlign w:val="bottom"/>
          </w:tcPr>
          <w:p>
            <w:pPr>
              <w:jc w:val="right"/>
              <w:ind w:right="628"/>
              <w:spacing w:after="0"/>
              <w:rPr>
                <w:sz w:val="20"/>
                <w:szCs w:val="20"/>
                <w:color w:val="auto"/>
              </w:rPr>
            </w:pPr>
            <w:r>
              <w:rPr>
                <w:rFonts w:ascii="Arial" w:cs="Arial" w:eastAsia="Arial" w:hAnsi="Arial"/>
                <w:sz w:val="14"/>
                <w:szCs w:val="14"/>
                <w:b w:val="1"/>
                <w:bCs w:val="1"/>
                <w:color w:val="auto"/>
              </w:rPr>
              <w:t>Stock Purchased</w:t>
            </w:r>
          </w:p>
        </w:tc>
        <w:tc>
          <w:tcPr>
            <w:tcW w:w="520" w:type="dxa"/>
            <w:vAlign w:val="bottom"/>
          </w:tcPr>
          <w:p>
            <w:pPr>
              <w:spacing w:after="0"/>
              <w:rPr>
                <w:sz w:val="16"/>
                <w:szCs w:val="16"/>
                <w:color w:val="auto"/>
              </w:rPr>
            </w:pPr>
          </w:p>
        </w:tc>
        <w:tc>
          <w:tcPr>
            <w:tcW w:w="1960" w:type="dxa"/>
            <w:vAlign w:val="bottom"/>
          </w:tcPr>
          <w:p>
            <w:pPr>
              <w:jc w:val="right"/>
              <w:ind w:right="648"/>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Timothy A. Springer, Ph.D.</w:t>
            </w:r>
          </w:p>
        </w:tc>
        <w:tc>
          <w:tcPr>
            <w:tcW w:w="3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6,000,000.00</w:t>
            </w: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4"/>
                <w:szCs w:val="14"/>
                <w:color w:val="auto"/>
              </w:rPr>
              <w:t>Entities affiliated with NanoDimension</w:t>
            </w:r>
          </w:p>
        </w:tc>
        <w:tc>
          <w:tcPr>
            <w:tcW w:w="3820" w:type="dxa"/>
            <w:vAlign w:val="bottom"/>
          </w:tcPr>
          <w:p>
            <w:pPr>
              <w:jc w:val="right"/>
              <w:ind w:right="48"/>
              <w:spacing w:after="0"/>
              <w:rPr>
                <w:sz w:val="20"/>
                <w:szCs w:val="20"/>
                <w:color w:val="auto"/>
              </w:rPr>
            </w:pPr>
            <w:r>
              <w:rPr>
                <w:rFonts w:ascii="Arial" w:cs="Arial" w:eastAsia="Arial" w:hAnsi="Arial"/>
                <w:sz w:val="14"/>
                <w:szCs w:val="14"/>
                <w:color w:val="auto"/>
              </w:rPr>
              <w:t>1,666,666</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28"/>
              <w:spacing w:after="0"/>
              <w:rPr>
                <w:sz w:val="20"/>
                <w:szCs w:val="20"/>
                <w:color w:val="auto"/>
              </w:rPr>
            </w:pPr>
            <w:r>
              <w:rPr>
                <w:rFonts w:ascii="Arial" w:cs="Arial" w:eastAsia="Arial" w:hAnsi="Arial"/>
                <w:sz w:val="14"/>
                <w:szCs w:val="14"/>
                <w:color w:val="auto"/>
              </w:rPr>
              <w:t>2,499,999.00</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Entities affiliated with OrbiMed Advisors</w:t>
            </w:r>
          </w:p>
        </w:tc>
        <w:tc>
          <w:tcPr>
            <w:tcW w:w="3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1,333,333</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1,999,999.50</w:t>
            </w: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4"/>
                <w:szCs w:val="14"/>
                <w:color w:val="auto"/>
              </w:rPr>
              <w:t>Entities affiliated with Polaris</w:t>
            </w:r>
          </w:p>
        </w:tc>
        <w:tc>
          <w:tcPr>
            <w:tcW w:w="3820" w:type="dxa"/>
            <w:vAlign w:val="bottom"/>
          </w:tcPr>
          <w:p>
            <w:pPr>
              <w:jc w:val="right"/>
              <w:ind w:right="48"/>
              <w:spacing w:after="0"/>
              <w:rPr>
                <w:sz w:val="20"/>
                <w:szCs w:val="20"/>
                <w:color w:val="auto"/>
              </w:rPr>
            </w:pPr>
            <w:r>
              <w:rPr>
                <w:rFonts w:ascii="Arial" w:cs="Arial" w:eastAsia="Arial" w:hAnsi="Arial"/>
                <w:sz w:val="14"/>
                <w:szCs w:val="14"/>
                <w:color w:val="auto"/>
              </w:rPr>
              <w:t>666,666</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28"/>
              <w:spacing w:after="0"/>
              <w:rPr>
                <w:sz w:val="20"/>
                <w:szCs w:val="20"/>
                <w:color w:val="auto"/>
              </w:rPr>
            </w:pPr>
            <w:r>
              <w:rPr>
                <w:rFonts w:ascii="Arial" w:cs="Arial" w:eastAsia="Arial" w:hAnsi="Arial"/>
                <w:sz w:val="14"/>
                <w:szCs w:val="14"/>
                <w:color w:val="auto"/>
              </w:rPr>
              <w:t>999,999.00</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SAF-BND Trust (affiliate of Omid Farokhzad, M.D.)</w:t>
            </w:r>
          </w:p>
        </w:tc>
        <w:tc>
          <w:tcPr>
            <w:tcW w:w="3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83,333</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124,999.50</w:t>
            </w: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4"/>
                <w:szCs w:val="14"/>
                <w:color w:val="auto"/>
              </w:rPr>
              <w:t>Chafen Lu (Timothy Springer’s wife)</w:t>
            </w:r>
          </w:p>
        </w:tc>
        <w:tc>
          <w:tcPr>
            <w:tcW w:w="3820" w:type="dxa"/>
            <w:vAlign w:val="bottom"/>
          </w:tcPr>
          <w:p>
            <w:pPr>
              <w:jc w:val="right"/>
              <w:ind w:right="48"/>
              <w:spacing w:after="0"/>
              <w:rPr>
                <w:sz w:val="20"/>
                <w:szCs w:val="20"/>
                <w:color w:val="auto"/>
              </w:rPr>
            </w:pPr>
            <w:r>
              <w:rPr>
                <w:rFonts w:ascii="Arial" w:cs="Arial" w:eastAsia="Arial" w:hAnsi="Arial"/>
                <w:sz w:val="14"/>
                <w:szCs w:val="14"/>
                <w:color w:val="auto"/>
              </w:rPr>
              <w:t>66,666</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28"/>
              <w:spacing w:after="0"/>
              <w:rPr>
                <w:sz w:val="20"/>
                <w:szCs w:val="20"/>
                <w:color w:val="auto"/>
              </w:rPr>
            </w:pPr>
            <w:r>
              <w:rPr>
                <w:rFonts w:ascii="Arial" w:cs="Arial" w:eastAsia="Arial" w:hAnsi="Arial"/>
                <w:sz w:val="14"/>
                <w:szCs w:val="14"/>
                <w:color w:val="auto"/>
              </w:rPr>
              <w:t>99,999.00</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Jed Springer (Timothy Springer’s brother)</w:t>
            </w:r>
          </w:p>
        </w:tc>
        <w:tc>
          <w:tcPr>
            <w:tcW w:w="3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fourth quarter of 2018, the Company entered into an amended consulting agreement with Dr. Omid Farokhzad, a member of its Board of Directors. The term of the amendment to the Consulting Agreement is April 1, 2018 to December 31, 2019, which extends the original consulting term for an additional nine months from March 31, 2019. Compensation for the Amendment includes a $85,000 payment for the period beginning January 1, 2019 and ending December 31, 2019. The $85,000 will be paid quarterly across the contract term in arrears beginning March 31, 2019. Included within this agreement, a stock option award of 75,000 shares was granted, with a weighted average grant date fair value of $4.35.</w:t>
      </w:r>
    </w:p>
    <w:p>
      <w:pPr>
        <w:spacing w:after="0" w:line="1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incurred expenses for consulting services provided by its founders during the three months ended June 30, 2019 and 2018 totaling $0.1 million and less than $0.1 million, respectively, and $0.3 million and $0.1 million during the six months ended June 30, 2019 and 2018.</w:t>
      </w:r>
    </w:p>
    <w:p>
      <w:pPr>
        <w:spacing w:after="0" w:line="143" w:lineRule="exact"/>
        <w:rPr>
          <w:sz w:val="20"/>
          <w:szCs w:val="20"/>
          <w:color w:val="auto"/>
        </w:rPr>
      </w:pPr>
    </w:p>
    <w:p>
      <w:pPr>
        <w:ind w:right="8500" w:firstLine="8"/>
        <w:spacing w:after="0" w:line="687" w:lineRule="auto"/>
        <w:tabs>
          <w:tab w:leader="none" w:pos="27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Technology License Agreements Massachusetts Institute of Technology</w:t>
      </w:r>
    </w:p>
    <w:p>
      <w:pPr>
        <w:sectPr>
          <w:pgSz w:w="11900" w:h="16838" w:orient="portrait"/>
          <w:cols w:equalWidth="0" w:num="1">
            <w:col w:w="11420"/>
          </w:cols>
          <w:pgMar w:left="240" w:top="692" w:right="239" w:bottom="1440" w:gutter="0" w:footer="0" w:header="0"/>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92" w:right="239" w:bottom="1440" w:gutter="0" w:footer="0" w:header="0"/>
          <w:type w:val="continuous"/>
        </w:sectPr>
      </w:pPr>
    </w:p>
    <w:bookmarkStart w:id="32" w:name="page33"/>
    <w:bookmarkEnd w:id="32"/>
    <w:p>
      <w:pPr>
        <w:spacing w:after="0" w:line="221" w:lineRule="exact"/>
        <w:rPr>
          <w:sz w:val="20"/>
          <w:szCs w:val="20"/>
          <w:color w:val="auto"/>
        </w:rPr>
      </w:pPr>
      <w:r>
        <w:rPr>
          <w:rFonts w:ascii="Arial" w:cs="Arial" w:eastAsia="Arial" w:hAnsi="Arial"/>
          <w:sz w:val="16"/>
          <w:szCs w:val="16"/>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6"/>
          <w:szCs w:val="16"/>
          <w:color w:val="auto"/>
        </w:rPr>
        <w:t>‑</w:t>
      </w:r>
      <w:r>
        <w:rPr>
          <w:rFonts w:ascii="Arial" w:cs="Arial" w:eastAsia="Arial" w:hAnsi="Arial"/>
          <w:sz w:val="16"/>
          <w:szCs w:val="16"/>
          <w:color w:val="auto"/>
        </w:rPr>
        <w:t>bearing license to utilize patents held by MIT in exchange for upfront consideration and annual license maintenance fees. Such fees are expensed as incurred and have not been material to any period presented.</w:t>
      </w:r>
    </w:p>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of June 30, 2019,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six months ended June 30,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May 2014, the Company entered into a license agreement with Shenyang Sunshine Pharmaceutical Co., Ltd. (“3SBio”), which is referred to as the 3SBio License. The Company has paid to 3SBio an aggregate of $3.0 million in upfront and milestone-based payments under the 3SBio License.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2016, the Company entered into a license agreement with the Massachusetts Eye and Ear Infirmary and The Schepens Eye Research Institute,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(collectively, “MEE”), which is referred to as the MEE License.</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Through June 30, 2019, the Company paid a total of $0.4 million in license fees due under the MEE License. License fees less than $0.1 million are accrued under the MEE License as of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For the three and six months ended June 30, 2019 and 2018, the Company did not record a current or deferred income tax expense or benefit.</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January 2019, the Company completed an equity offering that it believes will result in an ownership change under Section 382 of the Internal Revenue Code. Based upon estimates, the Company believes that deferred tax assets of $49.5 million, related to federal and Massachusetts net operating losses and credits, will no longer be available going forward. Such amounts are offset by a full valuation allowance at December 31, 2018 and June 30, 2019. The Company will finalize this calculation in 2019.</w:t>
      </w:r>
    </w:p>
    <w:p>
      <w:pPr>
        <w:spacing w:after="0" w:line="18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June 30, 2019, the Company had no unrecognized tax benefits or related interest and penalties accrued. Interest and penalty charges, if any, related to unrecognized tax benefits would be classified as income tax expense in the accompanying statement of operations.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7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adoption of ASC 842, a deferred tax liability was recorded for the right-of-use asset. The deferred tax asset for the lease liability and the deferred tax asset for the lease incentives was reversed, with no impact to the valuation allowance or deferred tax expense.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16. Defined Contribution Plan</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June 30, 2019 and 2018, respectively, and $0.1 million during each of the six months ended June 30, 2019 and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June 30, 2019, the Company had operating lease agreements for offices in Watertown, MA, see Note 8 to the condensed consolidated financial statements for additional information regarding the Company's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permitted under Delaware law, the Company indemnifies its directors for certain events or occurrences while the director is, or was, serving at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request in such capacity. The term of the indemnification is for the director’s lifetime. The maximum potential amount of future payments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could be required to make is unlimited; however, the Company has directors’ insurance coverage that limits its exposure and enables it to recover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any future amounts paid. The Company also has indemnification arrangements under certain of its facility leases that require it to indemnify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 against certain costs, expenses, fines, suits, claims, demands, liabilities, and actions directly resulting from certain breaches, violations,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performance of any covenant or condition of the Company’s lease. The term of the indemnification is for the term of the related lease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potential amount of future payments the Company could be required to make under these indemnification agreements is unlimited. To date,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not experienced any material losses related to any of its indemnification obligations, and no material claims with respect thereto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Feasibility Study and License Agreement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August 6, 2019, the Company and Asklepios BioPharmaceutical, Inc., a Delaware corporation (“AskBio”), entered into a Feasibility Study and License Agreement (the “Agreement”). Pursuant to the Agreement the Company and AskBio agree to license intellectual property rights to each other as part of a collaboration to research, develop, and commercialize certain adeno-associated virus (“AAV”) gene therapy products utilizing the Company’s synthetic vaccine particle(s) encapsulating the immunomodulator rapamycin (“ImmTOR”) to enable re-dosing of such AAV gene therapy products to treat serious rare and orphan genetic diseases for which there is a significant unmet medical need.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Agreement, the Company and AskBio will conduct proof of concept studies to validate the use of ImmTOR in conjunction with AAV for the treatment of Methylmalonic Acidemia (MMA) based on the Company’s product candidate SEL-302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products utilizing ImmTOR for the treatment of certain agreed serious rare and orphan genetic diseases. If the POC Studies fail to demonstrate a proof of concept, and the parties do not mutually agree in writing to proceed with the collaboration, the Agreement will expire.</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Agreement, AskBio is responsible for manufacturing the AAV capsids and AAV vectors and the Company is responsible for manufacturing ImmTOR.</w:t>
      </w:r>
    </w:p>
    <w:p>
      <w:pPr>
        <w:sectPr>
          <w:pgSz w:w="11900" w:h="16838" w:orient="portrait"/>
          <w:cols w:equalWidth="0" w:num="1">
            <w:col w:w="11400"/>
          </w:cols>
          <w:pgMar w:left="240" w:top="68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688"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Office Lease</w:t>
      </w:r>
    </w:p>
    <w:p>
      <w:pPr>
        <w:spacing w:after="0" w:line="2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On July 23, 2019, Selecta Biosciences, Inc. (the “Company”) entered into a lease (the “Lease”) with BRE-BMR Grove LLC (the “Landlord”), pursuant to which the Company agreed to lease approximately 25,078 rentable square feet of office and laboratory space located on the first floor of 65 Grove Street, Watertown, Massachusetts (the “Premises”).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 of the Lease is estimated to begin on March 10, 2020 and end on April 30, 2028. The Lease provides that base rent for the Premises will be</w:t>
      </w:r>
    </w:p>
    <w:p>
      <w:pPr>
        <w:spacing w:after="0" w:line="3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$137,929.00 per month, or $66.00 per square foot annually, subject to an annual upward adjustment of 3% of the then current rental rate, starting on the first anniversary of the first payment of rent under the Lease, and other potential adjustments based on the Company’s utilization of certain tenant improvement allowances. Rent payments under the Lease will commence on the later of (i) May 1, 2020, and (ii) one month after the term of the Lease commences if the term commences after March 31, 2020. In accordance with ASC 842, a lease obligation will be recorded equal to the net present value of future payments using the Company’s incremental borrowing rate along with a corresponding right of use asset, adjusted for payments received for tenant allowances.</w:t>
      </w:r>
    </w:p>
    <w:p>
      <w:pPr>
        <w:spacing w:after="0" w:line="1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previously disclosed, the terms of the Company’s existing lease agreements for its laboratory and office space located at 480 Arsenal Way, Watertown, Massachusetts and 75 North Beacon Street, Watertown, Massachusetts each expire in March 2020.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Selecta Biosciences, Inc. (“Selecta” or the “Company”) is a clinical-stage biopharmaceutical company using its ImmTOR technology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Selecta’s proprietary tolerogenic ImmTOR technology encapsulates an immunomodulator in biodegradable nanoparticles and is designed to mitigate the formation of anti-drug antibodies, or ADAs, by inducing antigen-specific immune tolerance to biologic drugs. The Company believes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Selecta’s lead product candidate, SEL-212, is a combination of Selecta’s ImmTOR technology co-administered with pegadricase (Selecta’s proprietary uricase enzyme) that is designed to be the first biologic treatment that lowers uric acid in the blood to facilitate dissolution of uric acid deposits in patients with chronic refractory gout, a debilitating rare disease with an unmet medical need. The Company has submitted to the U.S. Food and Drug Administration, or FDA, two investigational new drug applications (INDs) for SEL-212, both of which are active. Each IND lists Selecta as the named sponsor and enables Selecta to conduct certain clinical trials of SEL-212 in adult patients with chronic gout refractory to conventional therapy. SEL-212 is currently in a Phase 2 clinical program in multiple clinical sites in the United States. Based on the Company’s Phase 1/2 clinical data, the Company believes that SEL-212 has the potential to control serum uric acid levels and mitigate the formation of ADAs in response to the therapeutic enzyme.</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2019, Selecta initiated a head-to-head clinical trial of SEL-212 (COMPARE) compared to the current FDA-approved therapy for chronic refractory gout, Krystexxa®. The COMPARE trial is expected to enroll 150 patients and is designed to compare the efficacy and safety of SEL-212 to Krystexxa in adult patients with chronic refractory gout. The primary endpoint is the comparison of maintenance of serum uric acid (sUA) of &lt; 6 mg/dl at six months of treatment with either SEL-212 or Krystexxa. An interim data analysis is expected in the fourth quarter of 2019, as well as a statistical superiority data analysis in the second quarter of 2020. The interim data analysis and learnings of the COMPARE trial are expected to inform the design of the planned Phase 3 clinical trial of SEL-212, which Selecta is planning to initiate in the fourth quarter of 2019, assuming the Company is able to raise the additional capital necessary to conduct the trial.</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SEL-212 is designed as a potential monthly treatment for chronic refractory gout consisting of a combination of the Company’s ImmTOR technology co-administered with pegadricase. In preclinical studies, the Company observed that ImmTOR, when co-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5" w:name="page36"/>
    <w:bookmarkEnd w:id="35"/>
    <w:p>
      <w:pPr>
        <w:spacing w:after="0" w:line="270" w:lineRule="auto"/>
        <w:rPr>
          <w:sz w:val="20"/>
          <w:szCs w:val="20"/>
          <w:color w:val="auto"/>
        </w:rPr>
      </w:pPr>
      <w:r>
        <w:rPr>
          <w:rFonts w:ascii="Arial" w:cs="Arial" w:eastAsia="Arial" w:hAnsi="Arial"/>
          <w:sz w:val="17"/>
          <w:szCs w:val="17"/>
          <w:color w:val="auto"/>
        </w:rPr>
        <w:t>administered with pegadricase, induced antigen-specific immune tolerance to pegadricase and substantially reduced the formation of associated ADAs. Selecta’s Phase 1 data shows that ImmTOR mitigated the formation of ADAs against pegadricase in a dose-dependent manner after a single dose of SEL-212. In the Company’s Phase 2 trial, ImmTOR inhibited the formation of ADAs in the majority of patients with up to five monthly doses, resulting in sustained reduction of sUA levels. The Company also observed a lower-than-expected rate of gout flares in the first months after initiation of SEL-212 treatment, with further reductions observed in months three to five. Selecta believes that reduced immunogenicity, prolonged efficacy, and monthly dosing would be important differentiating features of SEL-212 compared to other FDA-approved treatments. SEL-212, if successfully developed and approved, has the potential to offer a unique treatment for patients with chronic refractory gout, and also provide evidence supporting the clinical effectiveness of the Company’s ImmTOR technology. Selecta expects its clinical and marketing strategy for SEL-212 to focus on the estimated 160,000 patients in the United States with chronic refractory gout who are being treated by rheumatologists.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Selecta is also developing two gene therapy product candidates for rare inborn errors of metabolism. SEL-302, the Company’s lead gene therapy product candidate, is in preclinical development for the potential treatment for methylmalonic acidemia, which can cause severe developmental defects and premature death as a result of an accumulation of toxic metabolites. Selecta’s second preclinical gene therapy product candidate, SEL-313, is being developed to treat ornithine transcarbamylase deficiency. In September 2018, the Company announced a collaboration with CureCN, a European consortium, for the use of Selecta’s ImmTOR technology in combination with an AAV gene therapy in Crigler-Najjar syndrome, a rare genetic disorder characterized by an inability to properly convert and clear bilirubin from the body. The Company expects the CureCN consortium to obtain scientific advice from the German drug regulatory authority in the second half of 2019.</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Selecta was incorporated in 2007 under the laws of the State of Delaware and Selecta’s corporate headquarters is in Watertown, Massachusetts. The Company’s operations to date have been limited to organizing and staffing the Company, business planning, acquiring operating assets, raising capital, developing the Company’s technology, identifying potential nanoparticle immunomodulatory product candidates, research and development, undertaking preclinical studies and conducting clinical trials. To date, Selecta has financed its operations primarily through the public offering and private placements of its securities, funding received from research grants and collaboration arrangements and its credit facility. The Company does not have any products approved for sale and has not generated any product sales. All of Selecta’s revenue to date has been collaboration and grant revenue.</w:t>
      </w:r>
    </w:p>
    <w:p>
      <w:pPr>
        <w:spacing w:after="0" w:line="16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Since inception, the Company has incurred significant operating losses. The Company incurred net losses of $28.5 million and $34.7 million for the six months ended June 30, 2019 and 2018, respectively. As of June 30, 2019, the Company had an accumulated deficit of $308.9 million. Selecta expects to continue to incur significant expenses and operating losses for at least the next several years as it:</w:t>
      </w:r>
    </w:p>
    <w:p>
      <w:pPr>
        <w:spacing w:after="0" w:line="181" w:lineRule="exact"/>
        <w:rPr>
          <w:sz w:val="20"/>
          <w:szCs w:val="20"/>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conducts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continues the research and development of its other product candidates as well as product candidates that it may be developing jointly with collaboration partners;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seeks to enhance its ImmTOR technology and discover and develop additional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80" w:hanging="332"/>
        <w:spacing w:after="0" w:line="223" w:lineRule="exact"/>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establishes a sales, marketing and distribution infrastructure and scales</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it may obtain regulatory approval;</w:t>
      </w:r>
    </w:p>
    <w:p>
      <w:pPr>
        <w:spacing w:after="0" w:line="20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maintains, expands and protects its intellectual property portfolio, including through licensing arrangements; and</w:t>
      </w:r>
    </w:p>
    <w:p>
      <w:pPr>
        <w:spacing w:after="0" w:line="225" w:lineRule="exact"/>
        <w:rPr>
          <w:rFonts w:ascii="Arial" w:cs="Arial" w:eastAsia="Arial" w:hAnsi="Arial"/>
          <w:sz w:val="18"/>
          <w:szCs w:val="18"/>
          <w:color w:val="auto"/>
        </w:rPr>
      </w:pPr>
    </w:p>
    <w:p>
      <w:pPr>
        <w:ind w:left="340" w:right="8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adds clinical, scientific, operational, financial and management information systems and personnel, including personnel to support its product development and potential future commercialization efforts and to support its operations as a public company.</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Until such time, if ever, as the Company can generate substantial product revenues, the Company expects to finance its cash needs through a combination of equity offerings, debt financings, license and collaboration agreements with partners, and research grants. Selecta may be unable to raise capital when needed or on reasonable terms, if at all, which would force Selecta to delay, limit, reduce or terminate its product development or future commercialization efforts. The Company will need to generate significant revenues to achieve profitability, and it may never do so.</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current operating plan accounts for funding in preparation for the planned Phase 3 clinical program for SEL-212, which the Company plans to initiate in the fourth quarter of 2019. Selecta believes that it has the financial resources to complete the head-to-head Phase 2 COMPARE trial against Krystexxa, but will require an additional equity offering or other external sources of capital to conduct the planned Phase 3 program for SEL-212. Selecta has based this estimate on assumptions that may prove to be wrong, and the Company could use its capital resources sooner than it currently expects. Because of the uncertainty in securing additional capital, Selecta has concluded that substantial doubt exists with respect to its ability to continue as a going</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2" w:right="25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concern within one year after the date of the filing of this Quarterly Report on Form 10-Q. For additional information, see “Liquidity and Capital Resources.”</w:t>
      </w:r>
    </w:p>
    <w:p>
      <w:pPr>
        <w:spacing w:after="0" w:line="2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its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12 to our consolidated financial statements included elsewhere in this Quarterly Report on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206" w:lineRule="exact"/>
        <w:rPr>
          <w:sz w:val="20"/>
          <w:szCs w:val="20"/>
          <w:color w:val="auto"/>
        </w:rPr>
      </w:pPr>
    </w:p>
    <w:p>
      <w:pPr>
        <w:ind w:right="220"/>
        <w:spacing w:after="0" w:line="221" w:lineRule="exact"/>
        <w:rPr>
          <w:sz w:val="20"/>
          <w:szCs w:val="20"/>
          <w:color w:val="auto"/>
        </w:rPr>
      </w:pPr>
      <w:r>
        <w:rPr>
          <w:rFonts w:ascii="Arial" w:cs="Arial" w:eastAsia="Arial" w:hAnsi="Arial"/>
          <w:sz w:val="18"/>
          <w:szCs w:val="18"/>
          <w:color w:val="auto"/>
        </w:rPr>
        <w:t>We have incurred a total of $217.5 million in research and development expenses from inception through June 30, 2019,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candidate, and the remainder being spent on our various discovery and preclinical stage product candidate programs and the general expansion of our technology.</w:t>
      </w:r>
    </w:p>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our intention to focus on advancing our ImmTOR platform, as stated in January 2019, we have completed ongoing work on our immune stimulation programs SELA-070 and SEL-701, and currently do not have plans to move these programs forward or to perform any additional work on either of these programs.</w:t>
      </w:r>
    </w:p>
    <w:p>
      <w:pPr>
        <w:spacing w:after="0" w:line="7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As we expand the clinical development of SEL</w:t>
      </w:r>
      <w:r>
        <w:rPr>
          <w:rFonts w:ascii="MS PGothic" w:cs="MS PGothic" w:eastAsia="MS PGothic" w:hAnsi="MS PGothic"/>
          <w:sz w:val="17"/>
          <w:szCs w:val="17"/>
          <w:color w:val="auto"/>
        </w:rPr>
        <w:t>‑</w:t>
      </w:r>
      <w:r>
        <w:rPr>
          <w:rFonts w:ascii="Arial" w:cs="Arial" w:eastAsia="Arial" w:hAnsi="Arial"/>
          <w:sz w:val="17"/>
          <w:szCs w:val="17"/>
          <w:color w:val="auto"/>
        </w:rPr>
        <w:t>212 and our gene therapy programs, we expect our research and development expenses to increase.</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692"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280"/>
              <w:spacing w:after="0"/>
              <w:rPr>
                <w:sz w:val="20"/>
                <w:szCs w:val="20"/>
                <w:color w:val="auto"/>
              </w:rPr>
            </w:pPr>
            <w:r>
              <w:rPr>
                <w:rFonts w:ascii="Arial" w:cs="Arial" w:eastAsia="Arial" w:hAnsi="Arial"/>
                <w:sz w:val="14"/>
                <w:szCs w:val="14"/>
                <w:color w:val="auto"/>
              </w:rPr>
              <w:t>SEL-212</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8,454</w:t>
            </w:r>
          </w:p>
        </w:tc>
        <w:tc>
          <w:tcPr>
            <w:tcW w:w="12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7,090</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11,315</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11,892</w:t>
            </w:r>
          </w:p>
        </w:tc>
        <w:tc>
          <w:tcPr>
            <w:tcW w:w="0" w:type="dxa"/>
            <w:vAlign w:val="bottom"/>
          </w:tcPr>
          <w:p>
            <w:pPr>
              <w:spacing w:after="0"/>
              <w:rPr>
                <w:sz w:val="1"/>
                <w:szCs w:val="1"/>
                <w:color w:val="auto"/>
              </w:rPr>
            </w:pPr>
          </w:p>
        </w:tc>
      </w:tr>
      <w:tr>
        <w:trPr>
          <w:trHeight w:val="74"/>
        </w:trPr>
        <w:tc>
          <w:tcPr>
            <w:tcW w:w="55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SELA-070</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80"/>
        </w:trPr>
        <w:tc>
          <w:tcPr>
            <w:tcW w:w="55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32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74"/>
        </w:trPr>
        <w:tc>
          <w:tcPr>
            <w:tcW w:w="5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11,365</w:t>
            </w:r>
          </w:p>
        </w:tc>
        <w:tc>
          <w:tcPr>
            <w:tcW w:w="0" w:type="dxa"/>
            <w:vAlign w:val="bottom"/>
          </w:tcPr>
          <w:p>
            <w:pPr>
              <w:spacing w:after="0"/>
              <w:rPr>
                <w:sz w:val="1"/>
                <w:szCs w:val="1"/>
                <w:color w:val="auto"/>
              </w:rPr>
            </w:pPr>
          </w:p>
        </w:tc>
      </w:tr>
      <w:tr>
        <w:trPr>
          <w:trHeight w:val="80"/>
        </w:trPr>
        <w:tc>
          <w:tcPr>
            <w:tcW w:w="55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580" w:type="dxa"/>
            <w:vAlign w:val="bottom"/>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12,134</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14,407</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19,487</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25,546</w:t>
            </w: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for each of the three and six months ended June 30, 2019 and 2018 was de minimis.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each of June 30, 2019 and December 31, 2018, we maintained cash of $0.4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June 30, 2019 and 2018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87"/>
              </w:rPr>
              <w:t>Increase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88"/>
              </w:rPr>
              <w:t>(decrease)</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June 30, 2019, the Company recognized less than $0.1 million of revenue for a shipment under our collaboration agreement with Spark. The Company is actively exploring licenses and other strategic collaborations that have the potential to provide non-dilutive capital. To the extent that the Company is able to enter into any such arrangements with upfront payments, the Company may receive additional revenue and working capital in connection with such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ectPr>
          <w:pgSz w:w="11900" w:h="16838" w:orient="portrait"/>
          <w:cols w:equalWidth="0" w:num="1">
            <w:col w:w="11420"/>
          </w:cols>
          <w:pgMar w:left="240" w:top="692"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92"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color w:val="auto"/>
        </w:rPr>
        <w:t>The following is a comparison of research and development expenses for the three months ended June 30, 2019 and 2018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162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12,134</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14,407</w:t>
            </w: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(2,273)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three months ended June 30, 2019</w:t>
      </w:r>
      <w:r>
        <w:rPr>
          <w:rFonts w:ascii="Arial" w:cs="Arial" w:eastAsia="Arial" w:hAnsi="Arial"/>
          <w:sz w:val="18"/>
          <w:szCs w:val="18"/>
          <w:color w:val="2C2C2C"/>
        </w:rPr>
        <w:t>, our research and development expenses decreased by $2.3 million, or 16%, as com</w:t>
      </w:r>
      <w:r>
        <w:rPr>
          <w:rFonts w:ascii="Arial" w:cs="Arial" w:eastAsia="Arial" w:hAnsi="Arial"/>
          <w:sz w:val="18"/>
          <w:szCs w:val="18"/>
          <w:color w:val="auto"/>
        </w:rPr>
        <w:t>pared to the same period in 2018. The decrease reflects the reduced salaries and benefits as a result of our headcount reduction at the beginning of fiscal 2019. There were further cost reductions year over year relating to the completion of our work on SELA-070 and SEL-701, as the Company does not currently have plans to perform additional work on these programs. The cost reductions were offset by the timing of costs incurred for both our Phase 2 and Phase 3 clinical programs for SEL-212.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three months ended June 30, 2019 and 2018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4"/>
              </w:rPr>
              <w:t>Three Months Ended June 30,</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7"/>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4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96"/>
              </w:rPr>
              <w:t>2019</w:t>
            </w: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4,114</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4,362</w:t>
            </w: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(248)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June 30, 2019, our general and administrative expenses decreased by $0.2 million, or 6%, as compared to the same period in 2018. The reduction in costs was primarily the result of reduced patent fees, offset by an increase in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remained relatively unchanged during the three months ended June 30, 2019 as compared to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recognized foreign currency losses of less than $0.1 million and gains of less than $0.1 million during the three months ended June 30, 2019 and 2018, respectively, reflecting minimal fluctuation of the U.S. dollar to the Russian ruble from the beginning to the end of each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was $0.4 million for each of the three months ended June 30, 2019 and 2018,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each of the three months ended June 30,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June 30, 2019 was $16.4 million compared to $18.8 million for the three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six months ended June 30, 2019 and 2018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87"/>
              </w:rPr>
              <w:t>Increase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88"/>
              </w:rPr>
              <w:t>(decrease)</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six months ended June 30, 2019, the Company recognized less than $0.1 million of revenue for two shipments under our collaboration agreement with Spark. The Company is actively exploring licenses and other strategic collaborations that have the potential to provide non-dilutive capital. To the extent that the Company is able to enter into any such</w:t>
      </w:r>
    </w:p>
    <w:p>
      <w:pPr>
        <w:sectPr>
          <w:pgSz w:w="11900" w:h="16838" w:orient="portrait"/>
          <w:cols w:equalWidth="0" w:num="1">
            <w:col w:w="11420"/>
          </w:cols>
          <w:pgMar w:left="240" w:top="692" w:right="239" w:bottom="1041"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692" w:right="239" w:bottom="1041"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arrangements with upfront payments, the Company may receive additional revenue and working capital in connection with such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six months ended June 30, 2019 and 2018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87"/>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5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19,487</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25,546</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(6,059)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During the six months ended June 30, 2019</w:t>
      </w:r>
      <w:r>
        <w:rPr>
          <w:rFonts w:ascii="Arial" w:cs="Arial" w:eastAsia="Arial" w:hAnsi="Arial"/>
          <w:sz w:val="18"/>
          <w:szCs w:val="18"/>
          <w:color w:val="2C2C2C"/>
        </w:rPr>
        <w:t>, our research and development expenses decreased by $6.1 million, or 24%, as com</w:t>
      </w:r>
      <w:r>
        <w:rPr>
          <w:rFonts w:ascii="Arial" w:cs="Arial" w:eastAsia="Arial" w:hAnsi="Arial"/>
          <w:sz w:val="18"/>
          <w:szCs w:val="18"/>
          <w:color w:val="auto"/>
        </w:rPr>
        <w:t>pared to the same period in 2018. The decrease reflects the reduced salaries and benefits as a result of our headcount reduction at the beginning of fiscal 2019. There were further cost reductions year over year relating to the completion of our work on SELA-070 and SEL-701, as the Company does not currently have plans to perform additional work on these programs. The cost reductions were offset by the timing of costs incurred for both our Phase 2 and Phase 3 clinical programs for SEL-212.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six months ended June 30, 2019 and 2018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6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5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9,036</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(409)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During the six months ended June 30, 2019, our general and administrative expenses decreased by $0.4 million, or 5%, as compared to the same period in 2018. The reduction in costs was primarily the result of reduced patent and consulting fees offset by an increase in professional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remained relatively unchanged during the six months ended June 30, 2019 as compared to the same period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recognized foreign currency losses of less than $0.1 million and gains of less than $0.1 million during the six months ended June 30, 2019 and 2018, respectively, reflecting little fluctuation of the U.S. dollar to the Russian ruble from the beginning to the end of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Interest expense was $0.8 million and $0.7 million for the six months ended June 30, 2019 and 2018,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less than $0.1 million for each of the six months ended June 30,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six months ended June 30, 2019 was $28.5 million compared to $34.7 million for the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our inception through June 30, 2019, we have raised an aggregate of $342.1 million to fund our operations, which includes $118.5 million from the sale of preferred stock, $11.1 million in government grant funding, $25.3 million from</w:t>
      </w:r>
    </w:p>
    <w:p>
      <w:pPr>
        <w:sectPr>
          <w:pgSz w:w="11900" w:h="16838" w:orient="portrait"/>
          <w:cols w:equalWidth="0" w:num="1">
            <w:col w:w="11420"/>
          </w:cols>
          <w:pgMar w:left="240" w:top="69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92" w:right="239" w:bottom="1440" w:gutter="0" w:footer="0" w:header="0"/>
          <w:type w:val="continuous"/>
        </w:sectPr>
      </w:pPr>
    </w:p>
    <w:bookmarkStart w:id="40" w:name="page41"/>
    <w:bookmarkEnd w:id="40"/>
    <w:p>
      <w:pPr>
        <w:ind w:right="140"/>
        <w:spacing w:after="0" w:line="279" w:lineRule="auto"/>
        <w:rPr>
          <w:sz w:val="20"/>
          <w:szCs w:val="20"/>
          <w:color w:val="auto"/>
        </w:rPr>
      </w:pPr>
      <w:r>
        <w:rPr>
          <w:rFonts w:ascii="Arial" w:cs="Arial" w:eastAsia="Arial" w:hAnsi="Arial"/>
          <w:sz w:val="17"/>
          <w:szCs w:val="17"/>
          <w:color w:val="auto"/>
        </w:rPr>
        <w:t>borrowings under our credit facility, $44.3 million from our collaborations and license agreements, $64.5 million in combined net proceeds from our initial public offering in June 2016 and the underwriters' exercise in part of their option to purchase additional shares of our common stock in July 2016, $47.1 million in combined net proceeds from our private placement of common stock in June 2017, $30.9 million from a common stock public offering in January 2019, and $0.4 million in net proceeds from an "at-the-market" offering of our common stock in May 2019.</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10, 2017, we entered into an open market sale agreement with Jefferies LLC, as sales agent, or the Sales Agreement, pursuant to which we may, from time to time, issue and sell common stock with an aggregate value of up to $50.0 million in an "at-the market" offering. During the three months ended June 30, 2019, the Company sold 164,926 shares of our common stock pursuant to the Sales Agreement for aggregate net proceeds of approximately $0.4 million, after deducting commissions and other transaction costs.</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25, 2019, we completed a public offering of 20,000,000 shares of our common stock at a public offering price of $1.50 per share. On January 29, 2019, an additional 2,188,706 shares were sold at a public offering price of $1.50 per share. The total net proceeds from the offering were $30.9 million, after deducting underwriting discounts and commissions.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June 30, 2019, our cash, cash equivalents, restricted cash and short-term deposits and investments were $42.0 million, of which $0.4 million was held by our Russian subsidiary designated solely for use in its operations. Our Russian subsidiary cash is consolidated for financial reporting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existing cash equivalents, we receive research and development funding pursuant to our research grants and collaboration agreements.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Currently, funding from research grants and payments under our collaboration agreements represent our only source of committed external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June 30, 2019 and December 31, 2018, we had an accumulated deficit of $308.9 million and $280.4 million, respectively. We anticipate operating losses to continue for the foreseeable future due to, among other things, costs related to research,</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41" w:name="page42"/>
    <w:bookmarkEnd w:id="41"/>
    <w:p>
      <w:pPr>
        <w:ind w:right="400"/>
        <w:spacing w:after="0" w:line="342" w:lineRule="auto"/>
        <w:rPr>
          <w:sz w:val="20"/>
          <w:szCs w:val="20"/>
          <w:color w:val="auto"/>
        </w:rPr>
      </w:pPr>
      <w:r>
        <w:rPr>
          <w:rFonts w:ascii="Arial" w:cs="Arial" w:eastAsia="Arial" w:hAnsi="Arial"/>
          <w:sz w:val="16"/>
          <w:szCs w:val="16"/>
          <w:color w:val="auto"/>
        </w:rPr>
        <w:t>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12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Management is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accounts for funding in preparation for the planned Phase 3 clinical program for SEL-212. The Company believes that it has the financial resources to complete the head-to-head Phase 2 trial against Krystexxa®, but will require additional external sources of capital to conduct the planned Phase 3 clinical program.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Because of the uncertainty in securing additional capital and the insufficient amount of cash and short-term investments at June 30, 2019, management has concluded that substantial doubt exists with respect to our ability to continue as a going concern within one year after the date of the filing of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(11,274)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19,630</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cash used in operating activities for the six months ended June 30, 2019 was $27.4 million compared to $30.4 million in the same period in 2018, a decrease of $3.0 million. The decrease in net cash used in operating activities was primarily due to</w:t>
      </w:r>
    </w:p>
    <w:p>
      <w:pPr>
        <w:sectPr>
          <w:pgSz w:w="11900" w:h="16838" w:orient="portrait"/>
          <w:cols w:equalWidth="0" w:num="1">
            <w:col w:w="11420"/>
          </w:cols>
          <w:pgMar w:left="240" w:top="692" w:right="239" w:bottom="1095"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692" w:right="239" w:bottom="1095" w:gutter="0" w:footer="0" w:header="0"/>
          <w:type w:val="continuous"/>
        </w:sectPr>
      </w:pPr>
    </w:p>
    <w:bookmarkStart w:id="42" w:name="page43"/>
    <w:bookmarkEnd w:id="42"/>
    <w:p>
      <w:pPr>
        <w:ind w:firstLine="8"/>
        <w:spacing w:after="0" w:line="277"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$6.2 million decrease in recorded net loss for the six months ended June 30, 2019, (ii) an increase of $1.2 million in accounts payable, and (iii) a decrease of $3.0 million in prepaid expenses and other assets, offset by a decrease of $7.4 million of accrued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by investing activities for the six months ended June 30, 2019 was $11.3 million compared to net cash provided from investing activities of $19.6 million in the same period in 2018. The net cash used by investing activities in 2019 was the result of purchases of short-term investments of $18.2 million, offset by $4.9 million of maturities and $2.0 million of sales of short term investments. During 2018, the net cash provided by investing activities was the result of $34.0 million in maturities of short term investments, offset by purchases of short-term investments totaling $14.0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cash provided by financing activities for the six months ended June 30, 2019 was $31.5 million compared to $0.4 million in the same period in 2018. The net cash provided by financing activities in 2019 was the result of $30.9 million in net proceeds from the issuance of common stock under the January 2019 Public Offering and $0.4 million net proceeds from an "at-the-market" offering of our common stock in May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2019, we did not have any off-balance sheet arrangements as defined in the rules and regulations of the Securities and Exchange Commission.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refer to Note 2 to our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3" w:name="page44"/>
    <w:bookmarkEnd w:id="43"/>
    <w:p>
      <w:pPr>
        <w:ind w:right="20"/>
        <w:spacing w:after="0" w:line="289" w:lineRule="auto"/>
        <w:rPr>
          <w:sz w:val="20"/>
          <w:szCs w:val="20"/>
          <w:color w:val="auto"/>
        </w:rPr>
      </w:pPr>
      <w:r>
        <w:rPr>
          <w:rFonts w:ascii="Arial" w:cs="Arial" w:eastAsia="Arial" w:hAnsi="Arial"/>
          <w:sz w:val="16"/>
          <w:szCs w:val="16"/>
          <w:color w:val="auto"/>
        </w:rPr>
        <w:t>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2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Collaboration and Grant Revenue: </w:t>
      </w:r>
      <w:r>
        <w:rPr>
          <w:rFonts w:ascii="Arial" w:cs="Arial" w:eastAsia="Arial" w:hAnsi="Arial"/>
          <w:sz w:val="17"/>
          <w:szCs w:val="17"/>
          <w:color w:val="auto"/>
        </w:rPr>
        <w:t>We currently generate our revenue through grants, collaboration and license agreements with strategic collaborators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development and commercialization of product candidates. The grants, collaboration and license agreements are within the scope of ASC 606.</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the agreements,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capitalize the incremental costs of obtaining a contract with a customer if we expect to recover those costs. Such incremental costs would not have been incurred if the contract with a customer had not been obtained.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our intellectual property is determined to be distinct from the other performance obligations identified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6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2019 and December 31, 2018, we had cash, cash equivalents, restricted cash and short-term deposits and investments of $42.0 million and $37.7 million, respectively, consisting of non</w:t>
      </w:r>
      <w:r>
        <w:rPr>
          <w:rFonts w:ascii="MS PGothic" w:cs="MS PGothic" w:eastAsia="MS PGothic" w:hAnsi="MS PGothic"/>
          <w:sz w:val="17"/>
          <w:szCs w:val="17"/>
          <w:color w:val="auto"/>
        </w:rPr>
        <w:t>‑</w:t>
      </w:r>
      <w:r>
        <w:rPr>
          <w:rFonts w:ascii="Arial" w:cs="Arial" w:eastAsia="Arial" w:hAnsi="Arial"/>
          <w:sz w:val="17"/>
          <w:szCs w:val="17"/>
          <w:color w:val="auto"/>
        </w:rPr>
        <w:t>interest and interest</w:t>
      </w:r>
      <w:r>
        <w:rPr>
          <w:rFonts w:ascii="MS PGothic" w:cs="MS PGothic" w:eastAsia="MS PGothic" w:hAnsi="MS PGothic"/>
          <w:sz w:val="17"/>
          <w:szCs w:val="17"/>
          <w:color w:val="auto"/>
        </w:rPr>
        <w:t>‑</w:t>
      </w:r>
      <w:r>
        <w:rPr>
          <w:rFonts w:ascii="Arial" w:cs="Arial" w:eastAsia="Arial" w:hAnsi="Arial"/>
          <w:sz w:val="17"/>
          <w:szCs w:val="17"/>
          <w:color w:val="auto"/>
        </w:rPr>
        <w:t>bearing money market accounts. Our primary exposure to market risk is interest rate sensitivity, which is affected by changes in the general level of U.S. interest rates. Due to the short</w:t>
      </w:r>
      <w:r>
        <w:rPr>
          <w:rFonts w:ascii="MS PGothic" w:cs="MS PGothic" w:eastAsia="MS PGothic" w:hAnsi="MS PGothic"/>
          <w:sz w:val="17"/>
          <w:szCs w:val="17"/>
          <w:color w:val="auto"/>
        </w:rPr>
        <w:t>‑</w:t>
      </w:r>
      <w:r>
        <w:rPr>
          <w:rFonts w:ascii="Arial" w:cs="Arial" w:eastAsia="Arial" w:hAnsi="Arial"/>
          <w:sz w:val="17"/>
          <w:szCs w:val="17"/>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June 30, 2019, we held cash and cash equivalents totaling $0.4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Controller,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Controller concluded that our disclosure controls and procedures were effective at the reasonable assurance level as of June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June 30, 2019 that have materially affected, or are reasonably likely to materially affect, our internal control over financial reporting.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inception, we have incurred significant operating losses in every year. Our net loss was $28.5 million for the six months ended June 30, 2019 and $65.3 million for each of the years ended December 31, 2018 and 2017, respectively. As of June 30, 2019, we had an accumulated deficit of $308.9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technology, identifying potential product candidates and conducting preclinical studies and our clinical trials. We are in the early stages of development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166" w:lineRule="exact"/>
        <w:rPr>
          <w:sz w:val="20"/>
          <w:szCs w:val="20"/>
          <w:color w:val="auto"/>
        </w:rPr>
      </w:pPr>
    </w:p>
    <w:p>
      <w:pPr>
        <w:ind w:left="340" w:hanging="332"/>
        <w:spacing w:after="0" w:line="207" w:lineRule="exact"/>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enhance our ImmTOR technology and discover and develop additional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maintain and establish future collaborations with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9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6" w:lineRule="exact"/>
        <w:rPr>
          <w:rFonts w:ascii="Arial" w:cs="Arial" w:eastAsia="Arial" w:hAnsi="Arial"/>
          <w:sz w:val="17"/>
          <w:szCs w:val="17"/>
          <w:color w:val="auto"/>
        </w:rPr>
      </w:pPr>
    </w:p>
    <w:p>
      <w:pPr>
        <w:ind w:left="340" w:right="1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w:t>
      </w:r>
    </w:p>
    <w:p>
      <w:pPr>
        <w:sectPr>
          <w:pgSz w:w="11900" w:h="16838" w:orient="portrait"/>
          <w:cols w:equalWidth="0" w:num="1">
            <w:col w:w="11420"/>
          </w:cols>
          <w:pgMar w:left="240" w:top="68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688" w:right="239" w:bottom="1440" w:gutter="0" w:footer="0" w:header="0"/>
          <w:type w:val="continuous"/>
        </w:sectPr>
      </w:pPr>
    </w:p>
    <w:bookmarkStart w:id="46" w:name="page47"/>
    <w:bookmarkEnd w:id="46"/>
    <w:p>
      <w:pPr>
        <w:ind w:right="140"/>
        <w:spacing w:after="0" w:line="277" w:lineRule="auto"/>
        <w:rPr>
          <w:sz w:val="20"/>
          <w:szCs w:val="20"/>
          <w:color w:val="auto"/>
        </w:rPr>
      </w:pPr>
      <w:r>
        <w:rPr>
          <w:rFonts w:ascii="Arial" w:cs="Arial" w:eastAsia="Arial" w:hAnsi="Arial"/>
          <w:sz w:val="18"/>
          <w:szCs w:val="18"/>
          <w:color w:val="auto"/>
        </w:rPr>
        <w:t>there are any delays in completing our clinical trials or the development of any of our product candidates, our expenses could increase and revenue could be further delayed.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1"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our existing cash, cash equivalents, investments, and restricted cash as of June 30, 2019 will enable us to fund our operating expenses and capital expenditure requirements into the first quarter of 2020. The current operating plan accounts for funding in preparation for the planned Phase 3 clinical program for SEL-212, which we are planning to initiate in the fourth quarter of 2019. We believe that we have the financial resources to complete the Phase 2 head-to-head COMPARE trial against Krystexxa®, but will require an additional equity offering or other external sources of capital to conduct the planned Phase 3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line="207"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hanging="332"/>
        <w:spacing w:after="0" w:line="223"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w:t>
      </w:r>
    </w:p>
    <w:p>
      <w:pPr>
        <w:sectPr>
          <w:pgSz w:w="11900" w:h="16838" w:orient="portrait"/>
          <w:cols w:equalWidth="0" w:num="1">
            <w:col w:w="11380"/>
          </w:cols>
          <w:pgMar w:left="240" w:top="692" w:right="279"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692" w:right="279" w:bottom="1440" w:gutter="0" w:footer="0" w:header="0"/>
          <w:type w:val="continuous"/>
        </w:sectPr>
      </w:pPr>
    </w:p>
    <w:bookmarkStart w:id="47" w:name="page48"/>
    <w:bookmarkEnd w:id="47"/>
    <w:p>
      <w:pPr>
        <w:ind w:right="180"/>
        <w:spacing w:after="0" w:line="264" w:lineRule="auto"/>
        <w:rPr>
          <w:sz w:val="20"/>
          <w:szCs w:val="20"/>
          <w:color w:val="auto"/>
        </w:rPr>
      </w:pPr>
      <w:r>
        <w:rPr>
          <w:rFonts w:ascii="Arial" w:cs="Arial" w:eastAsia="Arial" w:hAnsi="Arial"/>
          <w:sz w:val="18"/>
          <w:szCs w:val="18"/>
          <w:color w:val="auto"/>
        </w:rPr>
        <w:t>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recurring losses from operations and negative cash flows from operations raise substantial doubt regarding our ability to continue as a going concern.</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of June 30, 2019 and December 31, 2018, we had an accumulated deficit of $308.9 million and $280.4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of filing this Quarterly Report on Form 10-Q.</w:t>
      </w:r>
    </w:p>
    <w:p>
      <w:pPr>
        <w:spacing w:after="0" w:line="17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accounts for funding in preparation for the planned Phase 3 clinical program for SEL-212. We believe that we have the financial resources to complete the Phase 2 head-to-head COMPARE trial against Krystexxa, but will require an additional equity offering or other external sources of capital to conduct the planned Phase 3 program for SEL-212.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If the foregoing plans are unsuccessful and we are unable to continue as a going concern, you could lose all or part of your investment in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SEL-212, our lead product candidate, our other product candidates are still in preclinical development. While we have completed our early development clinical trials and a Phase 2 clinical trial for SEL</w:t>
      </w:r>
      <w:r>
        <w:rPr>
          <w:rFonts w:ascii="MS PGothic" w:cs="MS PGothic" w:eastAsia="MS PGothic" w:hAnsi="MS PGothic"/>
          <w:sz w:val="16"/>
          <w:szCs w:val="16"/>
          <w:color w:val="auto"/>
        </w:rPr>
        <w:t>‑</w:t>
      </w:r>
      <w:r>
        <w:rPr>
          <w:rFonts w:ascii="Arial" w:cs="Arial" w:eastAsia="Arial" w:hAnsi="Arial"/>
          <w:sz w:val="16"/>
          <w:szCs w:val="16"/>
          <w:color w:val="auto"/>
        </w:rPr>
        <w:t>212, we have not completed a clinical trial for any other product candidate, nor have we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quarter and year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8" w:name="page49"/>
    <w:bookmarkEnd w:id="48"/>
    <w:p>
      <w:pPr>
        <w:ind w:right="60"/>
        <w:spacing w:after="0" w:line="273" w:lineRule="auto"/>
        <w:rPr>
          <w:sz w:val="20"/>
          <w:szCs w:val="20"/>
          <w:color w:val="auto"/>
        </w:rPr>
      </w:pPr>
      <w:r>
        <w:rPr>
          <w:rFonts w:ascii="Arial" w:cs="Arial" w:eastAsia="Arial" w:hAnsi="Arial"/>
          <w:sz w:val="17"/>
          <w:szCs w:val="17"/>
          <w:color w:val="auto"/>
        </w:rPr>
        <w:t>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62"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Tax Cuts and Jobs Act of 2017, or the TCJA, may cause a reduction in the economic benefit of our NOLs and other deferred tax assets available to us. Under the TCJA, net operating losses generated after December 31, 2017 will not be subject to expiration but may only be used to offset up to 80% of our taxable income.</w:t>
      </w:r>
    </w:p>
    <w:p>
      <w:pPr>
        <w:spacing w:after="0" w:line="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January 2019, the Company completed an equity offering that it believes will result in an ownership change under Section 382 of the Internal Revenue Code. Based upon estimates, the Company believes that deferred tax assets of $49.5 million, related to federal and Massachusetts net operating losses and credits, will no longer be available going forward. Such amounts are offset by a full valuation allowance at December 31, 2018. The Company will finalize this calculation in 2019.</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b w:val="1"/>
          <w:bCs w:val="1"/>
          <w:i w:val="1"/>
          <w:iCs w:val="1"/>
          <w:color w:val="auto"/>
        </w:rPr>
        <w:t>Our product candidates are based on our ImmTOR technology,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We are very early in our clinical development efforts and may not be successful in our efforts to use our ImmTOR technology to build a pipeline of product candidates and develop marketable drugs.</w:t>
      </w:r>
    </w:p>
    <w:p>
      <w:pPr>
        <w:spacing w:after="0" w:line="202" w:lineRule="exact"/>
        <w:rPr>
          <w:sz w:val="20"/>
          <w:szCs w:val="20"/>
          <w:color w:val="auto"/>
        </w:rPr>
      </w:pPr>
    </w:p>
    <w:p>
      <w:pPr>
        <w:jc w:val="both"/>
        <w:ind w:right="120"/>
        <w:spacing w:after="0" w:line="220" w:lineRule="exact"/>
        <w:rPr>
          <w:sz w:val="20"/>
          <w:szCs w:val="20"/>
          <w:color w:val="auto"/>
        </w:rPr>
      </w:pPr>
      <w:r>
        <w:rPr>
          <w:rFonts w:ascii="Arial" w:cs="Arial" w:eastAsia="Arial" w:hAnsi="Arial"/>
          <w:sz w:val="18"/>
          <w:szCs w:val="18"/>
          <w:color w:val="auto"/>
        </w:rPr>
        <w:t>All of our product candidates are derived from our ImmTOR technology, which is an unproven approach to inducing antigen</w:t>
      </w:r>
      <w:r>
        <w:rPr>
          <w:rFonts w:ascii="MS PGothic" w:cs="MS PGothic" w:eastAsia="MS PGothic" w:hAnsi="MS PGothic"/>
          <w:sz w:val="18"/>
          <w:szCs w:val="18"/>
          <w:color w:val="auto"/>
        </w:rPr>
        <w:t>‑</w:t>
      </w:r>
      <w:r>
        <w:rPr>
          <w:rFonts w:ascii="Arial" w:cs="Arial" w:eastAsia="Arial" w:hAnsi="Arial"/>
          <w:sz w:val="18"/>
          <w:szCs w:val="18"/>
          <w:color w:val="auto"/>
        </w:rPr>
        <w:t>specific immune tolerance and to mitigating the immunogenicity of biologic therapies. We are primarily using our ImmTOR technology to improve and enable biologics that treat rare and serious diseases, with an initial focus on developing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We are also leveraging our ImmTOR platform to pursue programs in additional therapeutic areas with a focus on gene therapy.</w:t>
      </w:r>
    </w:p>
    <w:p>
      <w:pPr>
        <w:spacing w:after="0" w:line="2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are developing two gene therapy product candidates for rare inborn errors of metabolism. Our lead gene therapy program, known as SEL-302, is a potential gene therapy product candidate for methylmalonic </w:t>
      </w:r>
      <w:r>
        <w:rPr>
          <w:rFonts w:ascii="Arial" w:cs="Arial" w:eastAsia="Arial" w:hAnsi="Arial"/>
          <w:sz w:val="18"/>
          <w:szCs w:val="18"/>
          <w:color w:val="333333"/>
        </w:rPr>
        <w:t>acidemia.</w:t>
      </w:r>
      <w:r>
        <w:rPr>
          <w:rFonts w:ascii="Arial" w:cs="Arial" w:eastAsia="Arial" w:hAnsi="Arial"/>
          <w:sz w:val="18"/>
          <w:szCs w:val="18"/>
          <w:color w:val="auto"/>
        </w:rPr>
        <w:t xml:space="preserve"> Our second gene therapy product candidate, known as SEL-313, is being developed to treat ornithine transcarbamylase deficiency. In September 2018, we announced our collaboration with CureCN, a European consortium, for the use of our ImmTOR technology in combination with an AAV gene therapy in Crigler-Najjar syndrome, a rare genetic disorder characterized by an inability to properly convert and clear bilirubin from the body. The Company expects the CureCN consortium to obtain scientific advice from the German drug regulatory authority in the second half of 2019.</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88" w:lineRule="exact"/>
        <w:rPr>
          <w:sz w:val="20"/>
          <w:szCs w:val="20"/>
          <w:color w:val="auto"/>
        </w:rPr>
      </w:pPr>
    </w:p>
    <w:p>
      <w:pPr>
        <w:ind w:left="5620" w:right="4300" w:hanging="5612"/>
        <w:spacing w:after="0" w:line="684"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initiation and completion of preclinical studies and clinical trials with positive results; 47</w:t>
      </w:r>
    </w:p>
    <w:p>
      <w:pPr>
        <w:sectPr>
          <w:pgSz w:w="11900" w:h="16838" w:orient="portrait"/>
          <w:cols w:equalWidth="0" w:num="1">
            <w:col w:w="11380"/>
          </w:cols>
          <w:pgMar w:left="240" w:top="692" w:right="279" w:bottom="1440" w:gutter="0" w:footer="0" w:header="0"/>
        </w:sectPr>
      </w:pPr>
    </w:p>
    <w:bookmarkStart w:id="49" w:name="page50"/>
    <w:bookmarkEnd w:id="49"/>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third parties (including but not limited to clinical research organizations and contract manufacturing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14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6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due to the unproven nature of our ImmTOR therapeutics, there may be different efficacy and safety rates in various indications;</w:t>
      </w:r>
    </w:p>
    <w:p>
      <w:pPr>
        <w:spacing w:after="0" w:line="225" w:lineRule="exact"/>
        <w:rPr>
          <w:rFonts w:ascii="Arial" w:cs="Arial" w:eastAsia="Arial" w:hAnsi="Arial"/>
          <w:sz w:val="18"/>
          <w:szCs w:val="18"/>
          <w:color w:val="auto"/>
        </w:rPr>
      </w:pPr>
    </w:p>
    <w:p>
      <w:pPr>
        <w:ind w:left="340" w:right="260" w:hanging="332"/>
        <w:spacing w:after="0" w:line="221" w:lineRule="exact"/>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ImmTOR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1" w:lineRule="exact"/>
        <w:rPr>
          <w:rFonts w:ascii="Arial" w:cs="Arial" w:eastAsia="Arial" w:hAnsi="Arial"/>
          <w:sz w:val="18"/>
          <w:szCs w:val="18"/>
          <w:color w:val="auto"/>
        </w:rPr>
      </w:pPr>
    </w:p>
    <w:p>
      <w:pPr>
        <w:ind w:left="340" w:right="280" w:hanging="332"/>
        <w:spacing w:after="0" w:line="221" w:lineRule="exact"/>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event of a biologics license application, or BLA, for SEL</w:t>
      </w:r>
      <w:r>
        <w:rPr>
          <w:rFonts w:ascii="MS PGothic" w:cs="MS PGothic" w:eastAsia="MS PGothic" w:hAnsi="MS PGothic"/>
          <w:sz w:val="17"/>
          <w:szCs w:val="17"/>
          <w:color w:val="auto"/>
        </w:rPr>
        <w:t>‑</w:t>
      </w:r>
      <w:r>
        <w:rPr>
          <w:rFonts w:ascii="Arial" w:cs="Arial" w:eastAsia="Arial" w:hAnsi="Arial"/>
          <w:sz w:val="17"/>
          <w:szCs w:val="17"/>
          <w:color w:val="auto"/>
        </w:rPr>
        <w:t>212 or another product and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by the FDA of the facilities of Shenyang Sunshine Pharmaceutical Co., Ltd., or 3SBio, or any other manufacturer of biologics we may use, the FDA may not approve the facility for production or may make observations that will take significant time for 3SBio or such other manufacturer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are applying our ImmTOR technology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ImmTOR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ectPr>
          <w:pgSz w:w="11900" w:h="16838" w:orient="portrait"/>
          <w:cols w:equalWidth="0" w:num="1">
            <w:col w:w="11400"/>
          </w:cols>
          <w:pgMar w:left="240" w:top="692" w:right="25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692" w:right="259" w:bottom="1440" w:gutter="0" w:footer="0" w:header="0"/>
          <w:type w:val="continuous"/>
        </w:sectPr>
      </w:pPr>
    </w:p>
    <w:bookmarkStart w:id="50" w:name="page51"/>
    <w:bookmarkEnd w:id="50"/>
    <w:p>
      <w:pPr>
        <w:ind w:right="60"/>
        <w:spacing w:after="0" w:line="286" w:lineRule="auto"/>
        <w:rPr>
          <w:sz w:val="20"/>
          <w:szCs w:val="20"/>
          <w:color w:val="auto"/>
        </w:rPr>
      </w:pPr>
      <w:r>
        <w:rPr>
          <w:rFonts w:ascii="Arial" w:cs="Arial" w:eastAsia="Arial" w:hAnsi="Arial"/>
          <w:sz w:val="16"/>
          <w:szCs w:val="16"/>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For example, in addition to the submission of an investigational new drug application, or IND, to the FDA, before initiation of a clinical trial in the United States, certain human clinical trials for cell therapy products and gene therapy had historically been subject to review by the Recombinant DNA Advisory Committee, or the RAC, of the National Institutes of Health, or NIH, Office of Biotechnology Activities, pursuant to the NIH Guidelines for Research Involving Recombinant DNA Molecules, or NIH Guidelines. Following an initial review, RAC members would make a recommendation as to whether the protocol raises important scientific, safety, medical, ethical or social issues that warrant in-depth discussion at the RAC’s quarterly meetings. Even though the FDA decides whether individual cell therapy or gene therapy protocols may proceed under an IND, the RAC’s recommendations were historically shared with the FDA and the RAC public review process, if undertaken, could have impeded or delayed the initiation of a clinical trial, even if the FDA had reviewed the trial design and authorized its initiation. Conversely, the FDA could put an IND on clinical hold even if the RAC provided a favorable review or has recommended against an in-depth, public review.</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had announced that it will no longer accept new human gene transfer protocols for review as part of the protocol registration process under the existing NIH Guidelines or convene the RAC to review individual clinical protocols. In April 2019, NIH announced the finalized NIH Guidelines pursuant to which gene therapy protocols are no longer subject to submission requirements or the review of the RAC, although gene therapy studies remain subject to the oversight of an IBC in addition to an IRB. Even though we may not be required to submit a protocol for our gene therapy product candidates through the NIH for RAC review, we will still be subject to significant regulatory oversight by the FDA, and in addition to the government regulators, the applicable IBC and institutional review board, or IRB, of each institution at which we or our collaborators conduct clinical trials of our product candidates, or a central IRB if appropriate, would need to review and approve the proposed clinical trial.</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same applies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51" w:name="page52"/>
    <w:bookmarkEnd w:id="51"/>
    <w:p>
      <w:pPr>
        <w:ind w:right="40"/>
        <w:spacing w:after="0" w:line="264" w:lineRule="auto"/>
        <w:rPr>
          <w:sz w:val="20"/>
          <w:szCs w:val="20"/>
          <w:color w:val="auto"/>
        </w:rPr>
      </w:pPr>
      <w:r>
        <w:rPr>
          <w:rFonts w:ascii="Arial" w:cs="Arial" w:eastAsia="Arial" w:hAnsi="Arial"/>
          <w:sz w:val="18"/>
          <w:szCs w:val="18"/>
          <w:color w:val="auto"/>
        </w:rPr>
        <w:t>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lead product candidate, SEL-212, is currently being evaluated in a Phase 2 clinical program that we initiated in October 2016, and in March 2019 we initiated a Phase 2 head-to-head clinical trial of SEL-212 compared to the current FDA-approved uricase therapy, Krystexxa. We are preparing for the start of a pivotal Phase 3 program for SEL-212.</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2017 we licensed LMB-100, a potent immunotoxin, from the National Cancer Institute (NCI) and a Phase 1 clinical trial of LMB-100 plus ImmTOR (SEL-403) initiated in March 2018 by NCI in patients with malignant pleural or peritoneal mesothelioma who had undergone at least one regimen of chemotherapy under a Cooperative Research and Development Agreement (CRADA) between the NCI and the Company. In October 2018, the NCI informed the Company of a Grade 5 Serious Adverse Event (patient death) in this clinical trial related to pneumonitis, which was deemed by the trial investigator to be probably related to SVP-Rapamycin and possibly related to the patient’s pleural mesothelioma condition. This patient had received previous therapies, including two courses of radiation therapy and three different immune check point inhibitors, which can be associated with pneumonitis however, the possible relationship to SVP-Rapamycin cannot be excluded. Pneumonitis has been reported in patients receiving daily oral rapamycin. In addition, a Serious Adverse Event (pericardial effusion) was seen in one of the other three patients dosed in the SEL-403 clinical trial. Pericardial effusion can be a side effect of immunotoxin therapies targeting mesothelin. The FDA placed the IND for SEL-403 on full clinical hold in response to adverse events observed during the Phase 1 trial. Selecta has terminated the license of LMB-100 from NCI, effective April 9, 2019 and is no longer pursuing this product candidate.</w:t>
      </w:r>
    </w:p>
    <w:p>
      <w:pPr>
        <w:spacing w:after="0" w:line="6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development and commercialization of our product candidates.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692" w:right="259" w:bottom="1440" w:gutter="0" w:footer="0" w:header="0"/>
        </w:sectPr>
      </w:pPr>
    </w:p>
    <w:bookmarkStart w:id="52" w:name="page53"/>
    <w:bookmarkEnd w:id="52"/>
    <w:p>
      <w:pPr>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from our Phase 2 head-to-head study of SEL-212, including interim results, may not be predictive of future results. Moreover, we may not be able to complete, or may be required to deviate from the current clinical trial protocol for a variety of reasons.</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the Company to abandon development of SEL-403. In the SEL-212 Phase 1/2 clinical program, multiple SAEs have occurred, and future SAEs may occur causing the Company to incur additional costs or experience delays in completing, or causing the Company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we cannot be certain as to what type and how many clinical trials the FDA will require us to conduct before we may successfully gain approval to market SEL-212 or any of our other product candidates in the United States or other countries, if any. Prior to approving a new therapeutic product, the FDA generally requires that safety and efficacy be demonstrated in two adequate and well-controlled clinical trials. We expect that we may need to conduct more than one Phase 3 trial for SEL-212 for a chronic refractory gout indication in order to gain approval from the FDA. Even if we conduct more than one Phase 3 trial for SEL-212, the FDA may not accept the data, and may delay, limit or deny approval of SEL-212. Additional clinical trials could cause us to incur significant development costs, delay or prevent the commercialization of SEL-212 or otherwise adversely affect our business.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3" w:name="page54"/>
    <w:bookmarkEnd w:id="53"/>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170"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692" w:right="239" w:bottom="1440" w:gutter="0" w:footer="0" w:header="0"/>
          <w:type w:val="continuous"/>
        </w:sectPr>
      </w:pPr>
    </w:p>
    <w:bookmarkStart w:id="54" w:name="page55"/>
    <w:bookmarkEnd w:id="54"/>
    <w:p>
      <w:pPr>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160,000 patients in the United States. Accordingly, there is a limited number of patients who could enroll in our clinical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including review and approval by an independent ethics committee and informed consent from trial patients. The trial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17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exchange fluctuations;</w:t>
      </w:r>
    </w:p>
    <w:p>
      <w:pPr>
        <w:sectPr>
          <w:pgSz w:w="11900" w:h="16838" w:orient="portrait"/>
          <w:cols w:equalWidth="0" w:num="1">
            <w:col w:w="11400"/>
          </w:cols>
          <w:pgMar w:left="240" w:top="69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692" w:right="259" w:bottom="1440" w:gutter="0" w:footer="0" w:header="0"/>
          <w:type w:val="continuous"/>
        </w:sectPr>
      </w:pPr>
    </w:p>
    <w:bookmarkStart w:id="55" w:name="page56"/>
    <w:bookmarkEnd w:id="55"/>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3"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 to market any of our product candidates in the United States until we receive regulatory approval of a Biologics License Application, or BLA, from the FDA.</w:t>
      </w:r>
    </w:p>
    <w:p>
      <w:pPr>
        <w:spacing w:after="0" w:line="16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w:t>
      </w:r>
    </w:p>
    <w:p>
      <w:pPr>
        <w:sectPr>
          <w:pgSz w:w="11900" w:h="16838" w:orient="portrait"/>
          <w:cols w:equalWidth="0" w:num="1">
            <w:col w:w="11360"/>
          </w:cols>
          <w:pgMar w:left="240" w:top="692" w:right="299" w:bottom="1440" w:gutter="0" w:footer="0" w:header="0"/>
        </w:sect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60"/>
          </w:cols>
          <w:pgMar w:left="240" w:top="692" w:right="299" w:bottom="1440" w:gutter="0" w:footer="0" w:header="0"/>
          <w:type w:val="continuous"/>
        </w:sectPr>
      </w:pPr>
    </w:p>
    <w:bookmarkStart w:id="56" w:name="page57"/>
    <w:bookmarkEnd w:id="56"/>
    <w:p>
      <w:pPr>
        <w:ind w:right="220"/>
        <w:spacing w:after="0" w:line="277" w:lineRule="auto"/>
        <w:rPr>
          <w:sz w:val="20"/>
          <w:szCs w:val="20"/>
          <w:color w:val="auto"/>
        </w:rPr>
      </w:pPr>
      <w:r>
        <w:rPr>
          <w:rFonts w:ascii="Arial" w:cs="Arial" w:eastAsia="Arial" w:hAnsi="Arial"/>
          <w:sz w:val="18"/>
          <w:szCs w:val="18"/>
          <w:color w:val="auto"/>
        </w:rPr>
        <w:t>the FDA and other regulatory authorities. The FDA may also require us to conduct additional preclinical studies or clinical trials for our product candidates either prior to or post-approval, or it may object to elements of our clinical development program.</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170" w:lineRule="exact"/>
        <w:rPr>
          <w:sz w:val="20"/>
          <w:szCs w:val="20"/>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720" w:right="300" w:hanging="320"/>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20" w:right="240" w:hanging="320"/>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36" w:lineRule="exact"/>
        <w:rPr>
          <w:rFonts w:ascii="Arial" w:cs="Arial" w:eastAsia="Arial" w:hAnsi="Arial"/>
          <w:sz w:val="17"/>
          <w:szCs w:val="17"/>
          <w:color w:val="auto"/>
        </w:rPr>
      </w:pPr>
    </w:p>
    <w:p>
      <w:pPr>
        <w:ind w:left="720" w:right="400" w:hanging="320"/>
        <w:spacing w:after="0" w:line="342"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23" w:lineRule="exact"/>
        <w:rPr>
          <w:rFonts w:ascii="Arial" w:cs="Arial" w:eastAsia="Arial" w:hAnsi="Arial"/>
          <w:sz w:val="16"/>
          <w:szCs w:val="16"/>
          <w:color w:val="auto"/>
        </w:rPr>
      </w:pPr>
    </w:p>
    <w:p>
      <w:pPr>
        <w:ind w:left="720" w:right="380" w:hanging="320"/>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may disagree regarding the formulation, labeling and/or the specifications of our product candidates;</w:t>
      </w:r>
    </w:p>
    <w:p>
      <w:pPr>
        <w:spacing w:after="0" w:line="170" w:lineRule="exact"/>
        <w:rPr>
          <w:rFonts w:ascii="Arial" w:cs="Arial" w:eastAsia="Arial" w:hAnsi="Arial"/>
          <w:sz w:val="18"/>
          <w:szCs w:val="18"/>
          <w:color w:val="auto"/>
        </w:rPr>
      </w:pPr>
    </w:p>
    <w:p>
      <w:pPr>
        <w:ind w:left="720" w:right="340" w:hanging="320"/>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720" w:right="280" w:hanging="320"/>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assure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692" w:right="239" w:bottom="1440" w:gutter="0" w:footer="0" w:header="0"/>
          <w:type w:val="continuous"/>
        </w:sectPr>
      </w:pPr>
    </w:p>
    <w:bookmarkStart w:id="57" w:name="page58"/>
    <w:bookmarkEnd w:id="57"/>
    <w:p>
      <w:pPr>
        <w:ind w:right="160"/>
        <w:spacing w:after="0" w:line="257" w:lineRule="auto"/>
        <w:rPr>
          <w:sz w:val="20"/>
          <w:szCs w:val="20"/>
          <w:color w:val="auto"/>
        </w:rPr>
      </w:pPr>
      <w:r>
        <w:rPr>
          <w:rFonts w:ascii="Arial" w:cs="Arial" w:eastAsia="Arial" w:hAnsi="Arial"/>
          <w:sz w:val="18"/>
          <w:szCs w:val="18"/>
          <w:color w:val="auto"/>
        </w:rPr>
        <w:t>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8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5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Selecta has terminated the license of LMB-100 from NCI, effective April 9, 2019 and is no longer pursuing this product candidate.</w:t>
      </w:r>
    </w:p>
    <w:p>
      <w:pPr>
        <w:spacing w:after="0" w:line="74" w:lineRule="exact"/>
        <w:rPr>
          <w:sz w:val="20"/>
          <w:szCs w:val="20"/>
          <w:color w:val="auto"/>
        </w:rPr>
      </w:pPr>
    </w:p>
    <w:p>
      <w:pPr>
        <w:ind w:right="120"/>
        <w:spacing w:after="0" w:line="224" w:lineRule="exact"/>
        <w:rPr>
          <w:sz w:val="20"/>
          <w:szCs w:val="20"/>
          <w:color w:val="auto"/>
        </w:rPr>
      </w:pPr>
      <w:r>
        <w:rPr>
          <w:rFonts w:ascii="Arial" w:cs="Arial" w:eastAsia="Arial" w:hAnsi="Arial"/>
          <w:sz w:val="17"/>
          <w:szCs w:val="17"/>
          <w:color w:val="auto"/>
        </w:rPr>
        <w:t>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required to develop a risk evaluation and mitigation strategy (REMS) plan to prevent, monitor and/or manage a specific serious risk by informing, educating and/or reinforcing actions to reduce the frequency and/or severity of the event.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92" w:right="239" w:bottom="1440" w:gutter="0" w:footer="0" w:header="0"/>
        </w:sectPr>
      </w:pPr>
    </w:p>
    <w:bookmarkStart w:id="58" w:name="page59"/>
    <w:bookmarkEnd w:id="58"/>
    <w:p>
      <w:pPr>
        <w:ind w:right="90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28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171"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We obtain the biologic pegadricase,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202"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Any disruption in production or inability of 3SBio in China to produce adequate quantities of pegadricase to meet our needs, whether as a result of a natural disaster, failure to comply with regulatory requirements or other causes, could impair our ability to operate our business on a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months.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208" w:lineRule="exact"/>
        <w:rPr>
          <w:sz w:val="20"/>
          <w:szCs w:val="20"/>
          <w:color w:val="auto"/>
        </w:rPr>
      </w:pPr>
    </w:p>
    <w:p>
      <w:pPr>
        <w:ind w:right="100"/>
        <w:spacing w:after="0" w:line="218" w:lineRule="exact"/>
        <w:rPr>
          <w:sz w:val="20"/>
          <w:szCs w:val="20"/>
          <w:color w:val="auto"/>
        </w:rPr>
      </w:pPr>
      <w:r>
        <w:rPr>
          <w:rFonts w:ascii="Arial" w:cs="Arial" w:eastAsia="Arial" w:hAnsi="Arial"/>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Arial" w:cs="Arial" w:eastAsia="Arial" w:hAnsi="Arial"/>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labor costs could continue to rise as wage rates increase due to increased demand for skilled laborers and the availability of skilled labor declines in China.</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contract manufacturing organizations, or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92"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80" w:hanging="332"/>
        <w:spacing w:after="0" w:line="223"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700" w:hanging="332"/>
        <w:spacing w:after="0" w:line="223"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9" w:name="page60"/>
    <w:bookmarkEnd w:id="59"/>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100" w:hanging="332"/>
        <w:spacing w:after="0" w:line="221"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Our existing collaborations are important to our business, and future licenses may also be important to us. If we are unable to maintain any of these collaborations, or if these arrangements are not successful, or we are unable to enter into future licenses, our business could be adversely affected.</w:t>
      </w:r>
    </w:p>
    <w:p>
      <w:pPr>
        <w:spacing w:after="0" w:line="10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ImmTOR technology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the Company. Our existing collaborations, and any future collaborations we enter into, may pose a number of risks, including the following:</w:t>
      </w:r>
    </w:p>
    <w:p>
      <w:pPr>
        <w:spacing w:after="0" w:line="15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0" w:name="page61"/>
    <w:bookmarkEnd w:id="60"/>
    <w:p>
      <w:pPr>
        <w:ind w:left="340" w:right="200" w:hanging="332"/>
        <w:spacing w:after="0" w:line="31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40" w:hanging="332"/>
        <w:spacing w:after="0" w:line="221" w:lineRule="exact"/>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4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5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technology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520"/>
        <w:spacing w:after="0" w:line="223"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and Phase 3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92"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and for our other product candidates. We also expect to rely on other third parties to store and distribute drug supplies for our clinical trials.</w:t>
      </w:r>
    </w:p>
    <w:p>
      <w:pPr>
        <w:spacing w:after="0" w:line="117"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current good manufacturing practice, or cGMP, regulations. Our failure to comply with these regulations may require us to repeat clinical trials, which would delay the regulatory approval process. We also are required to register ongoing clinical trials and post the results of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 xml:space="preserve">sponsored database, </w:t>
      </w:r>
      <w:r>
        <w:rPr>
          <w:rFonts w:ascii="Arial" w:cs="Arial" w:eastAsia="Arial" w:hAnsi="Arial"/>
          <w:sz w:val="17"/>
          <w:szCs w:val="17"/>
          <w:i w:val="1"/>
          <w:iCs w:val="1"/>
          <w:color w:val="auto"/>
        </w:rPr>
        <w:t>ClinicalTrials.gov</w:t>
      </w:r>
      <w:r>
        <w:rPr>
          <w:rFonts w:ascii="Arial" w:cs="Arial" w:eastAsia="Arial" w:hAnsi="Arial"/>
          <w:sz w:val="17"/>
          <w:szCs w:val="17"/>
          <w:color w:val="auto"/>
        </w:rPr>
        <w:t>, within specified timeframes. Failure to do so can result in fines, adverse publicity and civil and criminal sanctions.</w:t>
      </w:r>
    </w:p>
    <w:p>
      <w:pPr>
        <w:spacing w:after="0" w:line="1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7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ImmTOR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2" w:name="page63"/>
    <w:bookmarkEnd w:id="62"/>
    <w:p>
      <w:pPr>
        <w:ind w:right="8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of certain types of patients, particularly with respect to certain rare diseases or conditions,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including Horizon Pharma plc, offer or are pursuing the development of pharmaceutical products or technologies that may address one or more indications that our product candidates target, as well as smaller, early-</w:t>
      </w:r>
    </w:p>
    <w:p>
      <w:pPr>
        <w:sectPr>
          <w:pgSz w:w="11900" w:h="16838" w:orient="portrait"/>
          <w:cols w:equalWidth="0" w:num="1">
            <w:col w:w="11380"/>
          </w:cols>
          <w:pgMar w:left="240" w:top="692" w:right="279" w:bottom="100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80"/>
          </w:cols>
          <w:pgMar w:left="240" w:top="692" w:right="279" w:bottom="1000" w:gutter="0" w:footer="0" w:header="0"/>
          <w:type w:val="continuous"/>
        </w:sectPr>
      </w:pPr>
    </w:p>
    <w:bookmarkStart w:id="63" w:name="page64"/>
    <w:bookmarkEnd w:id="63"/>
    <w:p>
      <w:pPr>
        <w:ind w:right="340"/>
        <w:spacing w:after="0" w:line="259" w:lineRule="auto"/>
        <w:rPr>
          <w:sz w:val="20"/>
          <w:szCs w:val="20"/>
          <w:color w:val="auto"/>
        </w:rPr>
      </w:pPr>
      <w:r>
        <w:rPr>
          <w:rFonts w:ascii="Arial" w:cs="Arial" w:eastAsia="Arial" w:hAnsi="Arial"/>
          <w:sz w:val="18"/>
          <w:szCs w:val="18"/>
          <w:color w:val="auto"/>
        </w:rPr>
        <w:t>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7"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1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4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50"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have a material adverse effect on our business.</w:t>
      </w:r>
    </w:p>
    <w:p>
      <w:pPr>
        <w:spacing w:after="0" w:line="203"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3"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7"/>
          <w:szCs w:val="17"/>
          <w:color w:val="auto"/>
        </w:rPr>
        <w:t>‑</w:t>
      </w:r>
      <w:r>
        <w:rPr>
          <w:rFonts w:ascii="Arial" w:cs="Arial" w:eastAsia="Arial" w:hAnsi="Arial"/>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color w:val="auto"/>
        </w:rPr>
        <w:t>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187"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if approved for sale in the United States or in other countries, will not be subject to heightened governmental scrutiny, unfavorable regulatory inquiry or action, or congressional inquiry.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ectPr>
          <w:pgSz w:w="11900" w:h="16838" w:orient="portrait"/>
          <w:cols w:equalWidth="0" w:num="1">
            <w:col w:w="11400"/>
          </w:cols>
          <w:pgMar w:left="240" w:top="69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692" w:right="259" w:bottom="1440" w:gutter="0" w:footer="0" w:header="0"/>
          <w:type w:val="continuous"/>
        </w:sectPr>
      </w:pPr>
    </w:p>
    <w:bookmarkStart w:id="65" w:name="page66"/>
    <w:bookmarkEnd w:id="65"/>
    <w:p>
      <w:pPr>
        <w:ind w:right="20"/>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65" w:lineRule="exact"/>
        <w:rPr>
          <w:sz w:val="20"/>
          <w:szCs w:val="20"/>
          <w:color w:val="auto"/>
        </w:rPr>
      </w:pPr>
    </w:p>
    <w:p>
      <w:pPr>
        <w:ind w:right="420"/>
        <w:spacing w:after="0" w:line="221"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120" w:hanging="332"/>
        <w:spacing w:after="0" w:line="219"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203" w:lineRule="exact"/>
        <w:rPr>
          <w:rFonts w:ascii="Arial" w:cs="Arial" w:eastAsia="Arial" w:hAnsi="Arial"/>
          <w:sz w:val="18"/>
          <w:szCs w:val="18"/>
          <w:color w:val="auto"/>
        </w:rPr>
      </w:pPr>
    </w:p>
    <w:p>
      <w:pPr>
        <w:ind w:left="340" w:right="32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81" w:lineRule="exact"/>
        <w:rPr>
          <w:rFonts w:ascii="Arial" w:cs="Arial" w:eastAsia="Arial" w:hAnsi="Arial"/>
          <w:sz w:val="18"/>
          <w:szCs w:val="18"/>
          <w:color w:val="auto"/>
        </w:rPr>
      </w:pPr>
    </w:p>
    <w:p>
      <w:pPr>
        <w:ind w:left="340" w:right="240" w:hanging="332"/>
        <w:spacing w:after="0" w:line="31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6" w:lineRule="exact"/>
        <w:rPr>
          <w:rFonts w:ascii="Arial" w:cs="Arial" w:eastAsia="Arial" w:hAnsi="Arial"/>
          <w:sz w:val="16"/>
          <w:szCs w:val="16"/>
          <w:color w:val="auto"/>
        </w:rPr>
      </w:pPr>
    </w:p>
    <w:p>
      <w:pPr>
        <w:jc w:val="both"/>
        <w:ind w:left="340" w:right="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right="20" w:hanging="332"/>
        <w:spacing w:after="0" w:line="286"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ind w:left="340" w:right="140" w:hanging="332"/>
        <w:spacing w:after="0" w:line="220" w:lineRule="exact"/>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which may apply to sales or marketing arrangements and claims involving healthcare items or services reimbursed by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requirements to comply with federal and pharmaceutical industry compliance guidelines, and; state data privacy and price transparency laws, many of which differ from each other in significant ways and often are broader than and not preempted by HIPAA or the Sunshine Act, thus complicating compliance efforts; and</w:t>
      </w:r>
    </w:p>
    <w:p>
      <w:pPr>
        <w:spacing w:after="0" w:line="204" w:lineRule="exact"/>
        <w:rPr>
          <w:rFonts w:ascii="Arial" w:cs="Arial" w:eastAsia="Arial" w:hAnsi="Arial"/>
          <w:sz w:val="17"/>
          <w:szCs w:val="17"/>
          <w:color w:val="auto"/>
        </w:rPr>
      </w:pPr>
    </w:p>
    <w:p>
      <w:pPr>
        <w:ind w:left="340" w:right="24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The Trump Administration and the U.S. Congress may take further action regarding the Affordable Care Act, including, but not limited to, repeal or replacement. Most recently, the Tax Cuts and Jobs Acts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CMS have both stated that the ruling will have no immediate effect, it is unclear how this decision, subsequent appeals, if any, and other efforts to repeal and replace the ACA will impact the ACA and our business. We</w:t>
      </w:r>
    </w:p>
    <w:p>
      <w:pPr>
        <w:sectPr>
          <w:pgSz w:w="11900" w:h="16838" w:orient="portrait"/>
          <w:cols w:equalWidth="0" w:num="1">
            <w:col w:w="11400"/>
          </w:cols>
          <w:pgMar w:left="240" w:top="692" w:right="25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692" w:right="2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t>cannot predict the ultimate content, timing or effect of any healthcare reform legislation or the impact of potential legislation on us.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420"/>
        <w:spacing w:after="0" w:line="220" w:lineRule="exact"/>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w:t>
      </w:r>
    </w:p>
    <w:p>
      <w:pPr>
        <w:spacing w:after="0" w:line="204"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assure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ectPr>
          <w:pgSz w:w="11900" w:h="16838" w:orient="portrait"/>
          <w:cols w:equalWidth="0" w:num="1">
            <w:col w:w="11400"/>
          </w:cols>
          <w:pgMar w:left="240" w:top="69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692" w:right="259" w:bottom="1440" w:gutter="0" w:footer="0" w:header="0"/>
          <w:type w:val="continuous"/>
        </w:sectPr>
      </w:pPr>
    </w:p>
    <w:bookmarkStart w:id="68" w:name="page69"/>
    <w:bookmarkEnd w:id="68"/>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approved, developed or commercialized in a timely manner, which could negatively impact 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8" w:lineRule="exact"/>
        <w:rPr>
          <w:sz w:val="20"/>
          <w:szCs w:val="20"/>
          <w:color w:val="auto"/>
        </w:rPr>
      </w:pPr>
    </w:p>
    <w:p>
      <w:pPr>
        <w:ind w:right="180"/>
        <w:spacing w:after="0" w:line="221" w:lineRule="exact"/>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corruption laws, and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202" w:lineRule="exact"/>
        <w:rPr>
          <w:sz w:val="20"/>
          <w:szCs w:val="20"/>
          <w:color w:val="auto"/>
        </w:rPr>
      </w:pPr>
    </w:p>
    <w:p>
      <w:pPr>
        <w:ind w:right="100"/>
        <w:spacing w:after="0" w:line="219"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w:t>
      </w:r>
    </w:p>
    <w:p>
      <w:pPr>
        <w:sectPr>
          <w:pgSz w:w="11900" w:h="16838" w:orient="portrait"/>
          <w:cols w:equalWidth="0" w:num="1">
            <w:col w:w="11420"/>
          </w:cols>
          <w:pgMar w:left="240" w:top="692"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692" w:right="239" w:bottom="1440" w:gutter="0" w:footer="0" w:header="0"/>
          <w:type w:val="continuous"/>
        </w:sectPr>
      </w:pPr>
    </w:p>
    <w:bookmarkStart w:id="69" w:name="page70"/>
    <w:bookmarkEnd w:id="69"/>
    <w:p>
      <w:pPr>
        <w:ind w:right="20"/>
        <w:spacing w:after="0" w:line="219" w:lineRule="exact"/>
        <w:rPr>
          <w:sz w:val="20"/>
          <w:szCs w:val="20"/>
          <w:color w:val="auto"/>
        </w:rPr>
      </w:pPr>
      <w:r>
        <w:rPr>
          <w:rFonts w:ascii="Arial" w:cs="Arial" w:eastAsia="Arial" w:hAnsi="Arial"/>
          <w:sz w:val="17"/>
          <w:szCs w:val="17"/>
          <w:color w:val="auto"/>
        </w:rPr>
        <w:t>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materially adversely affected.</w:t>
      </w:r>
    </w:p>
    <w:p>
      <w:pPr>
        <w:spacing w:after="0" w:line="20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70" w:name="page71"/>
    <w:bookmarkEnd w:id="70"/>
    <w:p>
      <w:pPr>
        <w:ind w:right="180"/>
        <w:spacing w:after="0" w:line="218" w:lineRule="exact"/>
        <w:rPr>
          <w:sz w:val="20"/>
          <w:szCs w:val="20"/>
          <w:color w:val="auto"/>
        </w:rPr>
      </w:pPr>
      <w:r>
        <w:rPr>
          <w:rFonts w:ascii="Arial" w:cs="Arial" w:eastAsia="Arial" w:hAnsi="Arial"/>
          <w:sz w:val="16"/>
          <w:szCs w:val="16"/>
          <w:color w:val="auto"/>
        </w:rPr>
        <w:t>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6"/>
          <w:szCs w:val="16"/>
          <w:color w:val="auto"/>
        </w:rPr>
        <w:t>‑</w:t>
      </w:r>
      <w:r>
        <w:rPr>
          <w:rFonts w:ascii="Arial" w:cs="Arial" w:eastAsia="Arial" w:hAnsi="Arial"/>
          <w:sz w:val="16"/>
          <w:szCs w:val="16"/>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3" w:lineRule="exact"/>
        <w:rPr>
          <w:sz w:val="20"/>
          <w:szCs w:val="20"/>
          <w:color w:val="auto"/>
        </w:rPr>
      </w:pPr>
    </w:p>
    <w:p>
      <w:pPr>
        <w:spacing w:after="0" w:line="221" w:lineRule="exact"/>
        <w:rPr>
          <w:sz w:val="20"/>
          <w:szCs w:val="20"/>
          <w:color w:val="auto"/>
        </w:rPr>
      </w:pPr>
      <w:r>
        <w:rPr>
          <w:rFonts w:ascii="Arial" w:cs="Arial" w:eastAsia="Arial" w:hAnsi="Arial"/>
          <w:sz w:val="17"/>
          <w:szCs w:val="17"/>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7"/>
          <w:szCs w:val="17"/>
          <w:color w:val="auto"/>
        </w:rPr>
        <w:t>‑</w:t>
      </w:r>
      <w:r>
        <w:rPr>
          <w:rFonts w:ascii="Arial" w:cs="Arial" w:eastAsia="Arial" w:hAnsi="Arial"/>
          <w:sz w:val="17"/>
          <w:szCs w:val="17"/>
          <w:color w:val="auto"/>
        </w:rPr>
        <w:t>party product. These and other factors may provide opportunities for our competitors to design around our patents.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patent offices react to our patent claims and whether they identify prior art of relevance that we have not already considered.</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ind w:right="780"/>
        <w:spacing w:after="0" w:line="223" w:lineRule="exact"/>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w:t>
      </w:r>
      <w:r>
        <w:rPr>
          <w:rFonts w:ascii="MS PGothic" w:cs="MS PGothic" w:eastAsia="MS PGothic" w:hAnsi="MS PGothic"/>
          <w:sz w:val="18"/>
          <w:szCs w:val="18"/>
          <w:color w:val="auto"/>
        </w:rPr>
        <w:t>‑</w:t>
      </w:r>
      <w:r>
        <w:rPr>
          <w:rFonts w:ascii="Arial" w:cs="Arial" w:eastAsia="Arial" w:hAnsi="Arial"/>
          <w:sz w:val="18"/>
          <w:szCs w:val="18"/>
          <w:color w:val="auto"/>
        </w:rPr>
        <w:t>how, information, or technology that is not covered by our patents. Although our agreements require all of</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92" w:right="259" w:bottom="1440" w:gutter="0" w:footer="0" w:header="0"/>
        </w:sectPr>
      </w:pPr>
    </w:p>
    <w:bookmarkStart w:id="71" w:name="page72"/>
    <w:bookmarkEnd w:id="71"/>
    <w:p>
      <w:pPr>
        <w:ind w:right="60"/>
        <w:spacing w:after="0" w:line="218" w:lineRule="exact"/>
        <w:rPr>
          <w:sz w:val="20"/>
          <w:szCs w:val="20"/>
          <w:color w:val="auto"/>
        </w:rPr>
      </w:pPr>
      <w:r>
        <w:rPr>
          <w:rFonts w:ascii="Arial" w:cs="Arial" w:eastAsia="Arial" w:hAnsi="Arial"/>
          <w:sz w:val="16"/>
          <w:szCs w:val="16"/>
          <w:color w:val="auto"/>
        </w:rPr>
        <w:t>our employees to assign their inventions to us, and we require all of our employees, consultants, advisors and any other third parties who have access to our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to enter into appropriate confidentiality agreements, we cannot be certain that our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 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9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9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2" w:name="page73"/>
    <w:bookmarkEnd w:id="72"/>
    <w:p>
      <w:pPr>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6"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3"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692"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misappropriated the confidential information or trade secrets of third parties could have a similar negative impact on our business.</w:t>
      </w:r>
    </w:p>
    <w:p>
      <w:pPr>
        <w:spacing w:after="0" w:line="225"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have a material adverse impact on our business.</w:t>
      </w:r>
    </w:p>
    <w:p>
      <w:pPr>
        <w:spacing w:after="0" w:line="22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14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6"/>
          <w:szCs w:val="16"/>
          <w:color w:val="auto"/>
        </w:rPr>
        <w:t>‑</w:t>
      </w:r>
      <w:r>
        <w:rPr>
          <w:rFonts w:ascii="Arial" w:cs="Arial" w:eastAsia="Arial" w:hAnsi="Arial"/>
          <w:sz w:val="16"/>
          <w:szCs w:val="16"/>
          <w:color w:val="auto"/>
        </w:rPr>
        <w:t>party infringement or unauthorized use. This can be expensive, particularly for a company of our size, and 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67"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2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92" w:right="239" w:bottom="1440" w:gutter="0" w:footer="0" w:header="0"/>
        </w:sectPr>
      </w:pPr>
    </w:p>
    <w:bookmarkStart w:id="74" w:name="page75"/>
    <w:bookmarkEnd w:id="74"/>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18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692" w:right="259" w:bottom="1440" w:gutter="0" w:footer="0" w:header="0"/>
        </w:sectPr>
      </w:pPr>
    </w:p>
    <w:bookmarkStart w:id="75" w:name="page76"/>
    <w:bookmarkEnd w:id="75"/>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9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Our new corporate strategy and restructuring may not be successful.</w:t>
      </w:r>
    </w:p>
    <w:p>
      <w:pPr>
        <w:spacing w:after="0" w:line="22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On January 3, 2019, following a strategic business review, we announced our new strategy to focus on the development of SEL-212 for the treatment of chronic refractory gout and advancement of our ImmTOR technology in the area of gene therapy, specifically ImmTOR in combination with AAV gene therapy for the treatment of CN,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as well as our ability to enter into collaborations with third parties.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on January 3, 2019, as a result of our strategic business review, we announced our plan to reduce budgeted headcount by approximately 36% to align our workforce with our newly announced strategy. While the reduction in workforce generally affected employees in all areas, those working in research and related general and administrative functions were most affected. The reduction in workforce resulted in the termination of approximately 17 employment positions effective January 3, 2019. We substantially completed the reduction in workforce during the first quarter of 2019. Our workforce after these actions may not be sufficient to fully execute our new strategy, and we may not be able to effectively attract or retain new management or qualified employees needed to implement this strategy.</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incurred aggregate charges in connection with the reduction in workforce of approximately $0.5 million, all of which were cash expenditures. However, our restructuring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highly dependent on Carsten Brunn, Ph.D., our President and Chief Executive Officer, Alison Schecter, M.D., our Chief Medical Officer, as well as the other principal members of our management, scientific and clinical team. Although we have entered into employment agreements or offer letters with Dr. Brunn, Dr. Schecter and certain of our executive officers, each of them may terminate their employment with us at any time. We do not maintain “key person” insurance for any of our executives or other employees.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John Leaman, M.D., our former Chief Financial Officer and Head of Corporate Strategy, resigned effective March 31, 2019. Recruiting and retaining a new Chief Financial Officer will be critical to our success. We anticipate that we will experience a transitional period until our new Chief Financial Officer is hired and fully integrated into his or her new role. Any delay or failure to recruit Dr. Leaman’s successor may adversely affect our business and financial results. We cannot predict how long it will take to hire a new Chief Financial Officer and if we are not able to appoint a new Chief Financial Officer in a timely manner, or we are forced to operate with a transitional leadership team, our business, financial condition, and results of operations could be materially and adversely affected. Moreover, we cannot provide any assurance that the transition in leadership will not result in a disruption that adversely impacts our business and employee morale.</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92" w:right="239" w:bottom="1440" w:gutter="0" w:footer="0" w:header="0"/>
        </w:sectPr>
      </w:pPr>
    </w:p>
    <w:bookmarkStart w:id="77" w:name="page78"/>
    <w:bookmarkEnd w:id="77"/>
    <w:p>
      <w:pPr>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w:t>
      </w:r>
    </w:p>
    <w:p>
      <w:pPr>
        <w:spacing w:after="0" w:line="2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maintaining our subsidiary in Russia or expanding operations internationally could adversely affect our business.</w:t>
      </w:r>
    </w:p>
    <w:p>
      <w:pPr>
        <w:spacing w:after="0" w:line="14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our U.S. operations, we maintain a wholly owned subsidiary in Russia, Selecta RUS.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3" w:lineRule="exact"/>
        <w:rPr>
          <w:sz w:val="20"/>
          <w:szCs w:val="20"/>
          <w:color w:val="auto"/>
        </w:rPr>
      </w:pPr>
    </w:p>
    <w:p>
      <w:pPr>
        <w:ind w:left="340" w:right="7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12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8" w:name="page79"/>
    <w:bookmarkEnd w:id="78"/>
    <w:p>
      <w:pPr>
        <w:ind w:left="340" w:right="10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8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6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ectPr>
          <w:pgSz w:w="11900" w:h="16838" w:orient="portrait"/>
          <w:cols w:equalWidth="0" w:num="1">
            <w:col w:w="11400"/>
          </w:cols>
          <w:pgMar w:left="240" w:top="692"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692" w:right="259" w:bottom="1440" w:gutter="0" w:footer="0" w:header="0"/>
          <w:type w:val="continuous"/>
        </w:sectPr>
      </w:pPr>
    </w:p>
    <w:bookmarkStart w:id="79" w:name="page80"/>
    <w:bookmarkEnd w:id="79"/>
    <w:p>
      <w:pPr>
        <w:ind w:right="24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41.9% of our outstanding voting stock as of June 30, 2019.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3.1 million shares of our common stock as of June 30, 2019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w:t>
      </w:r>
    </w:p>
    <w:p>
      <w:pPr>
        <w:sectPr>
          <w:pgSz w:w="11900" w:h="16838" w:orient="portrait"/>
          <w:cols w:equalWidth="0" w:num="1">
            <w:col w:w="11380"/>
          </w:cols>
          <w:pgMar w:left="240" w:top="692" w:right="279" w:bottom="100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80"/>
          </w:cols>
          <w:pgMar w:left="240" w:top="692" w:right="279" w:bottom="1000" w:gutter="0" w:footer="0" w:header="0"/>
          <w:type w:val="continuous"/>
        </w:sectPr>
      </w:pPr>
    </w:p>
    <w:bookmarkStart w:id="80" w:name="page81"/>
    <w:bookmarkEnd w:id="80"/>
    <w:p>
      <w:pPr>
        <w:ind w:right="500"/>
        <w:spacing w:after="0" w:line="277" w:lineRule="auto"/>
        <w:rPr>
          <w:sz w:val="20"/>
          <w:szCs w:val="20"/>
          <w:color w:val="auto"/>
        </w:rPr>
      </w:pPr>
      <w:r>
        <w:rPr>
          <w:rFonts w:ascii="Arial" w:cs="Arial" w:eastAsia="Arial" w:hAnsi="Arial"/>
          <w:sz w:val="18"/>
          <w:szCs w:val="18"/>
          <w:color w:val="auto"/>
        </w:rPr>
        <w:t>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160"/>
        <w:spacing w:after="0" w:line="216" w:lineRule="exact"/>
        <w:rPr>
          <w:sz w:val="20"/>
          <w:szCs w:val="20"/>
          <w:color w:val="auto"/>
        </w:rPr>
      </w:pPr>
      <w:r>
        <w:rPr>
          <w:rFonts w:ascii="Arial" w:cs="Arial" w:eastAsia="Arial" w:hAnsi="Arial"/>
          <w:sz w:val="16"/>
          <w:szCs w:val="16"/>
          <w:color w:val="auto"/>
        </w:rPr>
        <w:t>$1.07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4"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92" w:right="239" w:bottom="1440" w:gutter="0" w:footer="0" w:header="0"/>
        </w:sectPr>
      </w:pPr>
    </w:p>
    <w:bookmarkStart w:id="81" w:name="page82"/>
    <w:bookmarkEnd w:id="81"/>
    <w:p>
      <w:pPr>
        <w:ind w:right="60"/>
        <w:spacing w:after="0" w:line="218"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Recently-enacted U.S. Tax reform legislation could adversely affect our business and financial condition.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TCJA has significantly changed the U.S. federal income taxation of U.S. corporations, including by reducing the U.S. corporate income tax rate, limiting interest deductions, modifying or repealing many business deductions and credits (including reducing the business tax credit for certain clinical testing expenses incurred in the testing of certain drugs for rare diseases or conditions generally referred to as “orphan drugs”),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In addition, it is unclear how these U.S. federal income tax changes will affect state and local taxation, which often uses federal taxable income as a starting point for computing state and local tax liabilities. While some of the changes made by the TCJA may adversely affect us in one or more reporting periods and prospectively, other changes may be beneficial on a going forward basis. We continue to work with our tax advisors and auditors to determine the full impact that the TCJA will have on us on an ongoing basis. We urge our investors to consult with their legal and tax advisors with respect to the TJCA.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584"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5"/>
          </w:tcPr>
          <w:p>
            <w:pPr>
              <w:ind w:left="420"/>
              <w:spacing w:after="0"/>
              <w:rPr>
                <w:sz w:val="20"/>
                <w:szCs w:val="20"/>
                <w:color w:val="auto"/>
              </w:rPr>
            </w:pPr>
            <w:r>
              <w:rPr>
                <w:rFonts w:ascii="Arial" w:cs="Arial" w:eastAsia="Arial" w:hAnsi="Arial"/>
                <w:sz w:val="18"/>
                <w:szCs w:val="18"/>
                <w:b w:val="1"/>
                <w:bCs w:val="1"/>
                <w:color w:val="auto"/>
                <w:w w:val="89"/>
              </w:rPr>
              <w:t>Incorporated by Reference</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8"/>
        </w:trPr>
        <w:tc>
          <w:tcPr>
            <w:tcW w:w="152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Filing</w:t>
            </w: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Filed</w:t>
            </w:r>
          </w:p>
        </w:tc>
      </w:tr>
      <w:tr>
        <w:trPr>
          <w:trHeight w:val="234"/>
        </w:trPr>
        <w:tc>
          <w:tcPr>
            <w:tcW w:w="1520" w:type="dxa"/>
            <w:vAlign w:val="bottom"/>
            <w:gridSpan w:val="7"/>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b w:val="1"/>
                <w:bCs w:val="1"/>
                <w:color w:val="auto"/>
              </w:rPr>
              <w:t>Exhibit Description</w:t>
            </w: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Form</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File No.</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Herewith</w:t>
            </w: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jc w:val="center"/>
              <w:spacing w:after="0" w:line="196" w:lineRule="exact"/>
              <w:rPr>
                <w:rFonts w:ascii="Arial" w:cs="Arial" w:eastAsia="Arial" w:hAnsi="Arial"/>
                <w:sz w:val="18"/>
                <w:szCs w:val="18"/>
                <w:color w:val="0000FF"/>
                <w:w w:val="87"/>
              </w:rPr>
            </w:pPr>
            <w:hyperlink r:id="rId1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rFonts w:ascii="Arial" w:cs="Arial" w:eastAsia="Arial" w:hAnsi="Arial"/>
                <w:sz w:val="18"/>
                <w:szCs w:val="18"/>
                <w:color w:val="0000FF"/>
                <w:w w:val="97"/>
              </w:rPr>
            </w:pPr>
            <w:hyperlink r:id="rId11">
              <w:r>
                <w:rPr>
                  <w:rFonts w:ascii="Arial" w:cs="Arial" w:eastAsia="Arial" w:hAnsi="Arial"/>
                  <w:sz w:val="18"/>
                  <w:szCs w:val="18"/>
                  <w:color w:val="0000FF"/>
                  <w:w w:val="97"/>
                </w:rPr>
                <w:t>Restated Certificate of Incorporation of Selecta</w:t>
              </w:r>
            </w:hyperlink>
          </w:p>
        </w:tc>
        <w:tc>
          <w:tcPr>
            <w:tcW w:w="7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8-K</w:t>
            </w:r>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Biosciences, Inc.</w:t>
              </w:r>
            </w:hyperlink>
          </w:p>
        </w:tc>
        <w:tc>
          <w:tcPr>
            <w:tcW w:w="2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jc w:val="center"/>
              <w:spacing w:after="0"/>
              <w:rPr>
                <w:rFonts w:ascii="Arial" w:cs="Arial" w:eastAsia="Arial" w:hAnsi="Arial"/>
                <w:sz w:val="18"/>
                <w:szCs w:val="18"/>
                <w:color w:val="0000FF"/>
                <w:w w:val="87"/>
              </w:rPr>
            </w:pPr>
            <w:hyperlink r:id="rId1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8"/>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Selecta</w:t>
              </w:r>
            </w:hyperlink>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8-K</w:t>
            </w:r>
          </w:p>
        </w:tc>
        <w:tc>
          <w:tcPr>
            <w:tcW w:w="1300" w:type="dxa"/>
            <w:vAlign w:val="bottom"/>
          </w:tcPr>
          <w:p>
            <w:pPr>
              <w:ind w:left="4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Biosciences, Inc.</w:t>
              </w:r>
            </w:hyperlink>
          </w:p>
        </w:tc>
        <w:tc>
          <w:tcPr>
            <w:tcW w:w="58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900" w:type="dxa"/>
            <w:vAlign w:val="bottom"/>
            <w:gridSpan w:val="5"/>
          </w:tcPr>
          <w:p>
            <w:pPr>
              <w:jc w:val="center"/>
              <w:ind w:left="410"/>
              <w:spacing w:after="0"/>
              <w:rPr>
                <w:rFonts w:ascii="Arial" w:cs="Arial" w:eastAsia="Arial" w:hAnsi="Arial"/>
                <w:sz w:val="18"/>
                <w:szCs w:val="18"/>
                <w:color w:val="0000FF"/>
                <w:w w:val="88"/>
              </w:rPr>
            </w:pPr>
            <w:hyperlink r:id="rId1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8"/>
          </w:tcPr>
          <w:p>
            <w:pPr>
              <w:spacing w:after="0"/>
              <w:rPr>
                <w:rFonts w:ascii="Arial" w:cs="Arial" w:eastAsia="Arial" w:hAnsi="Arial"/>
                <w:sz w:val="18"/>
                <w:szCs w:val="18"/>
                <w:color w:val="0000FF"/>
                <w:w w:val="96"/>
              </w:rPr>
            </w:pPr>
            <w:hyperlink r:id="rId13">
              <w:r>
                <w:rPr>
                  <w:rFonts w:ascii="Arial" w:cs="Arial" w:eastAsia="Arial" w:hAnsi="Arial"/>
                  <w:sz w:val="18"/>
                  <w:szCs w:val="18"/>
                  <w:color w:val="0000FF"/>
                  <w:w w:val="96"/>
                </w:rPr>
                <w:t>2018 Employment Inducement Incentive Award</w:t>
              </w:r>
            </w:hyperlink>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S-8</w:t>
            </w:r>
          </w:p>
        </w:tc>
        <w:tc>
          <w:tcPr>
            <w:tcW w:w="1300" w:type="dxa"/>
            <w:vAlign w:val="bottom"/>
          </w:tcPr>
          <w:p>
            <w:pPr>
              <w:ind w:left="40"/>
              <w:spacing w:after="0"/>
              <w:rPr>
                <w:sz w:val="20"/>
                <w:szCs w:val="20"/>
                <w:color w:val="auto"/>
              </w:rPr>
            </w:pPr>
            <w:r>
              <w:rPr>
                <w:rFonts w:ascii="Arial" w:cs="Arial" w:eastAsia="Arial" w:hAnsi="Arial"/>
                <w:sz w:val="18"/>
                <w:szCs w:val="18"/>
                <w:color w:val="auto"/>
              </w:rPr>
              <w:t>333-230501</w:t>
            </w:r>
          </w:p>
        </w:tc>
        <w:tc>
          <w:tcPr>
            <w:tcW w:w="10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3/25/2019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Plan, as amended and restated, and forms</w:t>
              </w:r>
            </w:hyperlink>
          </w:p>
        </w:tc>
        <w:tc>
          <w:tcPr>
            <w:tcW w:w="1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agreement thereunder</w:t>
              </w:r>
            </w:hyperlink>
          </w:p>
        </w:tc>
        <w:tc>
          <w:tcPr>
            <w:tcW w:w="68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3"/>
          </w:tcPr>
          <w:p>
            <w:pPr>
              <w:jc w:val="center"/>
              <w:ind w:right="20"/>
              <w:spacing w:after="0"/>
              <w:rPr>
                <w:rFonts w:ascii="Arial" w:cs="Arial" w:eastAsia="Arial" w:hAnsi="Arial"/>
                <w:sz w:val="18"/>
                <w:szCs w:val="18"/>
                <w:color w:val="0000FF"/>
                <w:w w:val="91"/>
              </w:rPr>
            </w:pPr>
            <w:hyperlink w:anchor="page8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8"/>
          </w:tcPr>
          <w:p>
            <w:pPr>
              <w:spacing w:after="0"/>
              <w:rPr>
                <w:rFonts w:ascii="Arial" w:cs="Arial" w:eastAsia="Arial" w:hAnsi="Arial"/>
                <w:sz w:val="18"/>
                <w:szCs w:val="18"/>
                <w:color w:val="0000FF"/>
                <w:w w:val="97"/>
              </w:rPr>
            </w:pPr>
            <w:hyperlink w:anchor="page85">
              <w:r>
                <w:rPr>
                  <w:rFonts w:ascii="Arial" w:cs="Arial" w:eastAsia="Arial" w:hAnsi="Arial"/>
                  <w:sz w:val="18"/>
                  <w:szCs w:val="18"/>
                  <w:color w:val="0000FF"/>
                  <w:w w:val="97"/>
                </w:rPr>
                <w:t>Employment Agreement, dated June 21, 2019,</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8"/>
              </w:rPr>
            </w:pPr>
            <w:hyperlink w:anchor="page85">
              <w:r>
                <w:rPr>
                  <w:rFonts w:ascii="Arial" w:cs="Arial" w:eastAsia="Arial" w:hAnsi="Arial"/>
                  <w:sz w:val="18"/>
                  <w:szCs w:val="18"/>
                  <w:color w:val="0000FF"/>
                  <w:w w:val="88"/>
                </w:rPr>
                <w:t>by and between Selecta Biosciences, Inc. and</w:t>
              </w:r>
            </w:hyperlink>
          </w:p>
        </w:tc>
        <w:tc>
          <w:tcPr>
            <w:tcW w:w="80" w:type="dxa"/>
            <w:vAlign w:val="bottom"/>
            <w:tcBorders>
              <w:top w:val="single" w:sz="8" w:color="0000FF"/>
            </w:tcBorders>
            <w:gridSpan w:val="2"/>
          </w:tcPr>
          <w:p>
            <w:pPr>
              <w:spacing w:after="0"/>
              <w:rPr>
                <w:sz w:val="17"/>
                <w:szCs w:val="17"/>
                <w:color w:val="auto"/>
              </w:rPr>
            </w:pPr>
          </w:p>
        </w:tc>
        <w:tc>
          <w:tcPr>
            <w:tcW w:w="30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w:anchor="page85">
              <w:r>
                <w:rPr>
                  <w:rFonts w:ascii="Arial" w:cs="Arial" w:eastAsia="Arial" w:hAnsi="Arial"/>
                  <w:sz w:val="18"/>
                  <w:szCs w:val="18"/>
                  <w:color w:val="0000FF"/>
                  <w:w w:val="92"/>
                </w:rPr>
                <w:t>Alison Schecter, M.D.</w:t>
              </w:r>
            </w:hyperlink>
          </w:p>
        </w:tc>
        <w:tc>
          <w:tcPr>
            <w:tcW w:w="204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3"/>
          </w:tcPr>
          <w:p>
            <w:pPr>
              <w:jc w:val="center"/>
              <w:ind w:right="20"/>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8"/>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Rule 13a-14(a) / 15d-14(a) Certification of</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3"/>
              </w:rPr>
            </w:pPr>
            <w:hyperlink w:anchor="page103">
              <w:r>
                <w:rPr>
                  <w:rFonts w:ascii="Arial" w:cs="Arial" w:eastAsia="Arial" w:hAnsi="Arial"/>
                  <w:sz w:val="18"/>
                  <w:szCs w:val="18"/>
                  <w:color w:val="0000FF"/>
                  <w:w w:val="93"/>
                </w:rPr>
                <w:t>Chief Executive Officer</w:t>
              </w:r>
            </w:hyperlink>
          </w:p>
        </w:tc>
        <w:tc>
          <w:tcPr>
            <w:tcW w:w="1340" w:type="dxa"/>
            <w:vAlign w:val="bottom"/>
            <w:tcBorders>
              <w:top w:val="single" w:sz="8" w:color="0000FF"/>
            </w:tcBorders>
            <w:gridSpan w:val="3"/>
          </w:tcPr>
          <w:p>
            <w:pPr>
              <w:spacing w:after="0"/>
              <w:rPr>
                <w:sz w:val="17"/>
                <w:szCs w:val="17"/>
                <w:color w:val="auto"/>
              </w:rPr>
            </w:pPr>
          </w:p>
        </w:tc>
        <w:tc>
          <w:tcPr>
            <w:tcW w:w="58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3"/>
          </w:tcPr>
          <w:p>
            <w:pPr>
              <w:jc w:val="center"/>
              <w:ind w:right="20"/>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8"/>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Rule 13a-14(a) / 15d-14(a) Certification of</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8"/>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principal financial and principal accounting</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officer</w:t>
              </w:r>
            </w:hyperlink>
          </w:p>
        </w:tc>
        <w:tc>
          <w:tcPr>
            <w:tcW w:w="52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3"/>
          </w:tcPr>
          <w:p>
            <w:pPr>
              <w:jc w:val="center"/>
              <w:ind w:right="20"/>
              <w:spacing w:after="0"/>
              <w:rPr>
                <w:rFonts w:ascii="Arial" w:cs="Arial" w:eastAsia="Arial" w:hAnsi="Arial"/>
                <w:sz w:val="18"/>
                <w:szCs w:val="18"/>
                <w:color w:val="0000FF"/>
                <w:w w:val="91"/>
              </w:rPr>
            </w:pPr>
            <w:hyperlink w:anchor="page106">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8"/>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Section 1350 Certification of Chief Executive</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106">
              <w:r>
                <w:rPr>
                  <w:rFonts w:ascii="Arial" w:cs="Arial" w:eastAsia="Arial" w:hAnsi="Arial"/>
                  <w:sz w:val="18"/>
                  <w:szCs w:val="18"/>
                  <w:color w:val="0000FF"/>
                </w:rPr>
                <w:t>Officer</w:t>
              </w:r>
            </w:hyperlink>
          </w:p>
        </w:tc>
        <w:tc>
          <w:tcPr>
            <w:tcW w:w="36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3"/>
          </w:tcPr>
          <w:p>
            <w:pPr>
              <w:jc w:val="center"/>
              <w:ind w:right="20"/>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8"/>
          </w:tcPr>
          <w:p>
            <w:pPr>
              <w:spacing w:after="0"/>
              <w:rPr>
                <w:rFonts w:ascii="Arial" w:cs="Arial" w:eastAsia="Arial" w:hAnsi="Arial"/>
                <w:sz w:val="18"/>
                <w:szCs w:val="18"/>
                <w:color w:val="0000FF"/>
                <w:w w:val="98"/>
              </w:rPr>
            </w:pPr>
            <w:hyperlink w:anchor="page107">
              <w:r>
                <w:rPr>
                  <w:rFonts w:ascii="Arial" w:cs="Arial" w:eastAsia="Arial" w:hAnsi="Arial"/>
                  <w:sz w:val="18"/>
                  <w:szCs w:val="18"/>
                  <w:color w:val="0000FF"/>
                  <w:w w:val="98"/>
                </w:rPr>
                <w:t>Section 1350 Certification of principal financial</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and principal accounting officer</w:t>
              </w:r>
            </w:hyperlink>
          </w:p>
        </w:tc>
        <w:tc>
          <w:tcPr>
            <w:tcW w:w="20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6"/>
        </w:trPr>
        <w:tc>
          <w:tcPr>
            <w:tcW w:w="1520" w:type="dxa"/>
            <w:vAlign w:val="bottom"/>
            <w:gridSpan w:val="7"/>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w w:val="98"/>
              </w:rPr>
              <w:t>Inline XBRL Instance Document - the Instance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Document does not appear in the interactive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w w:val="98"/>
              </w:rPr>
              <w:t>data file because its XBRL tags are embedded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within the Inline XBRL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152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2"/>
                <w:szCs w:val="22"/>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1520" w:type="dxa"/>
            <w:vAlign w:val="bottom"/>
            <w:gridSpan w:val="7"/>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2"/>
                <w:szCs w:val="22"/>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1520" w:type="dxa"/>
            <w:vAlign w:val="bottom"/>
            <w:gridSpan w:val="7"/>
          </w:tcPr>
          <w:p>
            <w:pPr>
              <w:jc w:val="center"/>
              <w:ind w:right="14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2"/>
                <w:szCs w:val="22"/>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1520" w:type="dxa"/>
            <w:vAlign w:val="bottom"/>
            <w:gridSpan w:val="7"/>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1520" w:type="dxa"/>
            <w:vAlign w:val="bottom"/>
            <w:gridSpan w:val="7"/>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2"/>
                <w:szCs w:val="22"/>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w w:val="97"/>
              </w:rPr>
              <w:t>Inline XBRL Taxonomy Extension Presentation</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6"/>
              </w:rPr>
              <w:t>104</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w w:val="98"/>
              </w:rPr>
              <w:t>Cover Page Interactive Data File (formatted as</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auto"/>
              </w:rPr>
              <w:t>Inline XBRL and contained in Exhibit 101)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gridSpan w:val="23"/>
          </w:tcPr>
          <w:p>
            <w:pPr>
              <w:spacing w:after="0"/>
              <w:rPr>
                <w:sz w:val="20"/>
                <w:szCs w:val="20"/>
                <w:color w:val="auto"/>
              </w:rPr>
            </w:pPr>
            <w:r>
              <w:rPr>
                <w:rFonts w:ascii="Arial" w:cs="Arial" w:eastAsia="Arial" w:hAnsi="Arial"/>
                <w:sz w:val="18"/>
                <w:szCs w:val="18"/>
                <w:color w:val="auto"/>
              </w:rPr>
              <w:t>Filed herewith.</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620" w:type="dxa"/>
            <w:vAlign w:val="bottom"/>
            <w:gridSpan w:val="23"/>
          </w:tcPr>
          <w:p>
            <w:pPr>
              <w:spacing w:after="0"/>
              <w:rPr>
                <w:sz w:val="20"/>
                <w:szCs w:val="20"/>
                <w:color w:val="auto"/>
              </w:rPr>
            </w:pPr>
            <w:r>
              <w:rPr>
                <w:rFonts w:ascii="Arial" w:cs="Arial" w:eastAsia="Arial" w:hAnsi="Arial"/>
                <w:sz w:val="18"/>
                <w:szCs w:val="18"/>
                <w:color w:val="auto"/>
              </w:rPr>
              <w:t>Furnished herewith.</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00"/>
          </w:cols>
          <w:pgMar w:left="240" w:top="688"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00"/>
          </w:cols>
          <w:pgMar w:left="240" w:top="688" w:right="55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SELECTA BIOSCIENCES, INC.</w:t>
      </w:r>
    </w:p>
    <w:p>
      <w:pPr>
        <w:spacing w:after="0" w:line="337" w:lineRule="exact"/>
        <w:rPr>
          <w:sz w:val="20"/>
          <w:szCs w:val="20"/>
          <w:color w:val="auto"/>
        </w:rPr>
      </w:pPr>
    </w:p>
    <w:p>
      <w:pPr>
        <w:ind w:left="40"/>
        <w:spacing w:after="0"/>
        <w:tabs>
          <w:tab w:leader="none" w:pos="5980" w:val="left"/>
          <w:tab w:leader="none" w:pos="80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jc w:val="center"/>
        <w:ind w:left="642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63" w:lineRule="exact"/>
        <w:rPr>
          <w:sz w:val="20"/>
          <w:szCs w:val="20"/>
          <w:color w:val="auto"/>
        </w:rPr>
      </w:pPr>
    </w:p>
    <w:p>
      <w:pPr>
        <w:jc w:val="center"/>
        <w:ind w:left="64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5980" w:val="left"/>
          <w:tab w:leader="none" w:pos="796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 K. Donohue,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Ann K. Donohue, CPA</w:t>
      </w:r>
    </w:p>
    <w:p>
      <w:pPr>
        <w:spacing w:after="0" w:line="63" w:lineRule="exact"/>
        <w:rPr>
          <w:sz w:val="20"/>
          <w:szCs w:val="20"/>
          <w:color w:val="auto"/>
        </w:rPr>
      </w:pPr>
    </w:p>
    <w:p>
      <w:pPr>
        <w:ind w:left="8540"/>
        <w:spacing w:after="0"/>
        <w:rPr>
          <w:sz w:val="20"/>
          <w:szCs w:val="20"/>
          <w:color w:val="auto"/>
        </w:rPr>
      </w:pPr>
      <w:r>
        <w:rPr>
          <w:rFonts w:ascii="Arial" w:cs="Arial" w:eastAsia="Arial" w:hAnsi="Arial"/>
          <w:sz w:val="18"/>
          <w:szCs w:val="18"/>
          <w:i w:val="1"/>
          <w:iCs w:val="1"/>
          <w:color w:val="auto"/>
        </w:rPr>
        <w:t>Controller</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i w:val="1"/>
          <w:iCs w:val="1"/>
          <w:color w:val="auto"/>
        </w:rPr>
        <w:t>(principal financial and</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420"/>
          </w:cols>
          <w:pgMar w:left="240" w:top="688"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ind w:right="340" w:firstLine="648"/>
        <w:spacing w:after="0" w:line="291"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___, 2019, is made by and between SELECTA BIOSCIENCES, INC., a Delaware corporation (together with any successor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ALISON D. SCHECTER, M.D. (“</w:t>
      </w:r>
      <w:r>
        <w:rPr>
          <w:rFonts w:ascii="Arial" w:cs="Arial" w:eastAsia="Arial" w:hAnsi="Arial"/>
          <w:sz w:val="18"/>
          <w:szCs w:val="18"/>
          <w:u w:val="single" w:color="auto"/>
          <w:color w:val="auto"/>
        </w:rPr>
        <w:t>Executive</w:t>
      </w:r>
      <w:r>
        <w:rPr>
          <w:rFonts w:ascii="Arial" w:cs="Arial" w:eastAsia="Arial" w:hAnsi="Arial"/>
          <w:sz w:val="18"/>
          <w:szCs w:val="18"/>
          <w:color w:val="auto"/>
        </w:rPr>
        <w:t>”)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 or individually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effective as of July 15,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right="340" w:hanging="652"/>
        <w:spacing w:after="0" w:line="26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It is the desire of the Company to assure itself of the services of Executive on the Effective Date and thereafter by entering into this Agreement.</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and the Company mutually desire that Executive provide services to the Company on the terms herein provided.</w:t>
      </w:r>
    </w:p>
    <w:p>
      <w:pPr>
        <w:spacing w:after="0" w:line="221" w:lineRule="exact"/>
        <w:rPr>
          <w:rFonts w:ascii="Arial" w:cs="Arial" w:eastAsia="Arial" w:hAnsi="Arial"/>
          <w:sz w:val="19"/>
          <w:szCs w:val="19"/>
          <w:color w:val="auto"/>
        </w:rPr>
      </w:pPr>
    </w:p>
    <w:p>
      <w:pPr>
        <w:ind w:left="5060"/>
        <w:spacing w:after="0"/>
        <w:rPr>
          <w:rFonts w:ascii="Arial" w:cs="Arial" w:eastAsia="Arial" w:hAnsi="Arial"/>
          <w:sz w:val="19"/>
          <w:szCs w:val="19"/>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84" w:lineRule="exact"/>
        <w:rPr>
          <w:sz w:val="20"/>
          <w:szCs w:val="20"/>
          <w:color w:val="auto"/>
        </w:rPr>
      </w:pPr>
    </w:p>
    <w:p>
      <w:pPr>
        <w:ind w:left="800" w:hanging="792"/>
        <w:spacing w:after="0"/>
        <w:tabs>
          <w:tab w:leader="none" w:pos="8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right="40" w:firstLine="656"/>
        <w:spacing w:after="0" w:line="287" w:lineRule="auto"/>
        <w:tabs>
          <w:tab w:leader="none" w:pos="1048"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Effective on the Effective Date, the Company shall employ Executive and Executive shall be employed by the Company, for the period and in the positions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and subject to the other terms and conditions herein provided.</w:t>
      </w:r>
    </w:p>
    <w:p>
      <w:pPr>
        <w:spacing w:after="0" w:line="152" w:lineRule="exact"/>
        <w:rPr>
          <w:rFonts w:ascii="Arial" w:cs="Arial" w:eastAsia="Arial" w:hAnsi="Arial"/>
          <w:sz w:val="19"/>
          <w:szCs w:val="19"/>
          <w:color w:val="auto"/>
        </w:rPr>
      </w:pPr>
    </w:p>
    <w:p>
      <w:pPr>
        <w:ind w:right="80" w:firstLine="656"/>
        <w:spacing w:after="0" w:line="302" w:lineRule="auto"/>
        <w:tabs>
          <w:tab w:leader="none" w:pos="1059"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6"/>
          <w:szCs w:val="16"/>
          <w:u w:val="single" w:color="auto"/>
          <w:color w:val="auto"/>
        </w:rPr>
        <w:t>Section 3(b)</w:t>
      </w:r>
      <w:r>
        <w:rPr>
          <w:rFonts w:ascii="Arial" w:cs="Arial" w:eastAsia="Arial" w:hAnsi="Arial"/>
          <w:sz w:val="16"/>
          <w:szCs w:val="16"/>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The term of this Agreement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commence on the Effective Date and end on the date this Agreement is terminated under </w:t>
      </w:r>
      <w:r>
        <w:rPr>
          <w:rFonts w:ascii="Arial" w:cs="Arial" w:eastAsia="Arial" w:hAnsi="Arial"/>
          <w:sz w:val="16"/>
          <w:szCs w:val="16"/>
          <w:u w:val="single" w:color="auto"/>
          <w:color w:val="auto"/>
        </w:rPr>
        <w:t>Section</w:t>
      </w:r>
    </w:p>
    <w:p>
      <w:pPr>
        <w:spacing w:after="0" w:line="45" w:lineRule="exact"/>
        <w:rPr>
          <w:rFonts w:ascii="Arial" w:cs="Arial" w:eastAsia="Arial" w:hAnsi="Arial"/>
          <w:sz w:val="16"/>
          <w:szCs w:val="16"/>
          <w:color w:val="auto"/>
        </w:rPr>
      </w:pPr>
    </w:p>
    <w:p>
      <w:pPr>
        <w:spacing w:after="0"/>
        <w:tabs>
          <w:tab w:leader="none" w:pos="0" w:val="left"/>
        </w:tabs>
        <w:numPr>
          <w:ilvl w:val="0"/>
          <w:numId w:val="45"/>
        </w:numPr>
        <w:rPr>
          <w:rFonts w:ascii="Arial" w:cs="Arial" w:eastAsia="Arial" w:hAnsi="Arial"/>
          <w:sz w:val="20"/>
          <w:szCs w:val="20"/>
          <w:u w:val="single" w:color="auto"/>
          <w:color w:val="auto"/>
        </w:rPr>
      </w:pPr>
    </w:p>
    <w:p>
      <w:pPr>
        <w:spacing w:after="0" w:line="199" w:lineRule="exact"/>
        <w:rPr>
          <w:rFonts w:ascii="Arial" w:cs="Arial" w:eastAsia="Arial" w:hAnsi="Arial"/>
          <w:sz w:val="20"/>
          <w:szCs w:val="20"/>
          <w:u w:val="single" w:color="auto"/>
          <w:color w:val="auto"/>
        </w:rPr>
      </w:pPr>
    </w:p>
    <w:p>
      <w:pPr>
        <w:ind w:right="40" w:firstLine="656"/>
        <w:spacing w:after="0" w:line="256" w:lineRule="auto"/>
        <w:tabs>
          <w:tab w:leader="none" w:pos="1048"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Positions and Duties</w:t>
      </w:r>
      <w:r>
        <w:rPr>
          <w:rFonts w:ascii="Arial" w:cs="Arial" w:eastAsia="Arial" w:hAnsi="Arial"/>
          <w:sz w:val="19"/>
          <w:szCs w:val="19"/>
          <w:color w:val="auto"/>
        </w:rPr>
        <w:t>. Executive shall serve as the Chief Medical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Arial" w:cs="Arial" w:eastAsia="Arial" w:hAnsi="Arial"/>
          <w:sz w:val="19"/>
          <w:szCs w:val="19"/>
          <w:u w:val="single" w:color="auto"/>
          <w:color w:val="auto"/>
        </w:rPr>
        <w:t>Board</w:t>
      </w:r>
      <w:r>
        <w:rPr>
          <w:rFonts w:ascii="Arial" w:cs="Arial" w:eastAsia="Arial" w:hAnsi="Arial"/>
          <w:sz w:val="19"/>
          <w:szCs w:val="19"/>
          <w:color w:val="auto"/>
        </w:rPr>
        <w:t>”)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9"/>
          <w:szCs w:val="19"/>
          <w:u w:val="single" w:color="auto"/>
          <w:color w:val="auto"/>
        </w:rPr>
        <w:t>Restrictive Covenant Agreement</w:t>
      </w:r>
      <w:r>
        <w:rPr>
          <w:rFonts w:ascii="Arial" w:cs="Arial" w:eastAsia="Arial" w:hAnsi="Arial"/>
          <w:sz w:val="19"/>
          <w:szCs w:val="19"/>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9"/>
          <w:szCs w:val="19"/>
          <w:u w:val="single" w:color="auto"/>
          <w:color w:val="auto"/>
        </w:rPr>
        <w:t>Policy</w:t>
      </w:r>
      <w:r>
        <w:rPr>
          <w:rFonts w:ascii="Arial" w:cs="Arial" w:eastAsia="Arial" w:hAnsi="Arial"/>
          <w:sz w:val="19"/>
          <w:szCs w:val="19"/>
          <w:color w:val="auto"/>
        </w:rPr>
        <w:t>”).</w:t>
      </w:r>
    </w:p>
    <w:p>
      <w:pPr>
        <w:sectPr>
          <w:pgSz w:w="11900" w:h="16838" w:orient="portrait"/>
          <w:cols w:equalWidth="0" w:num="1">
            <w:col w:w="11400"/>
          </w:cols>
          <w:pgMar w:left="240" w:top="832" w:right="259" w:bottom="1440" w:gutter="0" w:footer="0" w:header="0"/>
        </w:sectPr>
      </w:pPr>
    </w:p>
    <w:bookmarkStart w:id="85" w:name="page86"/>
    <w:bookmarkEnd w:id="85"/>
    <w:p>
      <w:pPr>
        <w:ind w:left="352" w:hanging="352"/>
        <w:spacing w:after="0"/>
        <w:tabs>
          <w:tab w:leader="none" w:pos="352" w:val="left"/>
        </w:tabs>
        <w:numPr>
          <w:ilvl w:val="0"/>
          <w:numId w:val="46"/>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ind w:left="-8" w:right="140" w:firstLine="656"/>
        <w:spacing w:after="0" w:line="246" w:lineRule="auto"/>
        <w:tabs>
          <w:tab w:leader="none" w:pos="1040"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During the Term, Executive shall receive a base salary at a rate of $415,000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20"/>
          <w:szCs w:val="20"/>
          <w:u w:val="single" w:color="auto"/>
          <w:color w:val="auto"/>
        </w:rPr>
        <w:t>Annual Base Salary</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8" w:right="20" w:firstLine="656"/>
        <w:spacing w:after="0" w:line="258" w:lineRule="auto"/>
        <w:tabs>
          <w:tab w:leader="none" w:pos="1051"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During the Term, Executive will be eligible to participate, on the same basis as other actively employed senior executives of the Company, in an annual incentive program established by the Board. Executive’s annual incentive compensation under such incentive program (the “</w:t>
      </w:r>
      <w:r>
        <w:rPr>
          <w:rFonts w:ascii="Arial" w:cs="Arial" w:eastAsia="Arial" w:hAnsi="Arial"/>
          <w:sz w:val="19"/>
          <w:szCs w:val="19"/>
          <w:u w:val="single" w:color="auto"/>
          <w:color w:val="auto"/>
        </w:rPr>
        <w:t>Annual Bonus</w:t>
      </w:r>
      <w:r>
        <w:rPr>
          <w:rFonts w:ascii="Arial" w:cs="Arial" w:eastAsia="Arial" w:hAnsi="Arial"/>
          <w:sz w:val="19"/>
          <w:szCs w:val="19"/>
          <w:color w:val="auto"/>
        </w:rPr>
        <w:t>”) shall be targeted at 40% of Executive’s Annual Base Salary (the “</w:t>
      </w:r>
      <w:r>
        <w:rPr>
          <w:rFonts w:ascii="Arial" w:cs="Arial" w:eastAsia="Arial" w:hAnsi="Arial"/>
          <w:sz w:val="19"/>
          <w:szCs w:val="19"/>
          <w:u w:val="single" w:color="auto"/>
          <w:color w:val="auto"/>
        </w:rPr>
        <w:t>Target Bonus</w:t>
      </w:r>
      <w:r>
        <w:rPr>
          <w:rFonts w:ascii="Arial" w:cs="Arial" w:eastAsia="Arial" w:hAnsi="Arial"/>
          <w:sz w:val="19"/>
          <w:szCs w:val="19"/>
          <w:color w:val="auto"/>
        </w:rPr>
        <w:t>”). The Annual Bonus payable under the incentive program shall be based on the achievement of performance goals to be determined by the Board; provided that, Executive’s Annual Bonus for the Company’s 2019 fiscal year shall be prorated for time employed for 2019. The payment of any Annual Bonus will be made on or before March 15 of the year following the calendar year in which such Annual Bonus is earned, subject to Executive’s continued employment through the last day of such year.</w:t>
      </w:r>
    </w:p>
    <w:p>
      <w:pPr>
        <w:spacing w:after="0" w:line="179" w:lineRule="exact"/>
        <w:rPr>
          <w:rFonts w:ascii="Arial" w:cs="Arial" w:eastAsia="Arial" w:hAnsi="Arial"/>
          <w:sz w:val="19"/>
          <w:szCs w:val="19"/>
          <w:color w:val="auto"/>
        </w:rPr>
      </w:pPr>
    </w:p>
    <w:p>
      <w:pPr>
        <w:ind w:left="-8" w:right="240" w:firstLine="656"/>
        <w:spacing w:after="0" w:line="328" w:lineRule="auto"/>
        <w:tabs>
          <w:tab w:leader="none" w:pos="104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During the Term, Executive shall be eligible to participate, on the same basis as other actively employed senior executives of the Company,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Agreement.</w:t>
      </w:r>
    </w:p>
    <w:p>
      <w:pPr>
        <w:spacing w:after="0" w:line="128" w:lineRule="exact"/>
        <w:rPr>
          <w:rFonts w:ascii="Arial" w:cs="Arial" w:eastAsia="Arial" w:hAnsi="Arial"/>
          <w:sz w:val="16"/>
          <w:szCs w:val="16"/>
          <w:color w:val="auto"/>
        </w:rPr>
      </w:pPr>
    </w:p>
    <w:p>
      <w:pPr>
        <w:ind w:left="-8" w:right="100" w:firstLine="656"/>
        <w:spacing w:after="0" w:line="244" w:lineRule="auto"/>
        <w:tabs>
          <w:tab w:leader="none" w:pos="1051"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accrue four weeks of paid vacation per year, at the rate of 1.67 days per month during Executive’s first year of employment, and thereafter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94" w:lineRule="exact"/>
        <w:rPr>
          <w:rFonts w:ascii="Arial" w:cs="Arial" w:eastAsia="Arial" w:hAnsi="Arial"/>
          <w:sz w:val="20"/>
          <w:szCs w:val="20"/>
          <w:color w:val="auto"/>
        </w:rPr>
      </w:pPr>
    </w:p>
    <w:p>
      <w:pPr>
        <w:ind w:left="-8" w:right="700" w:firstLine="656"/>
        <w:spacing w:after="0" w:line="250" w:lineRule="auto"/>
        <w:tabs>
          <w:tab w:leader="none" w:pos="1040"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6" w:lineRule="exact"/>
        <w:rPr>
          <w:rFonts w:ascii="Arial" w:cs="Arial" w:eastAsia="Arial" w:hAnsi="Arial"/>
          <w:sz w:val="20"/>
          <w:szCs w:val="20"/>
          <w:color w:val="auto"/>
        </w:rPr>
      </w:pPr>
    </w:p>
    <w:p>
      <w:pPr>
        <w:ind w:left="-8" w:right="60" w:firstLine="656"/>
        <w:spacing w:after="0" w:line="316" w:lineRule="auto"/>
        <w:tabs>
          <w:tab w:leader="none" w:pos="1018"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Key Person Insurance</w:t>
      </w:r>
      <w:r>
        <w:rPr>
          <w:rFonts w:ascii="Arial" w:cs="Arial" w:eastAsia="Arial" w:hAnsi="Arial"/>
          <w:sz w:val="16"/>
          <w:szCs w:val="16"/>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40" w:lineRule="exact"/>
        <w:rPr>
          <w:rFonts w:ascii="Arial" w:cs="Arial" w:eastAsia="Arial" w:hAnsi="Arial"/>
          <w:sz w:val="16"/>
          <w:szCs w:val="16"/>
          <w:color w:val="auto"/>
        </w:rPr>
      </w:pPr>
    </w:p>
    <w:p>
      <w:pPr>
        <w:ind w:left="-8" w:firstLine="656"/>
        <w:spacing w:after="0" w:line="250" w:lineRule="auto"/>
        <w:tabs>
          <w:tab w:leader="none" w:pos="1051"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No later than the first regularly scheduled meeting of the Board following the Effective Date, and subject to the approval of the Board, Executive will be granted an option to purchase 350,000 shares of common stock of the Company with an exercise price per share equal to the</w:t>
      </w:r>
    </w:p>
    <w:p>
      <w:pPr>
        <w:spacing w:after="0" w:line="200" w:lineRule="exact"/>
        <w:rPr>
          <w:sz w:val="20"/>
          <w:szCs w:val="20"/>
          <w:color w:val="auto"/>
        </w:rPr>
      </w:pPr>
    </w:p>
    <w:p>
      <w:pPr>
        <w:spacing w:after="0" w:line="23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859" w:right="279" w:bottom="1440" w:gutter="0" w:footer="0" w:header="0"/>
        </w:sectPr>
      </w:pPr>
    </w:p>
    <w:bookmarkStart w:id="86" w:name="page87"/>
    <w:bookmarkEnd w:id="86"/>
    <w:p>
      <w:pPr>
        <w:ind w:right="80"/>
        <w:spacing w:after="0" w:line="243" w:lineRule="auto"/>
        <w:rPr>
          <w:sz w:val="20"/>
          <w:szCs w:val="20"/>
          <w:color w:val="auto"/>
        </w:rPr>
      </w:pPr>
      <w:r>
        <w:rPr>
          <w:rFonts w:ascii="Arial" w:cs="Arial" w:eastAsia="Arial" w:hAnsi="Arial"/>
          <w:sz w:val="20"/>
          <w:szCs w:val="20"/>
          <w:color w:val="auto"/>
        </w:rPr>
        <w:t>closing price per share of the Company’s common stock on the date of grant or the last trading day preceding the date of grant if the date of grant is not a trading day (the “Option”). Subject to Executive’s continued employment by the Company, the Option shall vest over a four-year period, with 25% vesting on the first anniversary of the Effective Date and the remaining 75% vesting on each monthly anniversary of the Effective date in 36 equal monthly installments following the first anniversary of the Effective Date. The Option will be subject to the terms of the Selecta Biosciences, Inc. 2018 Employment Inducement Incentive Award Plan (the “2018 EIIAP”) and the applicable award agreement evidencing such award.</w:t>
      </w:r>
    </w:p>
    <w:p>
      <w:pPr>
        <w:spacing w:after="0" w:line="197" w:lineRule="exact"/>
        <w:rPr>
          <w:sz w:val="20"/>
          <w:szCs w:val="20"/>
          <w:color w:val="auto"/>
        </w:rPr>
      </w:pPr>
    </w:p>
    <w:p>
      <w:pPr>
        <w:ind w:right="20" w:firstLine="656"/>
        <w:spacing w:after="0" w:line="259" w:lineRule="auto"/>
        <w:tabs>
          <w:tab w:leader="none" w:pos="1059"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Signing Bonus</w:t>
      </w:r>
      <w:r>
        <w:rPr>
          <w:rFonts w:ascii="Arial" w:cs="Arial" w:eastAsia="Arial" w:hAnsi="Arial"/>
          <w:sz w:val="19"/>
          <w:szCs w:val="19"/>
          <w:color w:val="auto"/>
        </w:rPr>
        <w:t>. Executive shall receive a single lump-sum cash payment of $50,000, payable at the same time as Executive’s first regularly scheduled Company paycheck, subject to and conditioned upon Executive’s continued employment through the payment date (the “</w:t>
      </w:r>
      <w:r>
        <w:rPr>
          <w:rFonts w:ascii="Arial" w:cs="Arial" w:eastAsia="Arial" w:hAnsi="Arial"/>
          <w:sz w:val="19"/>
          <w:szCs w:val="19"/>
          <w:u w:val="single" w:color="auto"/>
          <w:color w:val="auto"/>
        </w:rPr>
        <w:t>Signing Bonus</w:t>
      </w:r>
      <w:r>
        <w:rPr>
          <w:rFonts w:ascii="Arial" w:cs="Arial" w:eastAsia="Arial" w:hAnsi="Arial"/>
          <w:sz w:val="19"/>
          <w:szCs w:val="19"/>
          <w:color w:val="auto"/>
        </w:rPr>
        <w:t>”). If Executive’s employment is terminated by the Company for Cause or by Executive other than for Good Reason (as defined below), in either case within 12 months of the Effective Date, Executive will repay the Company the full amount of the Signing Bonus and the Company will be entitled (but not required) to deduct the amount of any such repayment obligations from any amounts otherwise payable to Executive by the Company or any of its affiliates.</w:t>
      </w:r>
    </w:p>
    <w:p>
      <w:pPr>
        <w:spacing w:after="0" w:line="199" w:lineRule="exact"/>
        <w:rPr>
          <w:rFonts w:ascii="Arial" w:cs="Arial" w:eastAsia="Arial" w:hAnsi="Arial"/>
          <w:sz w:val="19"/>
          <w:szCs w:val="19"/>
          <w:color w:val="auto"/>
        </w:rPr>
      </w:pPr>
    </w:p>
    <w:p>
      <w:pPr>
        <w:ind w:left="360" w:hanging="352"/>
        <w:spacing w:after="0"/>
        <w:tabs>
          <w:tab w:leader="none" w:pos="360"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Executive’s employment hereunder may be terminated by the Company or Executive, as applicable, without any breach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 under the following circumstances:</w:t>
      </w:r>
    </w:p>
    <w:p>
      <w:pPr>
        <w:spacing w:after="0" w:line="200" w:lineRule="exact"/>
        <w:rPr>
          <w:sz w:val="20"/>
          <w:szCs w:val="20"/>
          <w:color w:val="auto"/>
        </w:rPr>
      </w:pPr>
    </w:p>
    <w:p>
      <w:pPr>
        <w:ind w:left="1060" w:hanging="404"/>
        <w:spacing w:after="0"/>
        <w:tabs>
          <w:tab w:leader="none" w:pos="106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Executive has incurred a Disability, as defined below, the Company may terminate Executive’s employment.</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Termination for Cause</w:t>
      </w:r>
      <w:r>
        <w:rPr>
          <w:rFonts w:ascii="Arial" w:cs="Arial" w:eastAsia="Arial" w:hAnsi="Arial"/>
          <w:sz w:val="20"/>
          <w:szCs w:val="20"/>
          <w:color w:val="auto"/>
        </w:rPr>
        <w:t>. The Company may terminate Executive’s employment for Cause, as defined below.</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15" w:lineRule="exact"/>
        <w:rPr>
          <w:rFonts w:ascii="Arial" w:cs="Arial" w:eastAsia="Arial" w:hAnsi="Arial"/>
          <w:sz w:val="20"/>
          <w:szCs w:val="20"/>
          <w:color w:val="auto"/>
        </w:rPr>
      </w:pPr>
    </w:p>
    <w:p>
      <w:pPr>
        <w:ind w:left="660" w:right="380" w:firstLine="645"/>
        <w:spacing w:after="0" w:line="260" w:lineRule="auto"/>
        <w:tabs>
          <w:tab w:leader="none" w:pos="1719"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with Good Reason, as defined below.</w:t>
      </w:r>
    </w:p>
    <w:p>
      <w:pPr>
        <w:spacing w:after="0" w:line="176" w:lineRule="exact"/>
        <w:rPr>
          <w:rFonts w:ascii="Arial" w:cs="Arial" w:eastAsia="Arial" w:hAnsi="Arial"/>
          <w:sz w:val="20"/>
          <w:szCs w:val="20"/>
          <w:color w:val="auto"/>
        </w:rPr>
      </w:pPr>
    </w:p>
    <w:p>
      <w:pPr>
        <w:ind w:left="660" w:right="60" w:firstLine="645"/>
        <w:spacing w:after="0" w:line="260" w:lineRule="auto"/>
        <w:tabs>
          <w:tab w:leader="none" w:pos="1774"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for any reason other than Good Reason or for no reason.</w:t>
      </w:r>
    </w:p>
    <w:p>
      <w:pPr>
        <w:spacing w:after="0" w:line="176" w:lineRule="exact"/>
        <w:rPr>
          <w:rFonts w:ascii="Arial" w:cs="Arial" w:eastAsia="Arial" w:hAnsi="Arial"/>
          <w:sz w:val="20"/>
          <w:szCs w:val="20"/>
          <w:color w:val="auto"/>
        </w:rPr>
      </w:pPr>
    </w:p>
    <w:p>
      <w:pPr>
        <w:ind w:firstLine="656"/>
        <w:spacing w:after="0" w:line="244" w:lineRule="auto"/>
        <w:tabs>
          <w:tab w:leader="none" w:pos="1059"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xml:space="preserve">. Any termination of Executive’s employment by the Company or by Executive under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39" w:right="259" w:bottom="1440" w:gutter="0" w:footer="0" w:header="0"/>
        </w:sectPr>
      </w:pPr>
    </w:p>
    <w:bookmarkStart w:id="87" w:name="page88"/>
    <w:bookmarkEnd w:id="87"/>
    <w:p>
      <w:pPr>
        <w:ind w:right="20"/>
        <w:spacing w:after="0" w:line="255" w:lineRule="auto"/>
        <w:rPr>
          <w:sz w:val="20"/>
          <w:szCs w:val="20"/>
          <w:color w:val="auto"/>
        </w:rPr>
      </w:pPr>
      <w:r>
        <w:rPr>
          <w:rFonts w:ascii="Arial" w:cs="Arial" w:eastAsia="Arial" w:hAnsi="Arial"/>
          <w:sz w:val="19"/>
          <w:szCs w:val="19"/>
          <w:color w:val="auto"/>
        </w:rPr>
        <w:t>to Section 3(a)(iii), shall be at least thirty-five (35) days following the date of such notice, but no more than forty-five (45)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case of a termination pursuant to Section 3(a)(v) the Date of Termination will be subject to the Company’s right to cure pursuant to Section 7(f) and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9"/>
          <w:szCs w:val="19"/>
          <w:i w:val="1"/>
          <w:iCs w:val="1"/>
          <w:color w:val="auto"/>
        </w:rPr>
        <w:t>provided</w:t>
      </w:r>
      <w:r>
        <w:rPr>
          <w:rFonts w:ascii="Arial" w:cs="Arial" w:eastAsia="Arial" w:hAnsi="Arial"/>
          <w:sz w:val="19"/>
          <w:szCs w:val="19"/>
          <w:color w:val="auto"/>
        </w:rPr>
        <w:t>,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85" w:lineRule="exact"/>
        <w:rPr>
          <w:sz w:val="20"/>
          <w:szCs w:val="20"/>
          <w:color w:val="auto"/>
        </w:rPr>
      </w:pPr>
    </w:p>
    <w:p>
      <w:pPr>
        <w:ind w:firstLine="656"/>
        <w:spacing w:after="0" w:line="271" w:lineRule="auto"/>
        <w:tabs>
          <w:tab w:leader="none" w:pos="104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w:t>
      </w:r>
      <w:r>
        <w:rPr>
          <w:rFonts w:ascii="Arial" w:cs="Arial" w:eastAsia="Arial" w:hAnsi="Arial"/>
          <w:sz w:val="18"/>
          <w:szCs w:val="18"/>
          <w:color w:val="auto"/>
        </w:rPr>
        <w:t xml:space="preserve">. Upon termination of Executive’s employment pursuant to any of the circumstances listed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Company Arrangements</w:t>
      </w:r>
      <w:r>
        <w:rPr>
          <w:rFonts w:ascii="Arial" w:cs="Arial" w:eastAsia="Arial" w:hAnsi="Arial"/>
          <w:sz w:val="18"/>
          <w:szCs w:val="18"/>
          <w:color w:val="auto"/>
        </w:rPr>
        <w:t>”). Except as otherwise expressly required by law (</w:t>
      </w:r>
      <w:r>
        <w:rPr>
          <w:rFonts w:ascii="Arial" w:cs="Arial" w:eastAsia="Arial" w:hAnsi="Arial"/>
          <w:sz w:val="18"/>
          <w:szCs w:val="18"/>
          <w:u w:val="single" w:color="auto"/>
          <w:color w:val="auto"/>
        </w:rPr>
        <w:t>e.g.</w:t>
      </w:r>
      <w:r>
        <w:rPr>
          <w:rFonts w:ascii="Arial" w:cs="Arial" w:eastAsia="Arial" w:hAnsi="Arial"/>
          <w:sz w:val="18"/>
          <w:szCs w:val="18"/>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70" w:lineRule="exact"/>
        <w:rPr>
          <w:rFonts w:ascii="Arial" w:cs="Arial" w:eastAsia="Arial" w:hAnsi="Arial"/>
          <w:sz w:val="18"/>
          <w:szCs w:val="18"/>
          <w:color w:val="auto"/>
        </w:rPr>
      </w:pPr>
    </w:p>
    <w:p>
      <w:pPr>
        <w:ind w:right="200" w:firstLine="656"/>
        <w:spacing w:after="0" w:line="260" w:lineRule="auto"/>
        <w:tabs>
          <w:tab w:leader="none" w:pos="1059"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97" w:lineRule="exact"/>
        <w:rPr>
          <w:rFonts w:ascii="Arial" w:cs="Arial" w:eastAsia="Arial" w:hAnsi="Arial"/>
          <w:sz w:val="20"/>
          <w:szCs w:val="20"/>
          <w:color w:val="auto"/>
        </w:rPr>
      </w:pPr>
    </w:p>
    <w:p>
      <w:pPr>
        <w:ind w:left="360" w:hanging="352"/>
        <w:spacing w:after="0"/>
        <w:tabs>
          <w:tab w:leader="none" w:pos="360" w:val="left"/>
        </w:tabs>
        <w:numPr>
          <w:ilvl w:val="0"/>
          <w:numId w:val="5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ind w:right="280" w:firstLine="656"/>
        <w:spacing w:after="0" w:line="282" w:lineRule="auto"/>
        <w:tabs>
          <w:tab w:leader="none" w:pos="1048"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Termination Upon Death, Disability or Resignation from the Company Without Good Reason</w:t>
      </w:r>
      <w:r>
        <w:rPr>
          <w:rFonts w:ascii="Arial" w:cs="Arial" w:eastAsia="Arial" w:hAnsi="Arial"/>
          <w:sz w:val="18"/>
          <w:szCs w:val="18"/>
          <w:color w:val="auto"/>
        </w:rPr>
        <w:t xml:space="preserve">. If Executive’s employment shall terminate as a result of Executive’s death pursuant to </w:t>
      </w:r>
      <w:r>
        <w:rPr>
          <w:rFonts w:ascii="Arial" w:cs="Arial" w:eastAsia="Arial" w:hAnsi="Arial"/>
          <w:sz w:val="18"/>
          <w:szCs w:val="18"/>
          <w:u w:val="single" w:color="auto"/>
          <w:color w:val="auto"/>
        </w:rPr>
        <w:t>Section 3(a)(i)</w:t>
      </w:r>
      <w:r>
        <w:rPr>
          <w:rFonts w:ascii="Arial" w:cs="Arial" w:eastAsia="Arial" w:hAnsi="Arial"/>
          <w:sz w:val="18"/>
          <w:szCs w:val="18"/>
          <w:color w:val="auto"/>
        </w:rPr>
        <w:t xml:space="preserve"> or Disability pursuant to </w:t>
      </w:r>
      <w:r>
        <w:rPr>
          <w:rFonts w:ascii="Arial" w:cs="Arial" w:eastAsia="Arial" w:hAnsi="Arial"/>
          <w:sz w:val="18"/>
          <w:szCs w:val="18"/>
          <w:u w:val="single" w:color="auto"/>
          <w:color w:val="auto"/>
        </w:rPr>
        <w:t>Section 3(a)(ii)</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3(a)(iii)</w:t>
      </w:r>
      <w:r>
        <w:rPr>
          <w:rFonts w:ascii="Arial" w:cs="Arial" w:eastAsia="Arial" w:hAnsi="Arial"/>
          <w:sz w:val="18"/>
          <w:szCs w:val="18"/>
          <w:color w:val="auto"/>
        </w:rPr>
        <w:t xml:space="preserve"> for Cause, or pursuant to </w:t>
      </w:r>
      <w:r>
        <w:rPr>
          <w:rFonts w:ascii="Arial" w:cs="Arial" w:eastAsia="Arial" w:hAnsi="Arial"/>
          <w:sz w:val="18"/>
          <w:szCs w:val="18"/>
          <w:u w:val="single" w:color="auto"/>
          <w:color w:val="auto"/>
        </w:rPr>
        <w:t>Section 3(a)(vi)</w:t>
      </w:r>
      <w:r>
        <w:rPr>
          <w:rFonts w:ascii="Arial" w:cs="Arial" w:eastAsia="Arial" w:hAnsi="Arial"/>
          <w:sz w:val="18"/>
          <w:szCs w:val="18"/>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right="80" w:firstLine="656"/>
        <w:spacing w:after="0" w:line="250" w:lineRule="auto"/>
        <w:tabs>
          <w:tab w:leader="none" w:pos="1059"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 or Resignation from the Company with Good Reason</w:t>
      </w:r>
      <w:r>
        <w:rPr>
          <w:rFonts w:ascii="Arial" w:cs="Arial" w:eastAsia="Arial" w:hAnsi="Arial"/>
          <w:sz w:val="20"/>
          <w:szCs w:val="20"/>
          <w:color w:val="auto"/>
        </w:rPr>
        <w:t xml:space="preserve">. If Executive’s employment terminates without Cause pursuant to </w:t>
      </w:r>
      <w:r>
        <w:rPr>
          <w:rFonts w:ascii="Arial" w:cs="Arial" w:eastAsia="Arial" w:hAnsi="Arial"/>
          <w:sz w:val="20"/>
          <w:szCs w:val="20"/>
          <w:u w:val="single" w:color="auto"/>
          <w:color w:val="auto"/>
        </w:rPr>
        <w:t>Section 3(a)(iv)</w:t>
      </w:r>
      <w:r>
        <w:rPr>
          <w:rFonts w:ascii="Arial" w:cs="Arial" w:eastAsia="Arial" w:hAnsi="Arial"/>
          <w:sz w:val="20"/>
          <w:szCs w:val="20"/>
          <w:color w:val="auto"/>
        </w:rPr>
        <w:t xml:space="preserve">, or pursuant to </w:t>
      </w:r>
      <w:r>
        <w:rPr>
          <w:rFonts w:ascii="Arial" w:cs="Arial" w:eastAsia="Arial" w:hAnsi="Arial"/>
          <w:sz w:val="20"/>
          <w:szCs w:val="20"/>
          <w:u w:val="single" w:color="auto"/>
          <w:color w:val="auto"/>
        </w:rPr>
        <w:t>Section 3(a)(v)</w:t>
      </w:r>
      <w:r>
        <w:rPr>
          <w:rFonts w:ascii="Arial" w:cs="Arial" w:eastAsia="Arial" w:hAnsi="Arial"/>
          <w:sz w:val="20"/>
          <w:szCs w:val="20"/>
          <w:color w:val="auto"/>
        </w:rPr>
        <w:t xml:space="preserve"> due to Executive’s resignation with Good Reason, then, subject to Executive signing on or before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39" w:right="259" w:bottom="1440" w:gutter="0" w:footer="0" w:header="0"/>
        </w:sectPr>
      </w:pPr>
    </w:p>
    <w:bookmarkStart w:id="88" w:name="page89"/>
    <w:bookmarkEnd w:id="88"/>
    <w:p>
      <w:pPr>
        <w:ind w:right="200"/>
        <w:spacing w:after="0" w:line="246" w:lineRule="auto"/>
        <w:rPr>
          <w:sz w:val="20"/>
          <w:szCs w:val="20"/>
          <w:color w:val="auto"/>
        </w:rPr>
      </w:pPr>
      <w:r>
        <w:rPr>
          <w:rFonts w:ascii="Arial" w:cs="Arial" w:eastAsia="Arial" w:hAnsi="Arial"/>
          <w:sz w:val="20"/>
          <w:szCs w:val="20"/>
          <w:color w:val="auto"/>
        </w:rPr>
        <w:t xml:space="preserve">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 (the “</w:t>
      </w: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and Executive’s continued compliance with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Executive shall receive, in addition to payments and benefits set forth in </w:t>
      </w:r>
      <w:r>
        <w:rPr>
          <w:rFonts w:ascii="Arial" w:cs="Arial" w:eastAsia="Arial" w:hAnsi="Arial"/>
          <w:sz w:val="20"/>
          <w:szCs w:val="20"/>
          <w:u w:val="single" w:color="auto"/>
          <w:color w:val="auto"/>
        </w:rPr>
        <w:t>Section 3(c)</w:t>
      </w:r>
      <w:r>
        <w:rPr>
          <w:rFonts w:ascii="Arial" w:cs="Arial" w:eastAsia="Arial" w:hAnsi="Arial"/>
          <w:sz w:val="20"/>
          <w:szCs w:val="20"/>
          <w:color w:val="auto"/>
        </w:rPr>
        <w:t>, the following:</w:t>
      </w:r>
    </w:p>
    <w:p>
      <w:pPr>
        <w:spacing w:after="0" w:line="192" w:lineRule="exact"/>
        <w:rPr>
          <w:sz w:val="20"/>
          <w:szCs w:val="20"/>
          <w:color w:val="auto"/>
        </w:rPr>
      </w:pPr>
    </w:p>
    <w:p>
      <w:pPr>
        <w:ind w:left="660" w:right="80" w:firstLine="645"/>
        <w:spacing w:after="0" w:line="328" w:lineRule="auto"/>
        <w:tabs>
          <w:tab w:leader="none" w:pos="1675"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 amount in cash equal to the then current Annual Base Salary, payable in the form of salary continuation in regular installments over the 12-month period following the date of Executive’s Separation from Service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in accordance with the Company’s normal payroll practices, commencing on the Company’s next regular payday that is at least five days following the effective date of the Release (with the first payment including all amounts accrued to that date) (the “</w:t>
      </w:r>
      <w:r>
        <w:rPr>
          <w:rFonts w:ascii="Arial" w:cs="Arial" w:eastAsia="Arial" w:hAnsi="Arial"/>
          <w:sz w:val="16"/>
          <w:szCs w:val="16"/>
          <w:u w:val="single" w:color="auto"/>
          <w:color w:val="auto"/>
        </w:rPr>
        <w:t>Payment Date</w:t>
      </w:r>
      <w:r>
        <w:rPr>
          <w:rFonts w:ascii="Arial" w:cs="Arial" w:eastAsia="Arial" w:hAnsi="Arial"/>
          <w:sz w:val="16"/>
          <w:szCs w:val="16"/>
          <w:color w:val="auto"/>
        </w:rPr>
        <w:t>”);</w:t>
      </w:r>
    </w:p>
    <w:p>
      <w:pPr>
        <w:spacing w:after="0" w:line="128" w:lineRule="exact"/>
        <w:rPr>
          <w:rFonts w:ascii="Arial" w:cs="Arial" w:eastAsia="Arial" w:hAnsi="Arial"/>
          <w:sz w:val="16"/>
          <w:szCs w:val="16"/>
          <w:color w:val="auto"/>
        </w:rPr>
      </w:pPr>
    </w:p>
    <w:p>
      <w:pPr>
        <w:ind w:left="660" w:right="40" w:firstLine="645"/>
        <w:spacing w:after="0" w:line="243" w:lineRule="auto"/>
        <w:tabs>
          <w:tab w:leader="none" w:pos="173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96" w:lineRule="exact"/>
        <w:rPr>
          <w:rFonts w:ascii="Arial" w:cs="Arial" w:eastAsia="Arial" w:hAnsi="Arial"/>
          <w:sz w:val="20"/>
          <w:szCs w:val="20"/>
          <w:color w:val="auto"/>
        </w:rPr>
      </w:pPr>
    </w:p>
    <w:p>
      <w:pPr>
        <w:ind w:left="660" w:firstLine="645"/>
        <w:spacing w:after="0" w:line="255" w:lineRule="auto"/>
        <w:tabs>
          <w:tab w:leader="none" w:pos="1785" w:val="left"/>
        </w:tabs>
        <w:numPr>
          <w:ilvl w:val="1"/>
          <w:numId w:val="52"/>
        </w:numPr>
        <w:rPr>
          <w:rFonts w:ascii="Arial" w:cs="Arial" w:eastAsia="Arial" w:hAnsi="Arial"/>
          <w:sz w:val="19"/>
          <w:szCs w:val="19"/>
          <w:color w:val="auto"/>
        </w:rPr>
      </w:pPr>
      <w:r>
        <w:rPr>
          <w:rFonts w:ascii="Arial" w:cs="Arial" w:eastAsia="Arial" w:hAnsi="Arial"/>
          <w:sz w:val="19"/>
          <w:szCs w:val="19"/>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87" w:lineRule="exact"/>
        <w:rPr>
          <w:rFonts w:ascii="Arial" w:cs="Arial" w:eastAsia="Arial" w:hAnsi="Arial"/>
          <w:sz w:val="19"/>
          <w:szCs w:val="19"/>
          <w:color w:val="auto"/>
        </w:rPr>
      </w:pPr>
    </w:p>
    <w:p>
      <w:pPr>
        <w:ind w:right="160" w:firstLine="656"/>
        <w:spacing w:after="0" w:line="247" w:lineRule="auto"/>
        <w:tabs>
          <w:tab w:leader="none" w:pos="104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the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4(b)</w:t>
      </w:r>
      <w:r>
        <w:rPr>
          <w:rFonts w:ascii="Arial" w:cs="Arial" w:eastAsia="Arial" w:hAnsi="Arial"/>
          <w:sz w:val="19"/>
          <w:szCs w:val="19"/>
          <w:color w:val="auto"/>
        </w:rPr>
        <w:t>, immediate vesting of all unvested equity or equity-based awards held by Executive under any Company equity compensation plans that vest solely based on the passage of time (for the avoidance of doubt, with</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838" w:right="279" w:bottom="1440" w:gutter="0" w:footer="0" w:header="0"/>
        </w:sectPr>
      </w:pPr>
    </w:p>
    <w:bookmarkStart w:id="89" w:name="page90"/>
    <w:bookmarkEnd w:id="89"/>
    <w:p>
      <w:pPr>
        <w:ind w:right="360"/>
        <w:spacing w:after="0" w:line="260" w:lineRule="auto"/>
        <w:rPr>
          <w:sz w:val="20"/>
          <w:szCs w:val="20"/>
          <w:color w:val="auto"/>
        </w:rPr>
      </w:pPr>
      <w:r>
        <w:rPr>
          <w:rFonts w:ascii="Arial" w:cs="Arial" w:eastAsia="Arial" w:hAnsi="Arial"/>
          <w:sz w:val="20"/>
          <w:szCs w:val="20"/>
          <w:color w:val="auto"/>
        </w:rPr>
        <w:t>any such awards that vest in whole or in part based on the attainment of performance-vesting conditions being governed by the terms of the applicable award agreement).</w:t>
      </w:r>
    </w:p>
    <w:p>
      <w:pPr>
        <w:spacing w:after="0" w:line="177" w:lineRule="exact"/>
        <w:rPr>
          <w:sz w:val="20"/>
          <w:szCs w:val="20"/>
          <w:color w:val="auto"/>
        </w:rPr>
      </w:pPr>
    </w:p>
    <w:p>
      <w:pPr>
        <w:ind w:right="460" w:firstLine="656"/>
        <w:spacing w:after="0" w:line="260" w:lineRule="auto"/>
        <w:tabs>
          <w:tab w:leader="none" w:pos="1059"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 5</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197" w:lineRule="exact"/>
        <w:rPr>
          <w:rFonts w:ascii="Arial" w:cs="Arial" w:eastAsia="Arial" w:hAnsi="Arial"/>
          <w:sz w:val="20"/>
          <w:szCs w:val="20"/>
          <w:color w:val="auto"/>
        </w:rPr>
      </w:pPr>
    </w:p>
    <w:p>
      <w:pPr>
        <w:ind w:right="300" w:firstLine="8"/>
        <w:spacing w:after="0" w:line="267" w:lineRule="auto"/>
        <w:tabs>
          <w:tab w:leader="none" w:pos="342"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the effectiveness of this Agreement, Executive will execute and deliver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207" w:lineRule="exact"/>
        <w:rPr>
          <w:rFonts w:ascii="Arial" w:cs="Arial" w:eastAsia="Arial" w:hAnsi="Arial"/>
          <w:sz w:val="22"/>
          <w:szCs w:val="22"/>
          <w:b w:val="1"/>
          <w:bCs w:val="1"/>
          <w:color w:val="auto"/>
        </w:rPr>
      </w:pPr>
    </w:p>
    <w:p>
      <w:pPr>
        <w:ind w:left="360" w:hanging="352"/>
        <w:spacing w:after="0"/>
        <w:tabs>
          <w:tab w:leader="none" w:pos="360"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212" w:lineRule="exact"/>
        <w:rPr>
          <w:sz w:val="20"/>
          <w:szCs w:val="20"/>
          <w:color w:val="auto"/>
        </w:rPr>
      </w:pPr>
    </w:p>
    <w:p>
      <w:pPr>
        <w:ind w:firstLine="648"/>
        <w:spacing w:after="0" w:line="313"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65"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ind w:left="1060" w:hanging="404"/>
        <w:spacing w:after="0"/>
        <w:tabs>
          <w:tab w:leader="none" w:pos="1060"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Company shall have “Cause” to terminate Executive’s employment hereunder upon:</w:t>
      </w:r>
    </w:p>
    <w:p>
      <w:pPr>
        <w:spacing w:after="0" w:line="215" w:lineRule="exact"/>
        <w:rPr>
          <w:rFonts w:ascii="Arial" w:cs="Arial" w:eastAsia="Arial" w:hAnsi="Arial"/>
          <w:sz w:val="20"/>
          <w:szCs w:val="20"/>
          <w:color w:val="auto"/>
        </w:rPr>
      </w:pPr>
    </w:p>
    <w:p>
      <w:pPr>
        <w:ind w:left="660" w:right="500" w:firstLine="645"/>
        <w:spacing w:after="0" w:line="260" w:lineRule="auto"/>
        <w:tabs>
          <w:tab w:leader="none" w:pos="1675" w:val="left"/>
        </w:tabs>
        <w:numPr>
          <w:ilvl w:val="2"/>
          <w:numId w:val="56"/>
        </w:numPr>
        <w:rPr>
          <w:rFonts w:ascii="Arial" w:cs="Arial" w:eastAsia="Arial" w:hAnsi="Arial"/>
          <w:sz w:val="20"/>
          <w:szCs w:val="20"/>
          <w:color w:val="auto"/>
        </w:rPr>
      </w:pPr>
      <w:r>
        <w:rPr>
          <w:rFonts w:ascii="Arial" w:cs="Arial" w:eastAsia="Arial" w:hAnsi="Arial"/>
          <w:sz w:val="20"/>
          <w:szCs w:val="20"/>
          <w:color w:val="auto"/>
        </w:rPr>
        <w:t>Executive’s willful failure to perform (other than by reason of Disability), or gross negligence in the performance of, Executive’s duties and responsibilities to the Company or any of its affiliates;</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Executive’s commission of, or indictment or conviction for, any felony or any crime involving dishonesty by Executive;</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2"/>
          <w:numId w:val="56"/>
        </w:numPr>
        <w:rPr>
          <w:rFonts w:ascii="Arial" w:cs="Arial" w:eastAsia="Arial" w:hAnsi="Arial"/>
          <w:sz w:val="20"/>
          <w:szCs w:val="20"/>
          <w:color w:val="auto"/>
        </w:rPr>
      </w:pPr>
      <w:r>
        <w:rPr>
          <w:rFonts w:ascii="Arial" w:cs="Arial" w:eastAsia="Arial" w:hAnsi="Arial"/>
          <w:sz w:val="20"/>
          <w:szCs w:val="20"/>
          <w:color w:val="auto"/>
        </w:rPr>
        <w:t>Executive’s participation in any fraud against the Company or any of its affiliates;</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2"/>
          <w:numId w:val="56"/>
        </w:numPr>
        <w:rPr>
          <w:rFonts w:ascii="Arial" w:cs="Arial" w:eastAsia="Arial" w:hAnsi="Arial"/>
          <w:sz w:val="20"/>
          <w:szCs w:val="20"/>
          <w:color w:val="auto"/>
        </w:rPr>
      </w:pPr>
      <w:r>
        <w:rPr>
          <w:rFonts w:ascii="Arial" w:cs="Arial" w:eastAsia="Arial" w:hAnsi="Arial"/>
          <w:sz w:val="20"/>
          <w:szCs w:val="20"/>
          <w:color w:val="auto"/>
        </w:rPr>
        <w:t>Any intentional material damage to any property of the Company or any of its affiliates by Executive;</w:t>
      </w:r>
    </w:p>
    <w:p>
      <w:pPr>
        <w:spacing w:after="0" w:line="215" w:lineRule="exact"/>
        <w:rPr>
          <w:rFonts w:ascii="Arial" w:cs="Arial" w:eastAsia="Arial" w:hAnsi="Arial"/>
          <w:sz w:val="20"/>
          <w:szCs w:val="20"/>
          <w:color w:val="auto"/>
        </w:rPr>
      </w:pPr>
    </w:p>
    <w:p>
      <w:pPr>
        <w:ind w:left="660" w:right="100" w:firstLine="645"/>
        <w:spacing w:after="0" w:line="250" w:lineRule="auto"/>
        <w:tabs>
          <w:tab w:leader="none" w:pos="1719" w:val="left"/>
        </w:tabs>
        <w:numPr>
          <w:ilvl w:val="2"/>
          <w:numId w:val="56"/>
        </w:numPr>
        <w:rPr>
          <w:rFonts w:ascii="Arial" w:cs="Arial" w:eastAsia="Arial" w:hAnsi="Arial"/>
          <w:sz w:val="20"/>
          <w:szCs w:val="20"/>
          <w:color w:val="auto"/>
        </w:rPr>
      </w:pPr>
      <w:r>
        <w:rPr>
          <w:rFonts w:ascii="Arial" w:cs="Arial" w:eastAsia="Arial" w:hAnsi="Arial"/>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38" w:right="239" w:bottom="1440" w:gutter="0" w:footer="0" w:header="0"/>
        </w:sectPr>
      </w:pPr>
    </w:p>
    <w:bookmarkStart w:id="90" w:name="page91"/>
    <w:bookmarkEnd w:id="90"/>
    <w:p>
      <w:pPr>
        <w:ind w:left="660" w:right="240" w:firstLine="645"/>
        <w:spacing w:after="0" w:line="250" w:lineRule="auto"/>
        <w:tabs>
          <w:tab w:leader="none" w:pos="1774" w:val="left"/>
        </w:tabs>
        <w:numPr>
          <w:ilvl w:val="1"/>
          <w:numId w:val="57"/>
        </w:numPr>
        <w:rPr>
          <w:rFonts w:ascii="Arial" w:cs="Arial" w:eastAsia="Arial" w:hAnsi="Arial"/>
          <w:sz w:val="20"/>
          <w:szCs w:val="20"/>
          <w:color w:val="auto"/>
        </w:rPr>
      </w:pPr>
      <w:r>
        <w:rPr>
          <w:rFonts w:ascii="Arial" w:cs="Arial" w:eastAsia="Arial" w:hAnsi="Arial"/>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86" w:lineRule="exact"/>
        <w:rPr>
          <w:rFonts w:ascii="Arial" w:cs="Arial" w:eastAsia="Arial" w:hAnsi="Arial"/>
          <w:sz w:val="20"/>
          <w:szCs w:val="20"/>
          <w:color w:val="auto"/>
        </w:rPr>
      </w:pPr>
    </w:p>
    <w:p>
      <w:pPr>
        <w:ind w:right="680" w:firstLine="656"/>
        <w:spacing w:after="0" w:line="260" w:lineRule="auto"/>
        <w:tabs>
          <w:tab w:leader="none" w:pos="1059"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“Change in Control” shall have the meaning set forth in the version of the 2018 EIIAP in effect on the Effective Date.</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Code</w:t>
      </w:r>
      <w:r>
        <w:rPr>
          <w:rFonts w:ascii="Arial" w:cs="Arial" w:eastAsia="Arial" w:hAnsi="Arial"/>
          <w:sz w:val="19"/>
          <w:szCs w:val="19"/>
          <w:color w:val="auto"/>
        </w:rPr>
        <w:t>. “Code” shall mean the Internal Revenue Code of 1986, as amended, and the regulations and guidance promulgated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thereunder.</w:t>
      </w:r>
    </w:p>
    <w:p>
      <w:pPr>
        <w:spacing w:after="0" w:line="199" w:lineRule="exact"/>
        <w:rPr>
          <w:rFonts w:ascii="Arial" w:cs="Arial" w:eastAsia="Arial" w:hAnsi="Arial"/>
          <w:sz w:val="19"/>
          <w:szCs w:val="19"/>
          <w:color w:val="auto"/>
        </w:rPr>
      </w:pPr>
    </w:p>
    <w:p>
      <w:pPr>
        <w:jc w:val="both"/>
        <w:ind w:right="40" w:firstLine="656"/>
        <w:spacing w:after="0" w:line="250" w:lineRule="auto"/>
        <w:tabs>
          <w:tab w:leader="none" w:pos="1059"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0"/>
          <w:szCs w:val="20"/>
          <w:u w:val="single" w:color="auto"/>
          <w:color w:val="auto"/>
        </w:rPr>
        <w:t>Section 3(a)(ii) – (vi)</w:t>
      </w:r>
      <w:r>
        <w:rPr>
          <w:rFonts w:ascii="Arial" w:cs="Arial" w:eastAsia="Arial" w:hAnsi="Arial"/>
          <w:sz w:val="20"/>
          <w:szCs w:val="20"/>
          <w:color w:val="auto"/>
        </w:rPr>
        <w:t xml:space="preserve"> either the date indicated in the Notice of Termination or the date specified by the Company pursuant to </w:t>
      </w:r>
      <w:r>
        <w:rPr>
          <w:rFonts w:ascii="Arial" w:cs="Arial" w:eastAsia="Arial" w:hAnsi="Arial"/>
          <w:sz w:val="20"/>
          <w:szCs w:val="20"/>
          <w:u w:val="single" w:color="auto"/>
          <w:color w:val="auto"/>
        </w:rPr>
        <w:t>Section 3(b)</w:t>
      </w:r>
      <w:r>
        <w:rPr>
          <w:rFonts w:ascii="Arial" w:cs="Arial" w:eastAsia="Arial" w:hAnsi="Arial"/>
          <w:sz w:val="20"/>
          <w:szCs w:val="20"/>
          <w:color w:val="auto"/>
        </w:rPr>
        <w:t>, whichever is earlier.</w:t>
      </w:r>
    </w:p>
    <w:p>
      <w:pPr>
        <w:spacing w:after="0" w:line="186" w:lineRule="exact"/>
        <w:rPr>
          <w:rFonts w:ascii="Arial" w:cs="Arial" w:eastAsia="Arial" w:hAnsi="Arial"/>
          <w:sz w:val="20"/>
          <w:szCs w:val="20"/>
          <w:color w:val="auto"/>
        </w:rPr>
      </w:pPr>
    </w:p>
    <w:p>
      <w:pPr>
        <w:ind w:firstLine="656"/>
        <w:spacing w:after="0" w:line="271" w:lineRule="auto"/>
        <w:tabs>
          <w:tab w:leader="none" w:pos="10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8"/>
          <w:szCs w:val="18"/>
          <w:i w:val="1"/>
          <w:iCs w:val="1"/>
          <w:color w:val="auto"/>
        </w:rPr>
        <w:t>provided, however</w:t>
      </w:r>
      <w:r>
        <w:rPr>
          <w:rFonts w:ascii="Arial" w:cs="Arial" w:eastAsia="Arial" w:hAnsi="Arial"/>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70" w:lineRule="exact"/>
        <w:rPr>
          <w:rFonts w:ascii="Arial" w:cs="Arial" w:eastAsia="Arial" w:hAnsi="Arial"/>
          <w:sz w:val="18"/>
          <w:szCs w:val="18"/>
          <w:color w:val="auto"/>
        </w:rPr>
      </w:pPr>
    </w:p>
    <w:p>
      <w:pPr>
        <w:ind w:firstLine="656"/>
        <w:spacing w:after="0" w:line="256" w:lineRule="auto"/>
        <w:tabs>
          <w:tab w:leader="none" w:pos="102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sole purpose of determining Executive’s right to severance payments and benefits as described above, Executive’s resignation will be with “Good Reason” if Executive resigns within six months after any of the following events, unless Executive consents to the applicable event in writing: (i) a material reduction in Executive’s Annual Base Salary or Target Bonus, (ii) a material diminution in Executive’s authority, title or duties or areas of responsibility, (iii) the requirement that Executive report to someone other than the Chief Executive Officer of the Company, (iv) the relocation of Executive’s primary office to a location more than 40 miles from Watertown, Massachusetts, or (v) a material breach by the Company of this Agreement or any other written agreement with Executive. Notwithstanding the foregoing, no Good Reason event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Good Reason event, and (b) the Company fails to cure the same within 30 days after the receipt of such notice.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38" w:right="259" w:bottom="1440" w:gutter="0" w:footer="0" w:header="0"/>
        </w:sectPr>
      </w:pPr>
    </w:p>
    <w:bookmarkStart w:id="91" w:name="page92"/>
    <w:bookmarkEnd w:id="91"/>
    <w:p>
      <w:pPr>
        <w:ind w:left="360" w:hanging="352"/>
        <w:spacing w:after="0"/>
        <w:tabs>
          <w:tab w:leader="none" w:pos="360" w:val="left"/>
        </w:tabs>
        <w:numPr>
          <w:ilvl w:val="0"/>
          <w:numId w:val="5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ind w:right="20" w:firstLine="656"/>
        <w:spacing w:after="0" w:line="255" w:lineRule="auto"/>
        <w:tabs>
          <w:tab w:leader="none" w:pos="1048"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5" w:lineRule="exact"/>
        <w:rPr>
          <w:rFonts w:ascii="Arial" w:cs="Arial" w:eastAsia="Arial" w:hAnsi="Arial"/>
          <w:sz w:val="19"/>
          <w:szCs w:val="19"/>
          <w:color w:val="auto"/>
        </w:rPr>
      </w:pPr>
    </w:p>
    <w:p>
      <w:pPr>
        <w:ind w:firstLine="656"/>
        <w:spacing w:after="0" w:line="276" w:lineRule="auto"/>
        <w:tabs>
          <w:tab w:leader="none" w:pos="10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Total Payments shall be reduced in the following order: (i) reduction on a pro-rata basis of any cash severance payments that are exempt from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65" w:lineRule="exact"/>
        <w:rPr>
          <w:rFonts w:ascii="Arial" w:cs="Arial" w:eastAsia="Arial" w:hAnsi="Arial"/>
          <w:sz w:val="18"/>
          <w:szCs w:val="18"/>
          <w:color w:val="auto"/>
        </w:rPr>
      </w:pPr>
    </w:p>
    <w:p>
      <w:pPr>
        <w:ind w:right="20" w:firstLine="656"/>
        <w:spacing w:after="0" w:line="257" w:lineRule="auto"/>
        <w:tabs>
          <w:tab w:leader="none" w:pos="1048"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xml:space="preserve">”) to make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1" w:lineRule="exact"/>
        <w:rPr>
          <w:rFonts w:ascii="Arial" w:cs="Arial" w:eastAsia="Arial" w:hAnsi="Arial"/>
          <w:sz w:val="19"/>
          <w:szCs w:val="19"/>
          <w:color w:val="auto"/>
        </w:rPr>
      </w:pPr>
    </w:p>
    <w:p>
      <w:pPr>
        <w:ind w:right="40" w:firstLine="656"/>
        <w:spacing w:after="0" w:line="258" w:lineRule="auto"/>
        <w:tabs>
          <w:tab w:leader="none" w:pos="1059"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If Executive incurs legal fees or other expenses (including expert witness and accounting fees) in an effort to determine the applicability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establish entitlement to or obtain any portion of the Total Payments that have been reduced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(collectively, “Legal and Other Expenses”), Executive shall be entitled to payment of or reimbursement for such Legal and Other Expenses in accordance with this </w:t>
      </w:r>
      <w:r>
        <w:rPr>
          <w:rFonts w:ascii="Arial" w:cs="Arial" w:eastAsia="Arial" w:hAnsi="Arial"/>
          <w:sz w:val="19"/>
          <w:szCs w:val="19"/>
          <w:u w:val="single" w:color="auto"/>
          <w:color w:val="auto"/>
        </w:rPr>
        <w:t>Section 8(d)</w:t>
      </w:r>
      <w:r>
        <w:rPr>
          <w:rFonts w:ascii="Arial" w:cs="Arial" w:eastAsia="Arial" w:hAnsi="Arial"/>
          <w:sz w:val="19"/>
          <w:szCs w:val="19"/>
          <w:color w:val="auto"/>
        </w:rPr>
        <w:t xml:space="preserve">. Subject to Sections </w:t>
      </w:r>
      <w:r>
        <w:rPr>
          <w:rFonts w:ascii="Arial" w:cs="Arial" w:eastAsia="Arial" w:hAnsi="Arial"/>
          <w:sz w:val="19"/>
          <w:szCs w:val="19"/>
          <w:u w:val="single" w:color="auto"/>
          <w:color w:val="auto"/>
        </w:rPr>
        <w:t>9(1)(iv)</w:t>
      </w:r>
      <w:r>
        <w:rPr>
          <w:rFonts w:ascii="Arial" w:cs="Arial" w:eastAsia="Arial" w:hAnsi="Arial"/>
          <w:sz w:val="19"/>
          <w:szCs w:val="19"/>
          <w:color w:val="auto"/>
        </w:rPr>
        <w:t xml:space="preserve"> and the other provisions of this </w:t>
      </w:r>
      <w:r>
        <w:rPr>
          <w:rFonts w:ascii="Arial" w:cs="Arial" w:eastAsia="Arial" w:hAnsi="Arial"/>
          <w:sz w:val="19"/>
          <w:szCs w:val="19"/>
          <w:u w:val="single" w:color="auto"/>
          <w:color w:val="auto"/>
        </w:rPr>
        <w:t>Section 8</w:t>
      </w:r>
      <w:r>
        <w:rPr>
          <w:rFonts w:ascii="Arial" w:cs="Arial" w:eastAsia="Arial" w:hAnsi="Arial"/>
          <w:sz w:val="19"/>
          <w:szCs w:val="19"/>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59" w:right="239" w:bottom="1440" w:gutter="0" w:footer="0" w:header="0"/>
        </w:sectPr>
      </w:pPr>
    </w:p>
    <w:bookmarkStart w:id="92" w:name="page93"/>
    <w:bookmarkEnd w:id="92"/>
    <w:p>
      <w:pPr>
        <w:ind w:right="160"/>
        <w:spacing w:after="0" w:line="250" w:lineRule="auto"/>
        <w:rPr>
          <w:sz w:val="20"/>
          <w:szCs w:val="20"/>
          <w:color w:val="auto"/>
        </w:rPr>
      </w:pPr>
      <w:r>
        <w:rPr>
          <w:rFonts w:ascii="Arial" w:cs="Arial" w:eastAsia="Arial" w:hAnsi="Arial"/>
          <w:sz w:val="20"/>
          <w:szCs w:val="20"/>
          <w:color w:val="auto"/>
        </w:rPr>
        <w:t>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86" w:lineRule="exact"/>
        <w:rPr>
          <w:sz w:val="20"/>
          <w:szCs w:val="20"/>
          <w:color w:val="auto"/>
        </w:rPr>
      </w:pPr>
    </w:p>
    <w:p>
      <w:pPr>
        <w:ind w:right="160" w:firstLine="656"/>
        <w:spacing w:after="0" w:line="263" w:lineRule="auto"/>
        <w:tabs>
          <w:tab w:leader="none" w:pos="1048"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In the event it is later determined that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97" w:lineRule="exact"/>
        <w:rPr>
          <w:rFonts w:ascii="Arial" w:cs="Arial" w:eastAsia="Arial" w:hAnsi="Arial"/>
          <w:sz w:val="19"/>
          <w:szCs w:val="19"/>
          <w:color w:val="auto"/>
        </w:rPr>
      </w:pPr>
    </w:p>
    <w:p>
      <w:pPr>
        <w:ind w:left="360" w:hanging="352"/>
        <w:spacing w:after="0"/>
        <w:tabs>
          <w:tab w:leader="none" w:pos="360" w:val="left"/>
        </w:tabs>
        <w:numPr>
          <w:ilvl w:val="0"/>
          <w:numId w:val="6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ind w:right="40" w:firstLine="656"/>
        <w:spacing w:after="0" w:line="263" w:lineRule="auto"/>
        <w:tabs>
          <w:tab w:leader="none" w:pos="1048"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76" w:lineRule="exact"/>
        <w:rPr>
          <w:rFonts w:ascii="Arial" w:cs="Arial" w:eastAsia="Arial" w:hAnsi="Arial"/>
          <w:sz w:val="19"/>
          <w:szCs w:val="19"/>
          <w:color w:val="auto"/>
        </w:rPr>
      </w:pPr>
    </w:p>
    <w:p>
      <w:pPr>
        <w:ind w:right="620" w:firstLine="656"/>
        <w:spacing w:after="0" w:line="260" w:lineRule="auto"/>
        <w:tabs>
          <w:tab w:leader="none" w:pos="1059"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6" w:lineRule="exact"/>
        <w:rPr>
          <w:rFonts w:ascii="Arial" w:cs="Arial" w:eastAsia="Arial" w:hAnsi="Arial"/>
          <w:sz w:val="20"/>
          <w:szCs w:val="20"/>
          <w:color w:val="auto"/>
        </w:rPr>
      </w:pPr>
    </w:p>
    <w:p>
      <w:pPr>
        <w:ind w:right="180" w:firstLine="656"/>
        <w:spacing w:after="0" w:line="250" w:lineRule="auto"/>
        <w:tabs>
          <w:tab w:leader="none" w:pos="1048"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a nationally recognized overnight courier service or certified or registered mail, postage prepaid, as follows:</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2"/>
          <w:numId w:val="61"/>
        </w:numPr>
        <w:rPr>
          <w:rFonts w:ascii="Arial" w:cs="Arial" w:eastAsia="Arial" w:hAnsi="Arial"/>
          <w:sz w:val="20"/>
          <w:szCs w:val="20"/>
          <w:color w:val="auto"/>
        </w:rPr>
      </w:pPr>
      <w:r>
        <w:rPr>
          <w:rFonts w:ascii="Arial" w:cs="Arial" w:eastAsia="Arial" w:hAnsi="Arial"/>
          <w:sz w:val="20"/>
          <w:szCs w:val="20"/>
          <w:color w:val="auto"/>
        </w:rPr>
        <w:t>If to the Company, to the General Counsel of the Company at the Company’s headquarters,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2"/>
          <w:numId w:val="61"/>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2"/>
          <w:numId w:val="61"/>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15" w:lineRule="exact"/>
        <w:rPr>
          <w:rFonts w:ascii="Arial" w:cs="Arial" w:eastAsia="Arial" w:hAnsi="Arial"/>
          <w:sz w:val="20"/>
          <w:szCs w:val="20"/>
          <w:color w:val="auto"/>
        </w:rPr>
      </w:pPr>
    </w:p>
    <w:p>
      <w:pPr>
        <w:ind w:firstLine="656"/>
        <w:spacing w:after="0" w:line="250" w:lineRule="auto"/>
        <w:tabs>
          <w:tab w:leader="none" w:pos="1059"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20"/>
          <w:szCs w:val="20"/>
          <w:color w:val="auto"/>
        </w:rPr>
      </w:pPr>
    </w:p>
    <w:p>
      <w:pPr>
        <w:ind w:firstLine="656"/>
        <w:spacing w:after="0" w:line="243" w:lineRule="auto"/>
        <w:tabs>
          <w:tab w:leader="none" w:pos="1048"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The terms of this Agreement, the Restrictive Covenant Agreement incorporated herein by reference as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the Indemnification Agreement (defined below) and the 2018 EIIAP and related Award Agreements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838" w:right="27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may be introduced in any judicial, administrative, or other legal proceeding to vary the terms of this Agreement.</w:t>
      </w:r>
    </w:p>
    <w:p>
      <w:pPr>
        <w:spacing w:after="0" w:line="216" w:lineRule="exact"/>
        <w:rPr>
          <w:sz w:val="20"/>
          <w:szCs w:val="20"/>
          <w:color w:val="auto"/>
        </w:rPr>
      </w:pPr>
    </w:p>
    <w:p>
      <w:pPr>
        <w:ind w:firstLine="656"/>
        <w:spacing w:after="0" w:line="260" w:lineRule="auto"/>
        <w:tabs>
          <w:tab w:leader="none" w:pos="102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The Parties acknowledge that they have or will enter into an Indemnification Agreement in substantially the form attached as Exhibit C hereto.</w:t>
      </w:r>
    </w:p>
    <w:p>
      <w:pPr>
        <w:spacing w:after="0" w:line="176" w:lineRule="exact"/>
        <w:rPr>
          <w:rFonts w:ascii="Arial" w:cs="Arial" w:eastAsia="Arial" w:hAnsi="Arial"/>
          <w:sz w:val="20"/>
          <w:szCs w:val="20"/>
          <w:color w:val="auto"/>
        </w:rPr>
      </w:pPr>
    </w:p>
    <w:p>
      <w:pPr>
        <w:ind w:right="20" w:firstLine="656"/>
        <w:spacing w:after="0" w:line="259" w:lineRule="auto"/>
        <w:tabs>
          <w:tab w:leader="none" w:pos="1059"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Amendments; Waivers</w:t>
      </w:r>
      <w:r>
        <w:rPr>
          <w:rFonts w:ascii="Arial" w:cs="Arial" w:eastAsia="Arial" w:hAnsi="Arial"/>
          <w:sz w:val="19"/>
          <w:szCs w:val="19"/>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78" w:lineRule="exact"/>
        <w:rPr>
          <w:rFonts w:ascii="Arial" w:cs="Arial" w:eastAsia="Arial" w:hAnsi="Arial"/>
          <w:sz w:val="19"/>
          <w:szCs w:val="19"/>
          <w:color w:val="auto"/>
        </w:rPr>
      </w:pPr>
    </w:p>
    <w:p>
      <w:pPr>
        <w:ind w:right="440" w:firstLine="656"/>
        <w:spacing w:after="0" w:line="269" w:lineRule="auto"/>
        <w:tabs>
          <w:tab w:leader="none" w:pos="1059"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 Inconsistent Actions</w:t>
      </w:r>
      <w:r>
        <w:rPr>
          <w:rFonts w:ascii="Arial" w:cs="Arial" w:eastAsia="Arial" w:hAnsi="Arial"/>
          <w:sz w:val="19"/>
          <w:szCs w:val="19"/>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70" w:lineRule="exact"/>
        <w:rPr>
          <w:rFonts w:ascii="Arial" w:cs="Arial" w:eastAsia="Arial" w:hAnsi="Arial"/>
          <w:sz w:val="19"/>
          <w:szCs w:val="19"/>
          <w:color w:val="auto"/>
        </w:rPr>
      </w:pPr>
    </w:p>
    <w:p>
      <w:pPr>
        <w:ind w:right="40" w:firstLine="656"/>
        <w:spacing w:after="0" w:line="311" w:lineRule="auto"/>
        <w:tabs>
          <w:tab w:leader="none" w:pos="101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375" w:lineRule="exact"/>
        <w:rPr>
          <w:rFonts w:ascii="Arial" w:cs="Arial" w:eastAsia="Arial" w:hAnsi="Arial"/>
          <w:sz w:val="16"/>
          <w:szCs w:val="16"/>
          <w:color w:val="auto"/>
        </w:rPr>
      </w:pPr>
    </w:p>
    <w:p>
      <w:pPr>
        <w:ind w:right="40" w:firstLine="656"/>
        <w:spacing w:after="0" w:line="276"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65" w:lineRule="exact"/>
        <w:rPr>
          <w:rFonts w:ascii="Arial" w:cs="Arial" w:eastAsia="Arial" w:hAnsi="Arial"/>
          <w:sz w:val="18"/>
          <w:szCs w:val="18"/>
          <w:color w:val="auto"/>
        </w:rPr>
      </w:pPr>
    </w:p>
    <w:p>
      <w:pPr>
        <w:ind w:right="40" w:firstLine="656"/>
        <w:spacing w:after="0" w:line="250" w:lineRule="auto"/>
        <w:tabs>
          <w:tab w:leader="none" w:pos="1059"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838" w:right="279" w:bottom="1440" w:gutter="0" w:footer="0" w:header="0"/>
        </w:sectPr>
      </w:pPr>
    </w:p>
    <w:bookmarkStart w:id="94" w:name="page95"/>
    <w:bookmarkEnd w:id="94"/>
    <w:p>
      <w:pPr>
        <w:ind w:left="364" w:hanging="364"/>
        <w:spacing w:after="0"/>
        <w:tabs>
          <w:tab w:leader="none" w:pos="364"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4" w:right="140" w:firstLine="645"/>
        <w:spacing w:after="0" w:line="386" w:lineRule="auto"/>
        <w:tabs>
          <w:tab w:leader="none" w:pos="1019"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intent of the Parties is that the payments and benefits under this Agreement comply with or be exempt from</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and, accordingly, to the maximum extent permitted, this Agreement shall be interpreted to be in compliance therewith.</w:t>
      </w:r>
    </w:p>
    <w:p>
      <w:pPr>
        <w:spacing w:after="0" w:line="83" w:lineRule="exact"/>
        <w:rPr>
          <w:rFonts w:ascii="Arial" w:cs="Arial" w:eastAsia="Arial" w:hAnsi="Arial"/>
          <w:sz w:val="16"/>
          <w:szCs w:val="16"/>
          <w:color w:val="auto"/>
        </w:rPr>
      </w:pPr>
    </w:p>
    <w:p>
      <w:pPr>
        <w:ind w:left="4" w:right="40" w:firstLine="645"/>
        <w:spacing w:after="0" w:line="246" w:lineRule="auto"/>
        <w:tabs>
          <w:tab w:leader="none" w:pos="1074" w:val="left"/>
        </w:tabs>
        <w:numPr>
          <w:ilvl w:val="1"/>
          <w:numId w:val="63"/>
        </w:numPr>
        <w:rPr>
          <w:rFonts w:ascii="Arial" w:cs="Arial" w:eastAsia="Arial" w:hAnsi="Arial"/>
          <w:sz w:val="20"/>
          <w:szCs w:val="20"/>
          <w:color w:val="auto"/>
        </w:rPr>
      </w:pPr>
      <w:r>
        <w:rPr>
          <w:rFonts w:ascii="Arial" w:cs="Arial" w:eastAsia="Arial" w:hAnsi="Arial"/>
          <w:sz w:val="20"/>
          <w:szCs w:val="20"/>
          <w:i w:val="1"/>
          <w:iCs w:val="1"/>
          <w:color w:val="auto"/>
        </w:rPr>
        <w:t xml:space="preserve">Separation from Service. </w:t>
      </w:r>
      <w:r>
        <w:rPr>
          <w:rFonts w:ascii="Arial" w:cs="Arial" w:eastAsia="Arial" w:hAnsi="Arial"/>
          <w:sz w:val="20"/>
          <w:szCs w:val="20"/>
          <w:color w:val="auto"/>
        </w:rPr>
        <w:t>For purposes of any compensation or benefits payable to Executive under this Agreement, all</w:t>
      </w:r>
      <w:r>
        <w:rPr>
          <w:rFonts w:ascii="Arial" w:cs="Arial" w:eastAsia="Arial" w:hAnsi="Arial"/>
          <w:sz w:val="20"/>
          <w:szCs w:val="20"/>
          <w:i w:val="1"/>
          <w:iCs w:val="1"/>
          <w:color w:val="auto"/>
        </w:rPr>
        <w:t xml:space="preserve"> </w:t>
      </w:r>
      <w:r>
        <w:rPr>
          <w:rFonts w:ascii="Arial" w:cs="Arial" w:eastAsia="Arial" w:hAnsi="Arial"/>
          <w:sz w:val="20"/>
          <w:szCs w:val="20"/>
          <w:color w:val="auto"/>
        </w:rPr>
        <w:t>references to “termination of employment” and correlative phrases shall be construed to require a “separation from service” (as defined in Section 1.409A-1(h) of the Treasury regulations after giving effect to the presumptions contained therein) (a “</w:t>
      </w:r>
      <w:r>
        <w:rPr>
          <w:rFonts w:ascii="Arial" w:cs="Arial" w:eastAsia="Arial" w:hAnsi="Arial"/>
          <w:sz w:val="20"/>
          <w:szCs w:val="20"/>
          <w:u w:val="single" w:color="auto"/>
          <w:color w:val="auto"/>
        </w:rPr>
        <w:t>Separation from</w:t>
      </w:r>
      <w:r>
        <w:rPr>
          <w:rFonts w:ascii="Arial" w:cs="Arial" w:eastAsia="Arial" w:hAnsi="Arial"/>
          <w:sz w:val="20"/>
          <w:szCs w:val="20"/>
          <w:color w:val="auto"/>
        </w:rPr>
        <w:t xml:space="preserve"> </w:t>
      </w:r>
      <w:r>
        <w:rPr>
          <w:rFonts w:ascii="Arial" w:cs="Arial" w:eastAsia="Arial" w:hAnsi="Arial"/>
          <w:sz w:val="20"/>
          <w:szCs w:val="20"/>
          <w:u w:val="single" w:color="auto"/>
          <w:color w:val="auto"/>
        </w:rPr>
        <w:t>Service</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4" w:right="20" w:firstLine="645"/>
        <w:spacing w:after="0" w:line="273" w:lineRule="auto"/>
        <w:tabs>
          <w:tab w:leader="none" w:pos="1147"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Notwithstanding anything in this Agreement to the contrary, if Executive is deemed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69" w:lineRule="exact"/>
        <w:rPr>
          <w:rFonts w:ascii="Arial" w:cs="Arial" w:eastAsia="Arial" w:hAnsi="Arial"/>
          <w:sz w:val="18"/>
          <w:szCs w:val="18"/>
          <w:color w:val="auto"/>
        </w:rPr>
      </w:pPr>
    </w:p>
    <w:p>
      <w:pPr>
        <w:ind w:left="4" w:firstLine="645"/>
        <w:spacing w:after="0" w:line="278" w:lineRule="auto"/>
        <w:tabs>
          <w:tab w:leader="none" w:pos="1136"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Expense Reimbursements. </w:t>
      </w:r>
      <w:r>
        <w:rPr>
          <w:rFonts w:ascii="Arial" w:cs="Arial" w:eastAsia="Arial" w:hAnsi="Arial"/>
          <w:sz w:val="18"/>
          <w:szCs w:val="18"/>
          <w:color w:val="auto"/>
        </w:rPr>
        <w:t>To the extent that any reimbursements under this Agreement are subject to Section 409A,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65" w:lineRule="exact"/>
        <w:rPr>
          <w:rFonts w:ascii="Arial" w:cs="Arial" w:eastAsia="Arial" w:hAnsi="Arial"/>
          <w:sz w:val="18"/>
          <w:szCs w:val="18"/>
          <w:color w:val="auto"/>
        </w:rPr>
      </w:pPr>
    </w:p>
    <w:p>
      <w:pPr>
        <w:ind w:left="4" w:right="80" w:firstLine="645"/>
        <w:spacing w:after="0" w:line="258" w:lineRule="auto"/>
        <w:tabs>
          <w:tab w:leader="none" w:pos="1081" w:val="left"/>
        </w:tabs>
        <w:numPr>
          <w:ilvl w:val="1"/>
          <w:numId w:val="63"/>
        </w:numPr>
        <w:rPr>
          <w:rFonts w:ascii="Arial" w:cs="Arial" w:eastAsia="Arial" w:hAnsi="Arial"/>
          <w:sz w:val="19"/>
          <w:szCs w:val="19"/>
          <w:color w:val="auto"/>
        </w:rPr>
      </w:pPr>
      <w:r>
        <w:rPr>
          <w:rFonts w:ascii="Arial" w:cs="Arial" w:eastAsia="Arial" w:hAnsi="Arial"/>
          <w:sz w:val="19"/>
          <w:szCs w:val="19"/>
          <w:i w:val="1"/>
          <w:iCs w:val="1"/>
          <w:color w:val="auto"/>
        </w:rPr>
        <w:t xml:space="preserve">Installments. </w:t>
      </w:r>
      <w:r>
        <w:rPr>
          <w:rFonts w:ascii="Arial" w:cs="Arial" w:eastAsia="Arial" w:hAnsi="Arial"/>
          <w:sz w:val="19"/>
          <w:szCs w:val="19"/>
          <w:color w:val="auto"/>
        </w:rPr>
        <w:t>Executive’s right to receive any installment payments under this Agreement, including without limitation</w:t>
      </w:r>
      <w:r>
        <w:rPr>
          <w:rFonts w:ascii="Arial" w:cs="Arial" w:eastAsia="Arial" w:hAnsi="Arial"/>
          <w:sz w:val="19"/>
          <w:szCs w:val="19"/>
          <w:i w:val="1"/>
          <w:iCs w:val="1"/>
          <w:color w:val="auto"/>
        </w:rPr>
        <w:t xml:space="preserve"> </w:t>
      </w:r>
      <w:r>
        <w:rPr>
          <w:rFonts w:ascii="Arial" w:cs="Arial" w:eastAsia="Arial" w:hAnsi="Arial"/>
          <w:sz w:val="19"/>
          <w:szCs w:val="19"/>
          <w:color w:val="auto"/>
        </w:rPr>
        <w:t>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200" w:lineRule="exact"/>
        <w:rPr>
          <w:sz w:val="20"/>
          <w:szCs w:val="20"/>
          <w:color w:val="auto"/>
        </w:rPr>
      </w:pP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4"/>
          </w:cols>
          <w:pgMar w:left="896" w:top="839" w:right="239" w:bottom="1440" w:gutter="0" w:footer="0" w:header="0"/>
        </w:sectPr>
      </w:pPr>
    </w:p>
    <w:bookmarkStart w:id="95" w:name="page96"/>
    <w:bookmarkEnd w:id="95"/>
    <w:p>
      <w:pPr>
        <w:ind w:left="460" w:hanging="452"/>
        <w:spacing w:after="0"/>
        <w:tabs>
          <w:tab w:leader="none" w:pos="460" w:val="left"/>
        </w:tabs>
        <w:numPr>
          <w:ilvl w:val="0"/>
          <w:numId w:val="6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240" w:top="859" w:right="65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64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5240" w:type="dxa"/>
            <w:vAlign w:val="bottom"/>
          </w:tcPr>
          <w:p>
            <w:pPr>
              <w:ind w:left="20"/>
              <w:spacing w:after="0"/>
              <w:rPr>
                <w:sz w:val="20"/>
                <w:szCs w:val="20"/>
                <w:color w:val="auto"/>
              </w:rPr>
            </w:pPr>
            <w:r>
              <w:rPr>
                <w:rFonts w:ascii="Arial" w:cs="Arial" w:eastAsia="Arial" w:hAnsi="Arial"/>
                <w:sz w:val="20"/>
                <w:szCs w:val="20"/>
                <w:color w:val="auto"/>
              </w:rPr>
              <w:t>/s/ Carsten Brunn, Ph.D.</w:t>
            </w:r>
          </w:p>
        </w:tc>
      </w:tr>
      <w:tr>
        <w:trPr>
          <w:trHeight w:val="23"/>
        </w:trPr>
        <w:tc>
          <w:tcPr>
            <w:tcW w:w="8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20"/>
                <w:szCs w:val="20"/>
                <w:color w:val="auto"/>
              </w:rPr>
              <w:t>Name: Carsten Brunn, Ph.D.</w:t>
            </w:r>
          </w:p>
        </w:tc>
      </w:tr>
      <w:tr>
        <w:trPr>
          <w:trHeight w:val="284"/>
        </w:trPr>
        <w:tc>
          <w:tcPr>
            <w:tcW w:w="8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20"/>
                <w:szCs w:val="20"/>
                <w:color w:val="auto"/>
              </w:rPr>
              <w:t>Title: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EXECUTIVE</w:t>
      </w:r>
    </w:p>
    <w:p>
      <w:pPr>
        <w:spacing w:after="0" w:line="343"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/s/ Alison D. Schecter,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27305</wp:posOffset>
            </wp:positionV>
            <wp:extent cx="3902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4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ALISON D. SCHECTER,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10760"/>
          </w:cols>
          <w:pgMar w:left="900" w:top="838"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Separation Agreement and Release (“Agreement”) is made by and between ALISON SCHECTER M.D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have previously entered into that certain Employment Agreement, dated as of _____________, 2019 (the</w:t>
      </w:r>
    </w:p>
    <w:p>
      <w:pPr>
        <w:spacing w:after="0" w:line="39"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“Employment Agreement”) and that certain Employee Nondisclosure, Noncompetition and Assignment of Intellectual Property Agreement, dated as of ________, 2019 (the “RCA”); and</w:t>
      </w:r>
    </w:p>
    <w:p>
      <w:pPr>
        <w:spacing w:after="0" w:line="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(including, without limitation, the Indemnification Agreement attached to the Employment Agreement)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79" w:lineRule="exact"/>
        <w:rPr>
          <w:sz w:val="20"/>
          <w:szCs w:val="20"/>
          <w:color w:val="auto"/>
        </w:rPr>
      </w:pPr>
    </w:p>
    <w:p>
      <w:pPr>
        <w:ind w:right="140" w:firstLine="648"/>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62" w:lineRule="exact"/>
        <w:rPr>
          <w:sz w:val="20"/>
          <w:szCs w:val="20"/>
          <w:color w:val="auto"/>
        </w:rPr>
      </w:pPr>
    </w:p>
    <w:p>
      <w:pPr>
        <w:ind w:right="260" w:firstLine="656"/>
        <w:spacing w:after="0" w:line="260" w:lineRule="auto"/>
        <w:tabs>
          <w:tab w:leader="none" w:pos="99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Severance Payments; Salary and Benefits</w:t>
      </w:r>
      <w:r>
        <w:rPr>
          <w:rFonts w:ascii="Arial" w:cs="Arial" w:eastAsia="Arial" w:hAnsi="Arial"/>
          <w:sz w:val="19"/>
          <w:szCs w:val="19"/>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0" w:lineRule="exact"/>
        <w:rPr>
          <w:rFonts w:ascii="Arial" w:cs="Arial" w:eastAsia="Arial" w:hAnsi="Arial"/>
          <w:sz w:val="19"/>
          <w:szCs w:val="19"/>
          <w:color w:val="auto"/>
        </w:rPr>
      </w:pPr>
    </w:p>
    <w:p>
      <w:pPr>
        <w:ind w:right="120" w:firstLine="656"/>
        <w:spacing w:after="0" w:line="257" w:lineRule="auto"/>
        <w:tabs>
          <w:tab w:leader="none" w:pos="99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other than with respect to the Retained Claims and subject to the last two sentences of this Section 2,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except as provided in the last two sentences of this Section 2, hereby and forever releases the Releasees from any</w:t>
      </w:r>
    </w:p>
    <w:p>
      <w:pPr>
        <w:sectPr>
          <w:pgSz w:w="11900" w:h="16838" w:orient="portrait"/>
          <w:cols w:equalWidth="0" w:num="1">
            <w:col w:w="11380"/>
          </w:cols>
          <w:pgMar w:left="240" w:top="832" w:right="279" w:bottom="1440" w:gutter="0" w:footer="0" w:header="0"/>
        </w:sectPr>
      </w:pPr>
    </w:p>
    <w:bookmarkStart w:id="98" w:name="page99"/>
    <w:bookmarkEnd w:id="98"/>
    <w:p>
      <w:pPr>
        <w:ind w:right="120"/>
        <w:spacing w:after="0" w:line="250" w:lineRule="auto"/>
        <w:rPr>
          <w:sz w:val="20"/>
          <w:szCs w:val="20"/>
          <w:color w:val="auto"/>
        </w:rPr>
      </w:pPr>
      <w:r>
        <w:rPr>
          <w:rFonts w:ascii="Arial" w:cs="Arial" w:eastAsia="Arial" w:hAnsi="Arial"/>
          <w:sz w:val="20"/>
          <w:szCs w:val="20"/>
          <w:color w:val="auto"/>
        </w:rPr>
        <w:t>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86" w:lineRule="exact"/>
        <w:rPr>
          <w:sz w:val="20"/>
          <w:szCs w:val="20"/>
          <w:color w:val="auto"/>
        </w:rPr>
      </w:pPr>
    </w:p>
    <w:p>
      <w:pPr>
        <w:ind w:right="80" w:firstLine="1305"/>
        <w:spacing w:after="0" w:line="260" w:lineRule="auto"/>
        <w:tabs>
          <w:tab w:leader="none" w:pos="1714"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180" w:firstLine="1305"/>
        <w:spacing w:after="0" w:line="291" w:lineRule="auto"/>
        <w:tabs>
          <w:tab w:leader="none" w:pos="17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400" w:firstLine="1305"/>
        <w:spacing w:after="0" w:line="278" w:lineRule="auto"/>
        <w:tabs>
          <w:tab w:leader="none" w:pos="171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auto"/>
        </w:rPr>
      </w:pPr>
    </w:p>
    <w:p>
      <w:pPr>
        <w:ind w:right="140" w:firstLine="1305"/>
        <w:spacing w:after="0" w:line="244" w:lineRule="auto"/>
        <w:tabs>
          <w:tab w:leader="none" w:pos="1725"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1720" w:hanging="415"/>
        <w:spacing w:after="0"/>
        <w:tabs>
          <w:tab w:leader="none" w:pos="1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auto"/>
        </w:rPr>
      </w:pPr>
    </w:p>
    <w:p>
      <w:pPr>
        <w:ind w:right="780" w:firstLine="1305"/>
        <w:spacing w:after="0" w:line="260" w:lineRule="auto"/>
        <w:tabs>
          <w:tab w:leader="none" w:pos="1725"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firstLine="1305"/>
        <w:spacing w:after="0" w:line="250" w:lineRule="auto"/>
        <w:tabs>
          <w:tab w:leader="none" w:pos="1725"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Executive agrees that the release set forth in this section shall be and remain in effect in all respects as a complete general release as to the matters released. Notwithstanding anything to the contrary contained in this Agreeement,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38" w:right="239" w:bottom="1440" w:gutter="0" w:footer="0" w:header="0"/>
        </w:sectPr>
      </w:pPr>
    </w:p>
    <w:bookmarkStart w:id="99" w:name="page100"/>
    <w:bookmarkEnd w:id="99"/>
    <w:p>
      <w:pPr>
        <w:spacing w:after="0" w:line="254" w:lineRule="auto"/>
        <w:rPr>
          <w:sz w:val="20"/>
          <w:szCs w:val="20"/>
          <w:color w:val="auto"/>
        </w:rPr>
      </w:pPr>
      <w:r>
        <w:rPr>
          <w:rFonts w:ascii="Arial" w:cs="Arial" w:eastAsia="Arial" w:hAnsi="Arial"/>
          <w:sz w:val="19"/>
          <w:szCs w:val="19"/>
          <w:color w:val="auto"/>
        </w:rPr>
        <w:t>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non-termination related claims under the Employee Retirement Income Security Act (29 U.S.C. § 1001 et seq.), as amended, claims to any benefit entitlements vested as of the date of separation of Executive’s employment, pursuant to written terms of any employee benefit plan of the Company or its affiliates and Executive’s right under applicable law, claims for reimbursement of approved business expenses incurred prior to the Date of Termination, rights to vested options under any Award Agreement issued pursuant to the 2018 EIIAP, rights or claims Executive may have as a shareholder of the Company, and any Retained Claims. This release further does not release claims for breach of or to enforce Section 3(c), Section 4(b), Section 4(c) or Section 8 of the Employment Agreement, or claims arising after the date Executive signs this Agreement.</w:t>
      </w:r>
    </w:p>
    <w:p>
      <w:pPr>
        <w:spacing w:after="0" w:line="193" w:lineRule="exact"/>
        <w:rPr>
          <w:sz w:val="20"/>
          <w:szCs w:val="20"/>
          <w:color w:val="auto"/>
        </w:rPr>
      </w:pPr>
    </w:p>
    <w:p>
      <w:pPr>
        <w:ind w:right="20" w:firstLine="656"/>
        <w:spacing w:after="0" w:line="270" w:lineRule="auto"/>
        <w:tabs>
          <w:tab w:leader="none" w:pos="9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 days within which to consider this Agreement, and the parties agree that such time period to review this Agreement shall not be extended upon any material or immaterial changes to this Agreement; (c) Executive has 7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40" w:firstLine="1305"/>
        <w:spacing w:after="0" w:line="243" w:lineRule="auto"/>
        <w:tabs>
          <w:tab w:leader="none" w:pos="1714" w:val="left"/>
        </w:tabs>
        <w:numPr>
          <w:ilvl w:val="1"/>
          <w:numId w:val="67"/>
        </w:numPr>
        <w:rPr>
          <w:rFonts w:ascii="Arial" w:cs="Arial" w:eastAsia="Arial" w:hAnsi="Arial"/>
          <w:sz w:val="20"/>
          <w:szCs w:val="20"/>
          <w:color w:val="auto"/>
        </w:rPr>
      </w:pPr>
      <w:r>
        <w:rPr>
          <w:rFonts w:ascii="Arial" w:cs="Arial" w:eastAsia="Arial" w:hAnsi="Arial"/>
          <w:sz w:val="20"/>
          <w:szCs w:val="20"/>
          <w:color w:val="auto"/>
        </w:rPr>
        <w:t>Executive acknowledges and agrees that the restrictive covenants and other post-termination obligations set forth in the RCA, including without limitation Executive’s obligations relating to confidentiality, non-use and non-disclosure of Confidential Information (as defined in the RCA), non-solicitation, cooperation, and return of property, are hereby incorporated by reference and shall remain in full force and effect pursuant to their terms to the maximum extent permitted by applicable law, except that the parties expressly agree to modify the RCA by removing Section 6, and each subpart thereto, of the RCA, which shall be of no further force or effect upon the Effective Date (as defined below).</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38" w:right="25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Executive represents and warrants that Executive has complied with all provisions of the RCA at all times through the Effective Date.</w:t>
      </w:r>
    </w:p>
    <w:p>
      <w:pPr>
        <w:spacing w:after="0" w:line="227" w:lineRule="exact"/>
        <w:rPr>
          <w:sz w:val="20"/>
          <w:szCs w:val="20"/>
          <w:color w:val="auto"/>
        </w:rPr>
      </w:pPr>
    </w:p>
    <w:p>
      <w:pPr>
        <w:ind w:firstLine="1305"/>
        <w:spacing w:after="0" w:line="269" w:lineRule="auto"/>
        <w:tabs>
          <w:tab w:leader="none" w:pos="1725"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consideration for the severance payments and benefits set forth in Section 1 of this Agreement, Executive agrees for a period of 12 months after the Effective Date (the “Noncompetition Restricted Period”) to not directly or indirectly, on Executive’s own behalf or for the benefit of any other individual or entity: (i) operate, conduct, engage in, or own (except as a holder of not more than three percent (3%) of the stock of a publicly held company), or prepare to operate, conduct, engage in, or own any business that develops, markets, distributes, plans, sells or otherwise provides, or is preparing to develop, market, distribute, plan, sell or otherwise provide, any product or service that is in competition with any of the products or services being developed, marketed, distributed, planned, sold or otherwise provided by the Company or its affiliates at the time of, or during the 12 months preceding, Executive’s termination from the Company (a “Competing Business”) or (ii) participate in, render services to, or assist any individual or entity that engages in a Competing Business in any capacity (whether as an employee, manager, consultant, director, officer, contractor, or otherwise) (A) which involve the same or similar types of services Executive performed for the Company at any time during the last two years of Executive’s employment with the Company or (B) in which Executive could reasonably be expected to use or disclose Confidential Information, in each case (i) and (ii) limited to each city, county, state, territory and country in which (x) Executive provided services or had a material presence or influence at any time during Executive’s last two years of employment with the Company or (y) the Company is engaged in or has plans to engage in the Competing Business as of the Effective Date.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spacing w:after="0" w:line="175" w:lineRule="exact"/>
        <w:rPr>
          <w:rFonts w:ascii="Arial" w:cs="Arial" w:eastAsia="Arial" w:hAnsi="Arial"/>
          <w:sz w:val="18"/>
          <w:szCs w:val="18"/>
          <w:color w:val="auto"/>
        </w:rPr>
      </w:pPr>
    </w:p>
    <w:p>
      <w:pPr>
        <w:ind w:firstLine="1305"/>
        <w:spacing w:after="0" w:line="243" w:lineRule="auto"/>
        <w:tabs>
          <w:tab w:leader="none" w:pos="1714" w:val="left"/>
        </w:tabs>
        <w:numPr>
          <w:ilvl w:val="1"/>
          <w:numId w:val="68"/>
        </w:numPr>
        <w:rPr>
          <w:rFonts w:ascii="Arial" w:cs="Arial" w:eastAsia="Arial" w:hAnsi="Arial"/>
          <w:sz w:val="20"/>
          <w:szCs w:val="20"/>
          <w:color w:val="auto"/>
        </w:rPr>
      </w:pPr>
      <w:r>
        <w:rPr>
          <w:rFonts w:ascii="Arial" w:cs="Arial" w:eastAsia="Arial" w:hAnsi="Arial"/>
          <w:sz w:val="20"/>
          <w:szCs w:val="20"/>
          <w:color w:val="auto"/>
        </w:rPr>
        <w:t>Executive’s continued compliance with the terms of the RCA (as modified in Section 4(a) above) and the noncompetition obligations set forth in Section 4(b) above (collectively, the “Restrictive Covenants”) is a material condition to receipt of the severance payments and benefits set forth in Section 1 of this Agreement. In the event Executive breaches any part of such Restrictive Covenants, then, in addition to any remedies and enforcement mechanisms set forth in the RCA and this Agreement and any other remedies available to the Company (including equitable and injunctive remedies), Executive shall forfeit any additional consideration owing and shall be obligated to promptly return to the Company (within two (2) business days of any breach) the full gross amount of all severance payments and benefits provided.</w:t>
      </w:r>
    </w:p>
    <w:p>
      <w:pPr>
        <w:spacing w:after="0" w:line="193" w:lineRule="exact"/>
        <w:rPr>
          <w:rFonts w:ascii="Arial" w:cs="Arial" w:eastAsia="Arial" w:hAnsi="Arial"/>
          <w:sz w:val="20"/>
          <w:szCs w:val="20"/>
          <w:color w:val="auto"/>
        </w:rPr>
      </w:pPr>
    </w:p>
    <w:p>
      <w:pPr>
        <w:ind w:right="40" w:firstLine="1305"/>
        <w:spacing w:after="0" w:line="246" w:lineRule="auto"/>
        <w:tabs>
          <w:tab w:leader="none" w:pos="1725" w:val="left"/>
        </w:tabs>
        <w:numPr>
          <w:ilvl w:val="1"/>
          <w:numId w:val="68"/>
        </w:numPr>
        <w:rPr>
          <w:rFonts w:ascii="Arial" w:cs="Arial" w:eastAsia="Arial" w:hAnsi="Arial"/>
          <w:sz w:val="20"/>
          <w:szCs w:val="20"/>
          <w:color w:val="auto"/>
        </w:rPr>
      </w:pPr>
      <w:r>
        <w:rPr>
          <w:rFonts w:ascii="Arial" w:cs="Arial" w:eastAsia="Arial" w:hAnsi="Arial"/>
          <w:sz w:val="20"/>
          <w:szCs w:val="20"/>
          <w:color w:val="auto"/>
        </w:rPr>
        <w:t>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spacing w:after="0" w:line="191" w:lineRule="exact"/>
        <w:rPr>
          <w:rFonts w:ascii="Arial" w:cs="Arial" w:eastAsia="Arial" w:hAnsi="Arial"/>
          <w:sz w:val="20"/>
          <w:szCs w:val="20"/>
          <w:color w:val="auto"/>
        </w:rPr>
      </w:pPr>
    </w:p>
    <w:p>
      <w:pPr>
        <w:jc w:val="both"/>
        <w:ind w:right="80" w:firstLine="656"/>
        <w:spacing w:after="0" w:line="250" w:lineRule="auto"/>
        <w:tabs>
          <w:tab w:leader="none" w:pos="995"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6" w:lineRule="exact"/>
        <w:rPr>
          <w:rFonts w:ascii="Arial" w:cs="Arial" w:eastAsia="Arial" w:hAnsi="Arial"/>
          <w:sz w:val="20"/>
          <w:szCs w:val="20"/>
          <w:color w:val="auto"/>
        </w:rPr>
      </w:pPr>
    </w:p>
    <w:p>
      <w:pPr>
        <w:ind w:left="1000" w:hanging="344"/>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a writing signed by Executive and a duly authorized officer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838" w:right="279" w:bottom="1440" w:gutter="0" w:footer="0" w:header="0"/>
        </w:sectPr>
      </w:pPr>
    </w:p>
    <w:bookmarkStart w:id="101" w:name="page102"/>
    <w:bookmarkEnd w:id="101"/>
    <w:p>
      <w:pPr>
        <w:ind w:left="980" w:hanging="344"/>
        <w:spacing w:after="0"/>
        <w:tabs>
          <w:tab w:leader="none" w:pos="98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subject to the provisions of Sections 9(a) and 9(c) of the Employment Agreement.</w:t>
      </w:r>
    </w:p>
    <w:p>
      <w:pPr>
        <w:spacing w:after="0" w:line="227" w:lineRule="exact"/>
        <w:rPr>
          <w:rFonts w:ascii="Arial" w:cs="Arial" w:eastAsia="Arial" w:hAnsi="Arial"/>
          <w:sz w:val="19"/>
          <w:szCs w:val="19"/>
          <w:color w:val="auto"/>
        </w:rPr>
      </w:pPr>
    </w:p>
    <w:p>
      <w:pPr>
        <w:ind w:left="-20" w:firstLine="656"/>
        <w:spacing w:after="0" w:line="276" w:lineRule="auto"/>
        <w:tabs>
          <w:tab w:leader="none" w:pos="97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Executive has seven (7) business days after Executive signs this Agreement to revoke it, and this Agreement will become effective on the eighth (8th) business day after Executive signed this Agreement (the “Effective Date”), so long as it has been signed by the Parties and has not been revoked by either Party before such date. For the avoidance of doubt, if Executive revokes this Agreement as provided herein, the Parties’ modification to the RCA set forth in Section 4(a) above shall be void and of no effect. Unless the Company has elected or elects to expressly waive Executive’s noncompetition obligations set forth in Section 6(a) of the RCA (as amended by this Agreement), the RCA, including without limitation Section 6 of the RCA (as amended by this Agreement), shall remain in full force and effect.</w:t>
      </w:r>
    </w:p>
    <w:p>
      <w:pPr>
        <w:spacing w:after="0" w:line="165" w:lineRule="exact"/>
        <w:rPr>
          <w:rFonts w:ascii="Arial" w:cs="Arial" w:eastAsia="Arial" w:hAnsi="Arial"/>
          <w:sz w:val="18"/>
          <w:szCs w:val="18"/>
          <w:color w:val="auto"/>
        </w:rPr>
      </w:pPr>
    </w:p>
    <w:p>
      <w:pPr>
        <w:ind w:left="-20" w:right="40" w:firstLine="656"/>
        <w:spacing w:after="0" w:line="258" w:lineRule="auto"/>
        <w:tabs>
          <w:tab w:leader="none" w:pos="97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EXECUTIVE</w:t>
      </w:r>
    </w:p>
    <w:p>
      <w:pPr>
        <w:spacing w:after="0" w:line="343" w:lineRule="exact"/>
        <w:rPr>
          <w:sz w:val="20"/>
          <w:szCs w:val="20"/>
          <w:color w:val="auto"/>
        </w:rPr>
      </w:pPr>
    </w:p>
    <w:p>
      <w:pPr>
        <w:ind w:left="20"/>
        <w:spacing w:after="0"/>
        <w:tabs>
          <w:tab w:leader="none" w:pos="51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/s/ Alison Schecter,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27305</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978910" cy="889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27305</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47"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ALISON SCHECTER, M.D.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SELECTA BIOSCIENCES, INC.</w:t>
      </w:r>
    </w:p>
    <w:p>
      <w:pPr>
        <w:spacing w:after="0" w:line="384" w:lineRule="exact"/>
        <w:rPr>
          <w:sz w:val="20"/>
          <w:szCs w:val="20"/>
          <w:color w:val="auto"/>
        </w:rPr>
      </w:pPr>
    </w:p>
    <w:p>
      <w:pPr>
        <w:ind w:left="20"/>
        <w:spacing w:after="0"/>
        <w:tabs>
          <w:tab w:leader="none" w:pos="5140" w:val="left"/>
          <w:tab w:leader="none" w:pos="582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27305</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27305</wp:posOffset>
            </wp:positionV>
            <wp:extent cx="514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Name: Carsten Brunn, Ph.D.</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83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certify that:</w:t>
      </w:r>
    </w:p>
    <w:p>
      <w:pPr>
        <w:spacing w:after="0" w:line="39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7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20"/>
          <w:szCs w:val="20"/>
          <w:color w:val="auto"/>
        </w:rPr>
        <w:t>August 8, 2019</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Ann K. Donohue, certify that:</w:t>
      </w:r>
    </w:p>
    <w:p>
      <w:pPr>
        <w:spacing w:after="0" w:line="39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7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7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576" w:right="239" w:bottom="1440" w:gutter="0" w:footer="0" w:header="0"/>
        </w:sectPr>
      </w:pPr>
    </w:p>
    <w:bookmarkStart w:id="104" w:name="page105"/>
    <w:bookmarkEnd w:id="104"/>
    <w:p>
      <w:pPr>
        <w:spacing w:after="0"/>
        <w:tabs>
          <w:tab w:leader="none" w:pos="7740" w:val="left"/>
        </w:tabs>
        <w:rPr>
          <w:sz w:val="20"/>
          <w:szCs w:val="20"/>
          <w:color w:val="auto"/>
        </w:rPr>
      </w:pPr>
      <w:r>
        <w:rPr>
          <w:rFonts w:ascii="Arial" w:cs="Arial" w:eastAsia="Arial" w:hAnsi="Arial"/>
          <w:sz w:val="20"/>
          <w:szCs w:val="20"/>
          <w:color w:val="auto"/>
        </w:rPr>
        <w:t>August 8, 2019</w:t>
      </w:r>
      <w:r>
        <w:rPr>
          <w:sz w:val="20"/>
          <w:szCs w:val="20"/>
          <w:color w:val="auto"/>
        </w:rPr>
        <w:tab/>
      </w:r>
      <w:r>
        <w:rPr>
          <w:rFonts w:ascii="Arial" w:cs="Arial" w:eastAsia="Arial" w:hAnsi="Arial"/>
          <w:sz w:val="16"/>
          <w:szCs w:val="16"/>
          <w:color w:val="auto"/>
        </w:rPr>
        <w:t>/s/ Ann K. Donohue,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27305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Ann K. Donohue, CPA</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i w:val="1"/>
          <w:iCs w:val="1"/>
          <w:color w:val="auto"/>
        </w:rPr>
        <w:t>Controller</w:t>
      </w:r>
    </w:p>
    <w:p>
      <w:pPr>
        <w:spacing w:after="0" w:line="63" w:lineRule="exact"/>
        <w:rPr>
          <w:sz w:val="20"/>
          <w:szCs w:val="20"/>
          <w:color w:val="auto"/>
        </w:rPr>
      </w:pPr>
    </w:p>
    <w:p>
      <w:pPr>
        <w:ind w:left="7840"/>
        <w:spacing w:after="0"/>
        <w:rPr>
          <w:sz w:val="20"/>
          <w:szCs w:val="20"/>
          <w:color w:val="auto"/>
        </w:rPr>
      </w:pPr>
      <w:r>
        <w:rPr>
          <w:rFonts w:ascii="Arial" w:cs="Arial" w:eastAsia="Arial" w:hAnsi="Arial"/>
          <w:sz w:val="18"/>
          <w:szCs w:val="18"/>
          <w:i w:val="1"/>
          <w:iCs w:val="1"/>
          <w:color w:val="auto"/>
        </w:rPr>
        <w:t>(principal financial and</w:t>
      </w:r>
    </w:p>
    <w:p>
      <w:pPr>
        <w:spacing w:after="0" w:line="23" w:lineRule="exact"/>
        <w:rPr>
          <w:sz w:val="20"/>
          <w:szCs w:val="20"/>
          <w:color w:val="auto"/>
        </w:rPr>
      </w:pPr>
    </w:p>
    <w:p>
      <w:pPr>
        <w:jc w:val="right"/>
        <w:ind w:right="439"/>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0179"/>
          </w:cols>
          <w:pgMar w:left="280" w:top="1027"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680" w:hanging="328"/>
        <w:spacing w:after="0" w:line="287" w:lineRule="auto"/>
        <w:tabs>
          <w:tab w:leader="none" w:pos="6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period ended June 30, 2019 (the “Report”) fully complies with the requirements of Section 13(a) or 15(d) of the Securities Exchange Act of 1934, as amended; and</w:t>
      </w:r>
    </w:p>
    <w:p>
      <w:pPr>
        <w:spacing w:after="0" w:line="112" w:lineRule="exact"/>
        <w:rPr>
          <w:rFonts w:ascii="Arial" w:cs="Arial" w:eastAsia="Arial" w:hAnsi="Arial"/>
          <w:sz w:val="19"/>
          <w:szCs w:val="19"/>
          <w:color w:val="auto"/>
        </w:rPr>
      </w:pPr>
    </w:p>
    <w:p>
      <w:pPr>
        <w:ind w:left="660" w:right="140" w:hanging="328"/>
        <w:spacing w:after="0" w:line="260"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20"/>
          <w:szCs w:val="20"/>
          <w:color w:val="auto"/>
        </w:rPr>
        <w:t>August 8, 2019</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Ann K. Donohue, Controller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680" w:hanging="328"/>
        <w:spacing w:after="0" w:line="287" w:lineRule="auto"/>
        <w:tabs>
          <w:tab w:leader="none" w:pos="6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period ended June 30, 2019 (the “Report”) fully complies with the requirements of Section 13(a) or 15(d) of the Securities Exchange Act of 1934, as amended; and</w:t>
      </w:r>
    </w:p>
    <w:p>
      <w:pPr>
        <w:spacing w:after="0" w:line="112" w:lineRule="exact"/>
        <w:rPr>
          <w:rFonts w:ascii="Arial" w:cs="Arial" w:eastAsia="Arial" w:hAnsi="Arial"/>
          <w:sz w:val="19"/>
          <w:szCs w:val="19"/>
          <w:color w:val="auto"/>
        </w:rPr>
      </w:pPr>
    </w:p>
    <w:p>
      <w:pPr>
        <w:ind w:left="660" w:right="140" w:hanging="328"/>
        <w:spacing w:after="0" w:line="260" w:lineRule="auto"/>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20"/>
          <w:szCs w:val="20"/>
          <w:color w:val="auto"/>
        </w:rPr>
        <w:t>August 8, 2019</w:t>
      </w:r>
      <w:r>
        <w:rPr>
          <w:sz w:val="20"/>
          <w:szCs w:val="20"/>
          <w:color w:val="auto"/>
        </w:rPr>
        <w:tab/>
      </w:r>
      <w:r>
        <w:rPr>
          <w:rFonts w:ascii="Arial" w:cs="Arial" w:eastAsia="Arial" w:hAnsi="Arial"/>
          <w:sz w:val="16"/>
          <w:szCs w:val="16"/>
          <w:color w:val="auto"/>
        </w:rPr>
        <w:t>/s/ Ann K. Donohue,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27305</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Ann K. Donohue, CPA</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i w:val="1"/>
          <w:iCs w:val="1"/>
          <w:color w:val="auto"/>
        </w:rPr>
        <w:t>Controller</w:t>
      </w:r>
    </w:p>
    <w:p>
      <w:pPr>
        <w:spacing w:after="0" w:line="63" w:lineRule="exact"/>
        <w:rPr>
          <w:sz w:val="20"/>
          <w:szCs w:val="20"/>
          <w:color w:val="auto"/>
        </w:rPr>
      </w:pPr>
    </w:p>
    <w:p>
      <w:pPr>
        <w:ind w:left="8100"/>
        <w:spacing w:after="0"/>
        <w:rPr>
          <w:sz w:val="20"/>
          <w:szCs w:val="20"/>
          <w:color w:val="auto"/>
        </w:rPr>
      </w:pPr>
      <w:r>
        <w:rPr>
          <w:rFonts w:ascii="Arial" w:cs="Arial" w:eastAsia="Arial" w:hAnsi="Arial"/>
          <w:sz w:val="18"/>
          <w:szCs w:val="18"/>
          <w:i w:val="1"/>
          <w:iCs w:val="1"/>
          <w:color w:val="auto"/>
        </w:rPr>
        <w:t>(principal financial and</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2"/>
    </w:lvl>
  </w:abstractNum>
  <w:abstractNum w:abstractNumId="4">
    <w:nsid w:val="51EAD36B"/>
    <w:multiLevelType w:val="hybridMultilevel"/>
    <w:lvl w:ilvl="0">
      <w:lvlJc w:val="left"/>
      <w:lvlText w:val="(%1)"/>
      <w:numFmt w:val="lowerRoman"/>
      <w:start w:val="2"/>
    </w:lvl>
  </w:abstractNum>
  <w:abstractNum w:abstractNumId="5">
    <w:nsid w:val="2D517796"/>
    <w:multiLevelType w:val="hybridMultilevel"/>
    <w:lvl w:ilvl="0">
      <w:lvlJc w:val="left"/>
      <w:lvlText w:val="%1."/>
      <w:numFmt w:val="decimal"/>
      <w:start w:val="10"/>
    </w:lvl>
  </w:abstractNum>
  <w:abstractNum w:abstractNumId="6">
    <w:nsid w:val="580BD78F"/>
    <w:multiLevelType w:val="hybridMultilevel"/>
    <w:lvl w:ilvl="0">
      <w:lvlJc w:val="left"/>
      <w:lvlText w:val="%1."/>
      <w:numFmt w:val="decimal"/>
      <w:start w:val="11"/>
    </w:lvl>
  </w:abstractNum>
  <w:abstractNum w:abstractNumId="7">
    <w:nsid w:val="153EA438"/>
    <w:multiLevelType w:val="hybridMultilevel"/>
    <w:lvl w:ilvl="0">
      <w:lvlJc w:val="left"/>
      <w:lvlText w:val="%1."/>
      <w:numFmt w:val="decimal"/>
      <w:start w:val="12"/>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decimal"/>
      <w:start w:val="14"/>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Roman"/>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upperLetter"/>
      <w:start w:val="1"/>
    </w:lvl>
  </w:abstractNum>
  <w:abstractNum w:abstractNumId="43">
    <w:nsid w:val="354FE9F9"/>
    <w:multiLevelType w:val="hybridMultilevel"/>
    <w:lvl w:ilvl="0">
      <w:lvlJc w:val="left"/>
      <w:lvlText w:val="%1."/>
      <w:numFmt w:val="decimal"/>
      <w:start w:val="1"/>
    </w:lvl>
    <w:lvl w:ilvl="1">
      <w:lvlJc w:val="left"/>
      <w:lvlText w:val="(%2)"/>
      <w:numFmt w:val="lowerLetter"/>
      <w:start w:val="1"/>
    </w:lvl>
  </w:abstractNum>
  <w:abstractNum w:abstractNumId="44">
    <w:nsid w:val="15B5AF5C"/>
    <w:multiLevelType w:val="hybridMultilevel"/>
    <w:lvl w:ilvl="0">
      <w:lvlJc w:val="left"/>
      <w:lvlText w:val="%1."/>
      <w:numFmt w:val="decimal"/>
      <w:start w:val="3"/>
    </w:lvl>
    <w:lvl w:ilvl="1">
      <w:lvlJc w:val="left"/>
      <w:lvlText w:val="(%2)"/>
      <w:numFmt w:val="lowerLetter"/>
      <w:start w:val="3"/>
    </w:lvl>
  </w:abstractNum>
  <w:abstractNum w:abstractNumId="45">
    <w:nsid w:val="741226BB"/>
    <w:multiLevelType w:val="hybridMultilevel"/>
    <w:lvl w:ilvl="0">
      <w:lvlJc w:val="left"/>
      <w:lvlText w:val="%1."/>
      <w:numFmt w:val="decimal"/>
      <w:start w:val="2"/>
    </w:lvl>
    <w:lvl w:ilvl="1">
      <w:lvlJc w:val="left"/>
      <w:lvlText w:val="(%2)"/>
      <w:numFmt w:val="lowerLetter"/>
      <w:start w:val="1"/>
    </w:lvl>
  </w:abstractNum>
  <w:abstractNum w:abstractNumId="46">
    <w:nsid w:val="D34B6A8"/>
    <w:multiLevelType w:val="hybridMultilevel"/>
    <w:lvl w:ilvl="0">
      <w:lvlJc w:val="left"/>
      <w:lvlText w:val="%1"/>
      <w:numFmt w:val="decimal"/>
      <w:start w:val="1"/>
    </w:lvl>
    <w:lvl w:ilvl="1">
      <w:lvlJc w:val="left"/>
      <w:lvlText w:val="(%2)"/>
      <w:numFmt w:val="lowerLetter"/>
      <w:start w:val="8"/>
    </w:lvl>
  </w:abstractNum>
  <w:abstractNum w:abstractNumId="47">
    <w:nsid w:val="10233C99"/>
    <w:multiLevelType w:val="hybridMultilevel"/>
    <w:lvl w:ilvl="0">
      <w:lvlJc w:val="left"/>
      <w:lvlText w:val="%1."/>
      <w:numFmt w:val="decimal"/>
      <w:start w:val="3"/>
    </w:lvl>
    <w:lvl w:ilvl="1">
      <w:lvlJc w:val="left"/>
      <w:lvlText w:val="%2"/>
      <w:numFmt w:val="lowerLetter"/>
      <w:start w:val="1"/>
    </w:lvl>
  </w:abstractNum>
  <w:abstractNum w:abstractNumId="48">
    <w:nsid w:val="3F6AB60F"/>
    <w:multiLevelType w:val="hybridMultilevel"/>
    <w:lvl w:ilvl="0">
      <w:lvlJc w:val="left"/>
      <w:lvlText w:val="(%1)"/>
      <w:numFmt w:val="lowerLetter"/>
      <w:start w:val="1"/>
    </w:lvl>
    <w:lvl w:ilvl="1">
      <w:lvlJc w:val="left"/>
      <w:lvlText w:val="(%2)"/>
      <w:numFmt w:val="lowerRoman"/>
      <w:start w:val="1"/>
    </w:lvl>
  </w:abstractNum>
  <w:abstractNum w:abstractNumId="49">
    <w:nsid w:val="61574095"/>
    <w:multiLevelType w:val="hybridMultilevel"/>
    <w:lvl w:ilvl="0">
      <w:lvlJc w:val="left"/>
      <w:lvlText w:val="%1"/>
      <w:numFmt w:val="decimal"/>
      <w:start w:val="1"/>
    </w:lvl>
    <w:lvl w:ilvl="1">
      <w:lvlJc w:val="left"/>
      <w:lvlText w:val="(%2)"/>
      <w:numFmt w:val="lowerLetter"/>
      <w:start w:val="3"/>
    </w:lvl>
  </w:abstractNum>
  <w:abstractNum w:abstractNumId="50">
    <w:nsid w:val="7E0C57B1"/>
    <w:multiLevelType w:val="hybridMultilevel"/>
    <w:lvl w:ilvl="0">
      <w:lvlJc w:val="left"/>
      <w:lvlText w:val="%1."/>
      <w:numFmt w:val="decimal"/>
      <w:start w:val="4"/>
    </w:lvl>
    <w:lvl w:ilvl="1">
      <w:lvlJc w:val="left"/>
      <w:lvlText w:val="(%2)"/>
      <w:numFmt w:val="lowerLetter"/>
      <w:start w:val="1"/>
    </w:lvl>
  </w:abstractNum>
  <w:abstractNum w:abstractNumId="51">
    <w:nsid w:val="77AE35EB"/>
    <w:multiLevelType w:val="hybridMultilevel"/>
    <w:lvl w:ilvl="0">
      <w:lvlJc w:val="left"/>
      <w:lvlText w:val="%1"/>
      <w:numFmt w:val="lowerLetter"/>
      <w:start w:val="1"/>
    </w:lvl>
    <w:lvl w:ilvl="1">
      <w:lvlJc w:val="left"/>
      <w:lvlText w:val="(%2)"/>
      <w:numFmt w:val="lowerRoman"/>
      <w:start w:val="1"/>
    </w:lvl>
  </w:abstractNum>
  <w:abstractNum w:abstractNumId="52">
    <w:nsid w:val="579BE4F1"/>
    <w:multiLevelType w:val="hybridMultilevel"/>
    <w:lvl w:ilvl="0">
      <w:lvlJc w:val="left"/>
      <w:lvlText w:val="(%1)"/>
      <w:numFmt w:val="lowerLetter"/>
      <w:start w:val="3"/>
    </w:lvl>
    <w:lvl w:ilvl="1">
      <w:lvlJc w:val="left"/>
      <w:lvlText w:val="%2"/>
      <w:numFmt w:val="lowerRoman"/>
      <w:start w:val="1"/>
    </w:lvl>
  </w:abstractNum>
  <w:abstractNum w:abstractNumId="53">
    <w:nsid w:val="310C50B3"/>
    <w:multiLevelType w:val="hybridMultilevel"/>
    <w:lvl w:ilvl="0">
      <w:lvlJc w:val="left"/>
      <w:lvlText w:val="%1"/>
      <w:numFmt w:val="decimal"/>
      <w:start w:val="1"/>
    </w:lvl>
    <w:lvl w:ilvl="1">
      <w:lvlJc w:val="left"/>
      <w:lvlText w:val="(%2)"/>
      <w:numFmt w:val="lowerLetter"/>
      <w:start w:val="4"/>
    </w:lvl>
  </w:abstractNum>
  <w:abstractNum w:abstractNumId="54">
    <w:nsid w:val="5FF87E05"/>
    <w:multiLevelType w:val="hybridMultilevel"/>
    <w:lvl w:ilvl="0">
      <w:lvlJc w:val="left"/>
      <w:lvlText w:val="%1."/>
      <w:numFmt w:val="decimal"/>
      <w:start w:val="5"/>
    </w:lvl>
    <w:lvl w:ilvl="1">
      <w:lvlJc w:val="left"/>
      <w:lvlText w:val="%2"/>
      <w:numFmt w:val="lowerLetter"/>
      <w:start w:val="1"/>
    </w:lvl>
  </w:abstractNum>
  <w:abstractNum w:abstractNumId="55">
    <w:nsid w:val="2F305DE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
    <w:nsid w:val="25A70BF7"/>
    <w:multiLevelType w:val="hybridMultilevel"/>
    <w:lvl w:ilvl="0">
      <w:lvlJc w:val="left"/>
      <w:lvlText w:val="%1"/>
      <w:numFmt w:val="lowerLetter"/>
      <w:start w:val="1"/>
    </w:lvl>
    <w:lvl w:ilvl="1">
      <w:lvlJc w:val="left"/>
      <w:lvlText w:val="(%2)"/>
      <w:numFmt w:val="lowerRoman"/>
      <w:start w:val="6"/>
    </w:lvl>
  </w:abstractNum>
  <w:abstractNum w:abstractNumId="57">
    <w:nsid w:val="1DBABF00"/>
    <w:multiLevelType w:val="hybridMultilevel"/>
    <w:lvl w:ilvl="0">
      <w:lvlJc w:val="left"/>
      <w:lvlText w:val="(%1)"/>
      <w:numFmt w:val="lowerLetter"/>
      <w:start w:val="2"/>
    </w:lvl>
    <w:lvl w:ilvl="1">
      <w:lvlJc w:val="left"/>
      <w:lvlText w:val="%2"/>
      <w:numFmt w:val="lowerRoman"/>
      <w:start w:val="1"/>
    </w:lvl>
  </w:abstractNum>
  <w:abstractNum w:abstractNumId="58">
    <w:nsid w:val="4AD084E9"/>
    <w:multiLevelType w:val="hybridMultilevel"/>
    <w:lvl w:ilvl="0">
      <w:lvlJc w:val="left"/>
      <w:lvlText w:val="%1."/>
      <w:numFmt w:val="decimal"/>
      <w:start w:val="8"/>
    </w:lvl>
    <w:lvl w:ilvl="1">
      <w:lvlJc w:val="left"/>
      <w:lvlText w:val="(%2)"/>
      <w:numFmt w:val="lowerLetter"/>
      <w:start w:val="1"/>
    </w:lvl>
  </w:abstractNum>
  <w:abstractNum w:abstractNumId="59">
    <w:nsid w:val="1F48EAA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0">
    <w:nsid w:val="1381823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1">
    <w:nsid w:val="5DB70AE5"/>
    <w:multiLevelType w:val="hybridMultilevel"/>
    <w:lvl w:ilvl="0">
      <w:lvlJc w:val="left"/>
      <w:lvlText w:val="(%1)"/>
      <w:numFmt w:val="lowerLetter"/>
      <w:start w:val="6"/>
    </w:lvl>
  </w:abstractNum>
  <w:abstractNum w:abstractNumId="62">
    <w:nsid w:val="100F8FCA"/>
    <w:multiLevelType w:val="hybridMultilevel"/>
    <w:lvl w:ilvl="0">
      <w:lvlJc w:val="left"/>
      <w:lvlText w:val="(%1)"/>
      <w:numFmt w:val="lowerLetter"/>
      <w:start w:val="12"/>
    </w:lvl>
    <w:lvl w:ilvl="1">
      <w:lvlJc w:val="left"/>
      <w:lvlText w:val="(%2)"/>
      <w:numFmt w:val="lowerRoman"/>
      <w:start w:val="1"/>
    </w:lvl>
  </w:abstractNum>
  <w:abstractNum w:abstractNumId="63">
    <w:nsid w:val="6590700B"/>
    <w:multiLevelType w:val="hybridMultilevel"/>
    <w:lvl w:ilvl="0">
      <w:lvlJc w:val="left"/>
      <w:lvlText w:val="%1."/>
      <w:numFmt w:val="decimal"/>
      <w:start w:val="10"/>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3"/>
    </w:lvl>
    <w:lvl w:ilvl="1">
      <w:lvlJc w:val="left"/>
      <w:lvlText w:val="(%2)"/>
      <w:numFmt w:val="lowerLetter"/>
      <w:start w:val="1"/>
    </w:lvl>
  </w:abstractNum>
  <w:abstractNum w:abstractNumId="67">
    <w:nsid w:val="799D0247"/>
    <w:multiLevelType w:val="hybridMultilevel"/>
    <w:lvl w:ilvl="0">
      <w:lvlJc w:val="left"/>
      <w:lvlText w:val="%1"/>
      <w:numFmt w:val="decimal"/>
      <w:start w:val="1"/>
    </w:lvl>
    <w:lvl w:ilvl="1">
      <w:lvlJc w:val="left"/>
      <w:lvlText w:val="(%2)"/>
      <w:numFmt w:val="lowerLetter"/>
      <w:start w:val="2"/>
    </w:lvl>
  </w:abstractNum>
  <w:abstractNum w:abstractNumId="68">
    <w:nsid w:val="6B94764"/>
    <w:multiLevelType w:val="hybridMultilevel"/>
    <w:lvl w:ilvl="0">
      <w:lvlJc w:val="left"/>
      <w:lvlText w:val="%1."/>
      <w:numFmt w:val="decimal"/>
      <w:start w:val="5"/>
    </w:lvl>
    <w:lvl w:ilvl="1">
      <w:lvlJc w:val="left"/>
      <w:lvlText w:val="%2"/>
      <w:numFmt w:val="lowerLetter"/>
      <w:start w:val="1"/>
    </w:lvl>
  </w:abstractNum>
  <w:abstractNum w:abstractNumId="69">
    <w:nsid w:val="42C296BD"/>
    <w:multiLevelType w:val="hybridMultilevel"/>
    <w:lvl w:ilvl="0">
      <w:lvlJc w:val="left"/>
      <w:lvlText w:val="%1."/>
      <w:numFmt w:val="decimal"/>
      <w:start w:val="7"/>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1" Type="http://schemas.openxmlformats.org/officeDocument/2006/relationships/hyperlink" Target="http://www.sec.gov/Archives/edgar/data/1453687/000110465916129891/a16-14002_1ex3d1.htm" TargetMode="External"/><Relationship Id="rId12" Type="http://schemas.openxmlformats.org/officeDocument/2006/relationships/hyperlink" Target="http://www.sec.gov/Archives/edgar/data/1453687/000110465916129891/a16-14002_1ex3d2.htm" TargetMode="External"/><Relationship Id="rId13" Type="http://schemas.openxmlformats.org/officeDocument/2006/relationships/hyperlink" Target="http://www.sec.gov/Archives/edgar/data/1453687/000145368719000036/selectabiosciencess-8_mar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2019-12-28T07:51:45Z</dcterms:created>
  <dcterms:modified xsi:type="dcterms:W3CDTF">2019-12-28T07:51:45Z</dcterms:modified>
</cp:coreProperties>
</file>