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Keller Peter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2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SELECTA BIOSCIENCES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SELB</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480 ARSENAL STREET, BUILDING ONE</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Business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5,128</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03/08/2026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15,383</w:t>
            </w:r>
          </w:p>
        </w:tc>
        <w:tc>
          <w:tcPr>
            <w:tcW w:w="880" w:type="dxa"/>
            <w:vAlign w:val="bottom"/>
          </w:tcPr>
          <w:p>
            <w:pPr>
              <w:ind w:left="280"/>
              <w:spacing w:after="0"/>
              <w:rPr>
                <w:sz w:val="20"/>
                <w:szCs w:val="20"/>
                <w:color w:val="auto"/>
              </w:rPr>
            </w:pPr>
            <w:r>
              <w:rPr>
                <w:rFonts w:ascii="Arial" w:cs="Arial" w:eastAsia="Arial" w:hAnsi="Arial"/>
                <w:sz w:val="18"/>
                <w:szCs w:val="18"/>
                <w:color w:val="0000FF"/>
              </w:rPr>
              <w:t>7.02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02/20/2025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10,256</w:t>
            </w:r>
          </w:p>
        </w:tc>
        <w:tc>
          <w:tcPr>
            <w:tcW w:w="880" w:type="dxa"/>
            <w:vAlign w:val="bottom"/>
          </w:tcPr>
          <w:p>
            <w:pPr>
              <w:ind w:left="280"/>
              <w:spacing w:after="0"/>
              <w:rPr>
                <w:sz w:val="20"/>
                <w:szCs w:val="20"/>
                <w:color w:val="auto"/>
              </w:rPr>
            </w:pPr>
            <w:r>
              <w:rPr>
                <w:rFonts w:ascii="Arial" w:cs="Arial" w:eastAsia="Arial" w:hAnsi="Arial"/>
                <w:sz w:val="18"/>
                <w:szCs w:val="18"/>
                <w:color w:val="0000FF"/>
              </w:rPr>
              <w:t>9.36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04/07/2024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8,461</w:t>
            </w:r>
          </w:p>
        </w:tc>
        <w:tc>
          <w:tcPr>
            <w:tcW w:w="880" w:type="dxa"/>
            <w:vAlign w:val="bottom"/>
          </w:tcPr>
          <w:p>
            <w:pPr>
              <w:ind w:left="280"/>
              <w:spacing w:after="0"/>
              <w:rPr>
                <w:sz w:val="20"/>
                <w:szCs w:val="20"/>
                <w:color w:val="auto"/>
              </w:rPr>
            </w:pPr>
            <w:r>
              <w:rPr>
                <w:rFonts w:ascii="Arial" w:cs="Arial" w:eastAsia="Arial" w:hAnsi="Arial"/>
                <w:sz w:val="18"/>
                <w:szCs w:val="18"/>
                <w:color w:val="0000FF"/>
              </w:rPr>
              <w:t>8.97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06/13/2023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8"/>
              </w:rPr>
              <w:t>2,564</w:t>
            </w:r>
          </w:p>
        </w:tc>
        <w:tc>
          <w:tcPr>
            <w:tcW w:w="880" w:type="dxa"/>
            <w:vAlign w:val="bottom"/>
          </w:tcPr>
          <w:p>
            <w:pPr>
              <w:ind w:left="280"/>
              <w:spacing w:after="0"/>
              <w:rPr>
                <w:sz w:val="20"/>
                <w:szCs w:val="20"/>
                <w:color w:val="auto"/>
              </w:rPr>
            </w:pPr>
            <w:r>
              <w:rPr>
                <w:rFonts w:ascii="Arial" w:cs="Arial" w:eastAsia="Arial" w:hAnsi="Arial"/>
                <w:sz w:val="18"/>
                <w:szCs w:val="18"/>
                <w:color w:val="0000FF"/>
              </w:rPr>
              <w:t>2.77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02/16/2021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1"/>
              <w:spacing w:after="0"/>
              <w:rPr>
                <w:sz w:val="20"/>
                <w:szCs w:val="20"/>
                <w:color w:val="auto"/>
              </w:rPr>
            </w:pPr>
            <w:r>
              <w:rPr>
                <w:rFonts w:ascii="Arial" w:cs="Arial" w:eastAsia="Arial" w:hAnsi="Arial"/>
                <w:sz w:val="18"/>
                <w:szCs w:val="18"/>
                <w:color w:val="0000FF"/>
                <w:w w:val="87"/>
              </w:rPr>
              <w:t>94,183</w:t>
            </w:r>
          </w:p>
        </w:tc>
        <w:tc>
          <w:tcPr>
            <w:tcW w:w="880" w:type="dxa"/>
            <w:vAlign w:val="bottom"/>
          </w:tcPr>
          <w:p>
            <w:pPr>
              <w:ind w:left="280"/>
              <w:spacing w:after="0"/>
              <w:rPr>
                <w:sz w:val="20"/>
                <w:szCs w:val="20"/>
                <w:color w:val="auto"/>
              </w:rPr>
            </w:pPr>
            <w:r>
              <w:rPr>
                <w:rFonts w:ascii="Arial" w:cs="Arial" w:eastAsia="Arial" w:hAnsi="Arial"/>
                <w:sz w:val="18"/>
                <w:szCs w:val="18"/>
                <w:color w:val="0000FF"/>
              </w:rPr>
              <w:t>0.63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745 shares of restricted common stock which are subject to a right of repurchase by the issuer.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as to 25% of the shares on February 1, 2017. The remainder of the shares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2016.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2015.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as to 25% of the shares on January 1, 2014. The remainder of the shares vested or will vest in 36 substantially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All shares underlying this option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660" w:right="180" w:hanging="4"/>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660" w:right="220" w:hanging="4"/>
        <w:spacing w:after="0" w:line="277"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660" w:right="20" w:hanging="4"/>
        <w:spacing w:after="0" w:line="264"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660" w:right="60" w:hanging="4"/>
        <w:spacing w:after="0" w:line="259" w:lineRule="auto"/>
        <w:tabs>
          <w:tab w:leader="none" w:pos="1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2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Keller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Keller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1" Type="http://schemas.openxmlformats.org/officeDocument/2006/relationships/hyperlink" Target="http://www.sec.gov/cgi-bin/browse-edgar?action=getcompany&amp;CIK=0001676904"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2019-12-08T18:22:44Z</dcterms:created>
  <dcterms:modified xsi:type="dcterms:W3CDTF">2019-12-08T18:22:44Z</dcterms:modified>
</cp:coreProperties>
</file>