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English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11/28/2025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21703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4"/>
              <w:spacing w:after="0"/>
              <w:rPr>
                <w:sz w:val="20"/>
                <w:szCs w:val="20"/>
                <w:color w:val="auto"/>
              </w:rPr>
            </w:pPr>
            <w:r>
              <w:rPr>
                <w:rFonts w:ascii="Times New Roman" w:cs="Times New Roman" w:eastAsia="Times New Roman" w:hAnsi="Times New Roman"/>
                <w:sz w:val="17"/>
                <w:szCs w:val="17"/>
                <w:color w:val="0000FF"/>
                <w:w w:val="98"/>
              </w:rPr>
              <w:t>11/28/2025</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7,500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62,726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11/28/2025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7,500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04/25/2031</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26,869</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currently fully vested and exercisable.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Delaware corporation which was then-known as Cartesian Therapeutics, Inc. ("Old Cartesian") in accordance with the terms of an Agreement and Plan of Merger, dated November 13, 2023. Options to purchase Old Cartesian common stock held by the reporting person were converted into options to purchase shares of the issuer's common stock in connection with the merger.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Emily</w:t>
      </w:r>
      <w:r>
        <w:rPr>
          <w:sz w:val="20"/>
          <w:szCs w:val="20"/>
          <w:color w:val="auto"/>
        </w:rPr>
        <w:tab/>
      </w:r>
      <w:r>
        <w:rPr>
          <w:rFonts w:ascii="Times New Roman" w:cs="Times New Roman" w:eastAsia="Times New Roman" w:hAnsi="Times New Roman"/>
          <w:sz w:val="16"/>
          <w:szCs w:val="16"/>
          <w:color w:val="0000FF"/>
        </w:rPr>
        <w:t>12/02/2025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7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9791"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2025-12-02T15:07:10Z</dcterms:created>
  <dcterms:modified xsi:type="dcterms:W3CDTF">2025-12-02T15:07:10Z</dcterms:modified>
</cp:coreProperties>
</file>