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June 15, 2018</w:t>
      </w:r>
    </w:p>
    <w:p>
      <w:pPr>
        <w:spacing w:after="0" w:line="200" w:lineRule="exact"/>
        <w:rPr>
          <w:sz w:val="24"/>
          <w:szCs w:val="24"/>
          <w:color w:val="auto"/>
        </w:rPr>
      </w:pPr>
    </w:p>
    <w:p>
      <w:pPr>
        <w:spacing w:after="0" w:line="2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SELECTA BIOSCIENCES,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60"/>
          </w:cols>
          <w:pgMar w:left="240" w:top="673" w:right="299" w:bottom="1440" w:gutter="0" w:footer="0" w:header="0"/>
        </w:sectPr>
      </w:pPr>
    </w:p>
    <w:p>
      <w:pPr>
        <w:spacing w:after="0" w:line="147"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7"/>
          <w:szCs w:val="17"/>
          <w:b w:val="1"/>
          <w:bCs w:val="1"/>
          <w:color w:val="auto"/>
        </w:rPr>
        <w:t>001-37798</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26-1622110</w:t>
      </w:r>
    </w:p>
    <w:p>
      <w:pPr>
        <w:spacing w:after="0" w:line="79" w:lineRule="exact"/>
        <w:rPr>
          <w:sz w:val="24"/>
          <w:szCs w:val="24"/>
          <w:color w:val="auto"/>
        </w:rPr>
      </w:pPr>
    </w:p>
    <w:p>
      <w:pPr>
        <w:sectPr>
          <w:pgSz w:w="11900" w:h="16838" w:orient="portrait"/>
          <w:cols w:equalWidth="0" w:num="3">
            <w:col w:w="4620" w:space="720"/>
            <w:col w:w="3220" w:space="720"/>
            <w:col w:w="2080"/>
          </w:cols>
          <w:pgMar w:left="240" w:top="673" w:right="29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3080" w:space="720"/>
            <w:col w:w="2320"/>
          </w:cols>
          <w:pgMar w:left="240" w:top="673" w:right="299" w:bottom="1440" w:gutter="0" w:footer="0" w:header="0"/>
          <w:type w:val="continuous"/>
        </w:sectPr>
      </w:pPr>
    </w:p>
    <w:p>
      <w:pPr>
        <w:spacing w:after="0" w:line="30"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480 Arsenal Way</w:t>
      </w:r>
    </w:p>
    <w:p>
      <w:pPr>
        <w:spacing w:after="0" w:line="3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(617) 923-1400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include area code)</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360"/>
          </w:cols>
          <w:pgMar w:left="240" w:top="673" w:right="299" w:bottom="1440" w:gutter="0" w:footer="0" w:header="0"/>
          <w:type w:val="continuous"/>
        </w:sectPr>
      </w:pPr>
    </w:p>
    <w:p>
      <w:pPr>
        <w:spacing w:after="0" w:line="200" w:lineRule="exact"/>
        <w:rPr>
          <w:sz w:val="24"/>
          <w:szCs w:val="24"/>
          <w:color w:val="auto"/>
        </w:rPr>
      </w:pPr>
    </w:p>
    <w:p>
      <w:pPr>
        <w:spacing w:after="0" w:line="234"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840" w:hanging="560"/>
        <w:spacing w:after="0"/>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33" w:lineRule="exact"/>
        <w:rPr>
          <w:rFonts w:ascii="Times New Roman" w:cs="Times New Roman" w:eastAsia="Times New Roman" w:hAnsi="Times New Roman"/>
          <w:sz w:val="18"/>
          <w:szCs w:val="18"/>
          <w:color w:val="auto"/>
        </w:rPr>
      </w:pPr>
    </w:p>
    <w:p>
      <w:pPr>
        <w:ind w:left="840" w:hanging="560"/>
        <w:spacing w:after="0"/>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33" w:lineRule="exact"/>
        <w:rPr>
          <w:rFonts w:ascii="Times New Roman" w:cs="Times New Roman" w:eastAsia="Times New Roman" w:hAnsi="Times New Roman"/>
          <w:sz w:val="18"/>
          <w:szCs w:val="18"/>
          <w:color w:val="auto"/>
        </w:rPr>
      </w:pPr>
    </w:p>
    <w:p>
      <w:pPr>
        <w:ind w:left="840" w:hanging="560"/>
        <w:spacing w:after="0"/>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33" w:lineRule="exact"/>
        <w:rPr>
          <w:rFonts w:ascii="Times New Roman" w:cs="Times New Roman" w:eastAsia="Times New Roman" w:hAnsi="Times New Roman"/>
          <w:sz w:val="18"/>
          <w:szCs w:val="18"/>
          <w:color w:val="auto"/>
        </w:rPr>
      </w:pPr>
    </w:p>
    <w:p>
      <w:pPr>
        <w:ind w:left="840" w:hanging="560"/>
        <w:spacing w:after="0"/>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2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2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60"/>
          </w:cols>
          <w:pgMar w:left="240" w:top="673"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15, 2018, Selecta Biosciences, Inc. (the “Company”) held its Annual Meeting of Stockholders. A total of 14,113,858 shares of common stock were present in person or represented by proxy at the meeting, representing approximately 63.1 percent of the Company’s outstanding common stock as of the April 20, 2018 record date. The following are the voting results for the proposals considered and voted upon at the meeting, all of which were described in the Company’s Definitive Proxy Statement filed with the Securities and Exchange Commission on April 25, 2018.</w:t>
      </w:r>
    </w:p>
    <w:p>
      <w:pPr>
        <w:spacing w:after="0" w:line="39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Item 1 - Election of three Class II directors to serve until the 2021 Annual Meeting of Stockholders, and until their respective successors have been duly elected and qualified.</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NOMINEE</w:t>
            </w:r>
          </w:p>
        </w:tc>
        <w:tc>
          <w:tcPr>
            <w:tcW w:w="27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Votes FOR</w:t>
            </w:r>
          </w:p>
        </w:tc>
        <w:tc>
          <w:tcPr>
            <w:tcW w:w="3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Votes WITHHELD</w:t>
            </w:r>
          </w:p>
        </w:tc>
        <w:tc>
          <w:tcPr>
            <w:tcW w:w="20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7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27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10,045,080</w:t>
            </w:r>
          </w:p>
        </w:tc>
        <w:tc>
          <w:tcPr>
            <w:tcW w:w="3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325,329</w:t>
            </w:r>
          </w:p>
        </w:tc>
        <w:tc>
          <w:tcPr>
            <w:tcW w:w="20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3,743,449</w:t>
            </w:r>
          </w:p>
        </w:tc>
      </w:tr>
      <w:tr>
        <w:trPr>
          <w:trHeight w:val="27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Amir Nashat, Ph.D.</w:t>
            </w:r>
          </w:p>
        </w:tc>
        <w:tc>
          <w:tcPr>
            <w:tcW w:w="27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10,016,489</w:t>
            </w:r>
          </w:p>
        </w:tc>
        <w:tc>
          <w:tcPr>
            <w:tcW w:w="3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353,920</w:t>
            </w:r>
          </w:p>
        </w:tc>
        <w:tc>
          <w:tcPr>
            <w:tcW w:w="20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3,743,449</w:t>
            </w:r>
          </w:p>
        </w:tc>
      </w:tr>
      <w:tr>
        <w:trPr>
          <w:trHeight w:val="27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Aymeric Sallin</w:t>
            </w:r>
          </w:p>
        </w:tc>
        <w:tc>
          <w:tcPr>
            <w:tcW w:w="27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10,182,457</w:t>
            </w:r>
          </w:p>
        </w:tc>
        <w:tc>
          <w:tcPr>
            <w:tcW w:w="3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187,952</w:t>
            </w:r>
          </w:p>
        </w:tc>
        <w:tc>
          <w:tcPr>
            <w:tcW w:w="20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3,743,449</w:t>
            </w:r>
          </w:p>
        </w:tc>
      </w:tr>
    </w:tbl>
    <w:p>
      <w:pPr>
        <w:spacing w:after="0" w:line="200" w:lineRule="exact"/>
        <w:rPr>
          <w:sz w:val="20"/>
          <w:szCs w:val="20"/>
          <w:color w:val="auto"/>
        </w:rPr>
      </w:pPr>
    </w:p>
    <w:p>
      <w:pPr>
        <w:spacing w:after="0" w:line="241" w:lineRule="exact"/>
        <w:rPr>
          <w:sz w:val="20"/>
          <w:szCs w:val="20"/>
          <w:color w:val="auto"/>
        </w:rPr>
      </w:pPr>
    </w:p>
    <w:p>
      <w:pPr>
        <w:jc w:val="both"/>
        <w:ind w:right="740"/>
        <w:spacing w:after="0" w:line="282" w:lineRule="auto"/>
        <w:rPr>
          <w:sz w:val="20"/>
          <w:szCs w:val="20"/>
          <w:color w:val="auto"/>
        </w:rPr>
      </w:pPr>
      <w:r>
        <w:rPr>
          <w:rFonts w:ascii="Times New Roman" w:cs="Times New Roman" w:eastAsia="Times New Roman" w:hAnsi="Times New Roman"/>
          <w:sz w:val="18"/>
          <w:szCs w:val="18"/>
          <w:color w:val="auto"/>
        </w:rPr>
        <w:t>Item 2 - Ratification of the appointment of Ernst &amp; Young LLP as the Company’s independent registered public accounting firm for the year ending December 31, 2018.</w:t>
      </w:r>
    </w:p>
    <w:p>
      <w:pPr>
        <w:sectPr>
          <w:pgSz w:w="11900" w:h="16838" w:orient="portrait"/>
          <w:cols w:equalWidth="0" w:num="1">
            <w:col w:w="11400"/>
          </w:cols>
          <w:pgMar w:left="240" w:top="1225" w:right="259" w:bottom="1440" w:gutter="0" w:footer="0" w:header="0"/>
        </w:sectPr>
      </w:pPr>
    </w:p>
    <w:p>
      <w:pPr>
        <w:spacing w:after="0" w:line="10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Votes FOR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Votes AGAINST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Votes ABSTAINED</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Broker Non-Votes</w:t>
      </w:r>
    </w:p>
    <w:p>
      <w:pPr>
        <w:spacing w:after="0" w:line="75" w:lineRule="exact"/>
        <w:rPr>
          <w:sz w:val="20"/>
          <w:szCs w:val="20"/>
          <w:color w:val="auto"/>
        </w:rPr>
      </w:pPr>
    </w:p>
    <w:p>
      <w:pPr>
        <w:sectPr>
          <w:pgSz w:w="11900" w:h="16838" w:orient="portrait"/>
          <w:cols w:equalWidth="0" w:num="4">
            <w:col w:w="2960" w:space="720"/>
            <w:col w:w="2020" w:space="720"/>
            <w:col w:w="2200" w:space="720"/>
            <w:col w:w="2060"/>
          </w:cols>
          <w:pgMar w:left="240" w:top="1225" w:right="25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7"/>
          <w:szCs w:val="17"/>
          <w:color w:val="auto"/>
        </w:rPr>
        <w:t>14,084,741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28,496</w:t>
      </w:r>
    </w:p>
    <w:p>
      <w:pPr>
        <w:spacing w:after="0" w:line="20" w:lineRule="exact"/>
        <w:rPr>
          <w:sz w:val="20"/>
          <w:szCs w:val="20"/>
          <w:color w:val="auto"/>
        </w:rPr>
      </w:pPr>
      <w:r>
        <w:rPr>
          <w:sz w:val="20"/>
          <w:szCs w:val="20"/>
          <w:color w:val="auto"/>
        </w:rPr>
        <w:br w:type="column"/>
      </w:r>
    </w:p>
    <w:p>
      <w:pPr>
        <w:jc w:val="center"/>
        <w:ind w:right="1960"/>
        <w:spacing w:after="0"/>
        <w:rPr>
          <w:sz w:val="20"/>
          <w:szCs w:val="20"/>
          <w:color w:val="auto"/>
        </w:rPr>
      </w:pPr>
      <w:r>
        <w:rPr>
          <w:rFonts w:ascii="Times New Roman" w:cs="Times New Roman" w:eastAsia="Times New Roman" w:hAnsi="Times New Roman"/>
          <w:sz w:val="17"/>
          <w:szCs w:val="17"/>
          <w:color w:val="auto"/>
        </w:rPr>
        <w:t>621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4">
            <w:col w:w="3320" w:space="720"/>
            <w:col w:w="2260" w:space="720"/>
            <w:col w:w="2220" w:space="720"/>
            <w:col w:w="1440"/>
          </w:cols>
          <w:pgMar w:left="240" w:top="1225" w:right="25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on the foregoing votes, Omid Farokhzad, M.D., Amir Nashat, Ph.D. and Aymeric Sallin were elected as Class II directors and Item 2 was approved.</w:t>
      </w:r>
    </w:p>
    <w:p>
      <w:pPr>
        <w:sectPr>
          <w:pgSz w:w="11900" w:h="16838" w:orient="portrait"/>
          <w:cols w:equalWidth="0" w:num="1">
            <w:col w:w="11400"/>
          </w:cols>
          <w:pgMar w:left="240" w:top="1225" w:right="259" w:bottom="1440" w:gutter="0" w:footer="0" w:header="0"/>
          <w:type w:val="continuous"/>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00" w:val="left"/>
          <w:tab w:leader="none" w:pos="6180" w:val="left"/>
        </w:tabs>
        <w:rPr>
          <w:sz w:val="20"/>
          <w:szCs w:val="20"/>
          <w:color w:val="auto"/>
        </w:rPr>
      </w:pPr>
      <w:r>
        <w:rPr>
          <w:rFonts w:ascii="Times New Roman" w:cs="Times New Roman" w:eastAsia="Times New Roman" w:hAnsi="Times New Roman"/>
          <w:sz w:val="18"/>
          <w:szCs w:val="18"/>
          <w:color w:val="auto"/>
        </w:rPr>
        <w:t>Date: June 19, 2018</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Werner Cautreels, Ph.D.</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1220"/>
      </w:cols>
      <w:pgMar w:left="240" w:top="79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2019-12-07T15:20:46Z</dcterms:created>
  <dcterms:modified xsi:type="dcterms:W3CDTF">2019-12-07T15:20:46Z</dcterms:modified>
</cp:coreProperties>
</file>