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8"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6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60" w:type="dxa"/>
            <w:vAlign w:val="bottom"/>
            <w:vMerge w:val="restart"/>
          </w:tcPr>
          <w:p>
            <w:pPr>
              <w:jc w:val="center"/>
              <w:ind w:right="173"/>
              <w:spacing w:after="0" w:line="142"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6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65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60" w:type="dxa"/>
            <w:vAlign w:val="bottom"/>
          </w:tcPr>
          <w:p>
            <w:pPr>
              <w:spacing w:after="0"/>
              <w:rPr>
                <w:sz w:val="6"/>
                <w:szCs w:val="6"/>
                <w:color w:val="auto"/>
              </w:rPr>
            </w:pPr>
          </w:p>
        </w:tc>
        <w:tc>
          <w:tcPr>
            <w:tcW w:w="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60" w:type="dxa"/>
            <w:vAlign w:val="bottom"/>
            <w:vMerge w:val="restart"/>
          </w:tcPr>
          <w:p>
            <w:pPr>
              <w:jc w:val="center"/>
              <w:ind w:right="1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-651510</wp:posOffset>
            </wp:positionV>
            <wp:extent cx="59690" cy="664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845"/>
                    </a:xfrm>
                    <a:prstGeom prst="rect">
                      <a:avLst/>
                    </a:prstGeom>
                    <a:noFill/>
                  </pic:spPr>
                </pic:pic>
              </a:graphicData>
            </a:graphic>
          </wp:anchor>
        </w:drawing>
        <w:drawing>
          <wp:anchor simplePos="0" relativeHeight="251657728" behindDoc="1" locked="0" layoutInCell="0" allowOverlap="1">
            <wp:simplePos x="0" y="0"/>
            <wp:positionH relativeFrom="column">
              <wp:posOffset>4152265</wp:posOffset>
            </wp:positionH>
            <wp:positionV relativeFrom="paragraph">
              <wp:posOffset>-651510</wp:posOffset>
            </wp:positionV>
            <wp:extent cx="59690" cy="664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84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20955</wp:posOffset>
            </wp:positionV>
            <wp:extent cx="7323455" cy="52863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5286375"/>
                    </a:xfrm>
                    <a:prstGeom prst="rect">
                      <a:avLst/>
                    </a:prstGeom>
                    <a:noFill/>
                  </pic:spPr>
                </pic:pic>
              </a:graphicData>
            </a:graphic>
          </wp:anchor>
        </w:drawing>
      </w:r>
    </w:p>
    <w:p>
      <w:pPr>
        <w:spacing w:after="0" w:line="41"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tbl>
      <w:tblPr>
        <w:tblLayout w:type="fixed"/>
        <w:tblInd w:w="80" w:type="dxa"/>
        <w:tblCellMar>
          <w:top w:w="0" w:type="dxa"/>
          <w:left w:w="0" w:type="dxa"/>
          <w:bottom w:w="0" w:type="dxa"/>
          <w:right w:w="0" w:type="dxa"/>
        </w:tblCellMar>
      </w:tblPr>
      <w:tr>
        <w:trPr>
          <w:trHeight w:val="253"/>
        </w:trPr>
        <w:tc>
          <w:tcPr>
            <w:tcW w:w="2580" w:type="dxa"/>
            <w:vAlign w:val="bottom"/>
            <w:gridSpan w:val="3"/>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960" w:type="dxa"/>
            <w:vAlign w:val="bottom"/>
            <w:gridSpan w:val="3"/>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8"/>
        </w:trPr>
        <w:tc>
          <w:tcPr>
            <w:tcW w:w="40" w:type="dxa"/>
            <w:vAlign w:val="bottom"/>
          </w:tcPr>
          <w:p>
            <w:pPr>
              <w:spacing w:after="0"/>
              <w:rPr>
                <w:sz w:val="16"/>
                <w:szCs w:val="16"/>
                <w:color w:val="auto"/>
              </w:rPr>
            </w:pPr>
          </w:p>
        </w:tc>
        <w:tc>
          <w:tcPr>
            <w:tcW w:w="1260" w:type="dxa"/>
            <w:vAlign w:val="bottom"/>
            <w:vMerge w:val="restart"/>
          </w:tcPr>
          <w:p>
            <w:pPr>
              <w:spacing w:after="0"/>
              <w:rPr>
                <w:rFonts w:ascii="Arial" w:cs="Arial" w:eastAsia="Arial" w:hAnsi="Arial"/>
                <w:sz w:val="21"/>
                <w:szCs w:val="21"/>
                <w:color w:val="0000EE"/>
                <w:w w:val="91"/>
              </w:rPr>
            </w:pPr>
            <w:hyperlink r:id="rId12">
              <w:r>
                <w:rPr>
                  <w:rFonts w:ascii="Arial" w:cs="Arial" w:eastAsia="Arial" w:hAnsi="Arial"/>
                  <w:sz w:val="21"/>
                  <w:szCs w:val="21"/>
                  <w:color w:val="0000EE"/>
                  <w:w w:val="91"/>
                </w:rPr>
                <w:t>Brunn Carsten</w:t>
              </w:r>
            </w:hyperlink>
          </w:p>
        </w:tc>
        <w:tc>
          <w:tcPr>
            <w:tcW w:w="12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960" w:type="dxa"/>
            <w:vAlign w:val="bottom"/>
            <w:gridSpan w:val="3"/>
          </w:tcPr>
          <w:p>
            <w:pPr>
              <w:ind w:left="60"/>
              <w:spacing w:after="0" w:line="188" w:lineRule="exact"/>
              <w:rPr>
                <w:rFonts w:ascii="Arial" w:cs="Arial" w:eastAsia="Arial" w:hAnsi="Arial"/>
                <w:sz w:val="21"/>
                <w:szCs w:val="21"/>
                <w:color w:val="0000EE"/>
              </w:rPr>
            </w:pPr>
            <w:hyperlink r:id="rId13">
              <w:r>
                <w:rPr>
                  <w:rFonts w:ascii="Arial" w:cs="Arial" w:eastAsia="Arial" w:hAnsi="Arial"/>
                  <w:sz w:val="21"/>
                  <w:szCs w:val="21"/>
                  <w:color w:val="0000EE"/>
                </w:rPr>
                <w:t xml:space="preserve">SELECTA BIOSCIENCES INC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SELB</w:t>
            </w:r>
            <w:r>
              <w:rPr>
                <w:rFonts w:ascii="Arial" w:cs="Arial" w:eastAsia="Arial" w:hAnsi="Arial"/>
                <w:sz w:val="21"/>
                <w:szCs w:val="21"/>
                <w:color w:val="0000EE"/>
              </w:rPr>
              <w:t xml:space="preserve"> </w:t>
            </w:r>
            <w:r>
              <w:rPr>
                <w:rFonts w:ascii="Arial" w:cs="Arial" w:eastAsia="Arial" w:hAnsi="Arial"/>
                <w:sz w:val="21"/>
                <w:szCs w:val="21"/>
                <w:color w:val="000000"/>
              </w:rPr>
              <w:t>]</w:t>
            </w:r>
          </w:p>
        </w:tc>
        <w:tc>
          <w:tcPr>
            <w:tcW w:w="0" w:type="dxa"/>
            <w:vAlign w:val="bottom"/>
          </w:tcPr>
          <w:p>
            <w:pPr>
              <w:spacing w:after="0"/>
              <w:rPr>
                <w:sz w:val="1"/>
                <w:szCs w:val="1"/>
                <w:color w:val="auto"/>
              </w:rPr>
            </w:pPr>
          </w:p>
        </w:tc>
      </w:tr>
      <w:tr>
        <w:trPr>
          <w:trHeight w:val="66"/>
        </w:trPr>
        <w:tc>
          <w:tcPr>
            <w:tcW w:w="40" w:type="dxa"/>
            <w:vAlign w:val="bottom"/>
          </w:tcPr>
          <w:p>
            <w:pPr>
              <w:spacing w:after="0"/>
              <w:rPr>
                <w:sz w:val="5"/>
                <w:szCs w:val="5"/>
                <w:color w:val="auto"/>
              </w:rPr>
            </w:pPr>
          </w:p>
        </w:tc>
        <w:tc>
          <w:tcPr>
            <w:tcW w:w="1260" w:type="dxa"/>
            <w:vAlign w:val="bottom"/>
            <w:tcBorders>
              <w:bottom w:val="single" w:sz="8" w:color="0000EE"/>
            </w:tcBorders>
            <w:vMerge w:val="continue"/>
          </w:tcPr>
          <w:p>
            <w:pPr>
              <w:spacing w:after="0"/>
              <w:rPr>
                <w:sz w:val="5"/>
                <w:szCs w:val="5"/>
                <w:color w:val="auto"/>
              </w:rPr>
            </w:pPr>
          </w:p>
        </w:tc>
        <w:tc>
          <w:tcPr>
            <w:tcW w:w="1280" w:type="dxa"/>
            <w:vAlign w:val="bottom"/>
          </w:tcPr>
          <w:p>
            <w:pPr>
              <w:spacing w:after="0"/>
              <w:rPr>
                <w:sz w:val="5"/>
                <w:szCs w:val="5"/>
                <w:color w:val="auto"/>
              </w:rPr>
            </w:pPr>
          </w:p>
        </w:tc>
        <w:tc>
          <w:tcPr>
            <w:tcW w:w="1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2800" w:type="dxa"/>
            <w:vAlign w:val="bottom"/>
            <w:tcBorders>
              <w:top w:val="single" w:sz="8" w:color="0000EE"/>
            </w:tcBorders>
          </w:tcPr>
          <w:p>
            <w:pPr>
              <w:spacing w:after="0"/>
              <w:rPr>
                <w:sz w:val="5"/>
                <w:szCs w:val="5"/>
                <w:color w:val="auto"/>
              </w:rPr>
            </w:pPr>
          </w:p>
        </w:tc>
        <w:tc>
          <w:tcPr>
            <w:tcW w:w="1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1260" w:type="dxa"/>
            <w:vAlign w:val="bottom"/>
            <w:tcBorders>
              <w:bottom w:val="single" w:sz="8" w:color="9A9A9A"/>
            </w:tcBorders>
          </w:tcPr>
          <w:p>
            <w:pPr>
              <w:spacing w:after="0"/>
              <w:rPr>
                <w:sz w:val="15"/>
                <w:szCs w:val="15"/>
                <w:color w:val="auto"/>
              </w:rPr>
            </w:pPr>
          </w:p>
        </w:tc>
        <w:tc>
          <w:tcPr>
            <w:tcW w:w="1280" w:type="dxa"/>
            <w:vAlign w:val="bottom"/>
            <w:tcBorders>
              <w:bottom w:val="single" w:sz="8" w:color="9A9A9A"/>
            </w:tcBorders>
          </w:tcPr>
          <w:p>
            <w:pPr>
              <w:spacing w:after="0"/>
              <w:rPr>
                <w:sz w:val="15"/>
                <w:szCs w:val="15"/>
                <w:color w:val="auto"/>
              </w:rPr>
            </w:pPr>
          </w:p>
        </w:tc>
        <w:tc>
          <w:tcPr>
            <w:tcW w:w="12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1280" w:type="dxa"/>
            <w:vAlign w:val="bottom"/>
          </w:tcPr>
          <w:p>
            <w:pPr>
              <w:spacing w:after="0"/>
              <w:rPr>
                <w:sz w:val="6"/>
                <w:szCs w:val="6"/>
                <w:color w:val="auto"/>
              </w:rPr>
            </w:pPr>
          </w:p>
        </w:tc>
        <w:tc>
          <w:tcPr>
            <w:tcW w:w="1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800" w:type="dxa"/>
            <w:vAlign w:val="bottom"/>
            <w:tcBorders>
              <w:bottom w:val="single" w:sz="8" w:color="2C2C2C"/>
            </w:tcBorders>
          </w:tcPr>
          <w:p>
            <w:pPr>
              <w:spacing w:after="0"/>
              <w:rPr>
                <w:sz w:val="6"/>
                <w:szCs w:val="6"/>
                <w:color w:val="auto"/>
              </w:rPr>
            </w:pPr>
          </w:p>
        </w:tc>
        <w:tc>
          <w:tcPr>
            <w:tcW w:w="110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40" w:type="dxa"/>
            <w:vAlign w:val="bottom"/>
          </w:tcPr>
          <w:p>
            <w:pPr>
              <w:spacing w:after="0"/>
              <w:rPr>
                <w:sz w:val="16"/>
                <w:szCs w:val="16"/>
                <w:color w:val="auto"/>
              </w:rPr>
            </w:pPr>
          </w:p>
        </w:tc>
        <w:tc>
          <w:tcPr>
            <w:tcW w:w="1260" w:type="dxa"/>
            <w:vAlign w:val="bottom"/>
          </w:tcPr>
          <w:p>
            <w:pPr>
              <w:spacing w:after="0"/>
              <w:rPr>
                <w:sz w:val="20"/>
                <w:szCs w:val="20"/>
                <w:color w:val="auto"/>
              </w:rPr>
            </w:pPr>
            <w:r>
              <w:rPr>
                <w:rFonts w:ascii="Arial" w:cs="Arial" w:eastAsia="Arial" w:hAnsi="Arial"/>
                <w:sz w:val="13"/>
                <w:szCs w:val="13"/>
                <w:color w:val="auto"/>
              </w:rPr>
              <w:t>(Last)</w:t>
            </w:r>
          </w:p>
        </w:tc>
        <w:tc>
          <w:tcPr>
            <w:tcW w:w="1280" w:type="dxa"/>
            <w:vAlign w:val="bottom"/>
          </w:tcPr>
          <w:p>
            <w:pPr>
              <w:ind w:left="20"/>
              <w:spacing w:after="0"/>
              <w:rPr>
                <w:sz w:val="20"/>
                <w:szCs w:val="20"/>
                <w:color w:val="auto"/>
              </w:rPr>
            </w:pPr>
            <w:r>
              <w:rPr>
                <w:rFonts w:ascii="Arial" w:cs="Arial" w:eastAsia="Arial" w:hAnsi="Arial"/>
                <w:sz w:val="13"/>
                <w:szCs w:val="13"/>
                <w:color w:val="auto"/>
              </w:rPr>
              <w:t>(First)</w:t>
            </w:r>
          </w:p>
        </w:tc>
        <w:tc>
          <w:tcPr>
            <w:tcW w:w="1240" w:type="dxa"/>
            <w:vAlign w:val="bottom"/>
          </w:tcPr>
          <w:p>
            <w:pPr>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6"/>
                <w:szCs w:val="16"/>
                <w:color w:val="auto"/>
              </w:rPr>
            </w:pPr>
          </w:p>
        </w:tc>
        <w:tc>
          <w:tcPr>
            <w:tcW w:w="3960" w:type="dxa"/>
            <w:vAlign w:val="bottom"/>
            <w:gridSpan w:val="3"/>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22"/>
        </w:trPr>
        <w:tc>
          <w:tcPr>
            <w:tcW w:w="40" w:type="dxa"/>
            <w:vAlign w:val="bottom"/>
          </w:tcPr>
          <w:p>
            <w:pPr>
              <w:spacing w:after="0"/>
              <w:rPr>
                <w:sz w:val="19"/>
                <w:szCs w:val="19"/>
                <w:color w:val="auto"/>
              </w:rPr>
            </w:pPr>
          </w:p>
        </w:tc>
        <w:tc>
          <w:tcPr>
            <w:tcW w:w="3780" w:type="dxa"/>
            <w:vAlign w:val="bottom"/>
            <w:gridSpan w:val="3"/>
            <w:vMerge w:val="restart"/>
          </w:tcPr>
          <w:p>
            <w:pPr>
              <w:spacing w:after="0"/>
              <w:rPr>
                <w:sz w:val="20"/>
                <w:szCs w:val="20"/>
                <w:color w:val="auto"/>
              </w:rPr>
            </w:pPr>
            <w:r>
              <w:rPr>
                <w:rFonts w:ascii="Arial" w:cs="Arial" w:eastAsia="Arial" w:hAnsi="Arial"/>
                <w:sz w:val="17"/>
                <w:szCs w:val="17"/>
                <w:color w:val="0000FF"/>
              </w:rPr>
              <w:t>C/O SELECTA BIOSCIENCES, INC.</w:t>
            </w:r>
          </w:p>
        </w:tc>
        <w:tc>
          <w:tcPr>
            <w:tcW w:w="2960" w:type="dxa"/>
            <w:vAlign w:val="bottom"/>
            <w:gridSpan w:val="3"/>
          </w:tcPr>
          <w:p>
            <w:pPr>
              <w:ind w:left="160"/>
              <w:spacing w:after="0"/>
              <w:rPr>
                <w:sz w:val="20"/>
                <w:szCs w:val="20"/>
                <w:color w:val="auto"/>
              </w:rPr>
            </w:pPr>
            <w:r>
              <w:rPr>
                <w:rFonts w:ascii="Arial" w:cs="Arial" w:eastAsia="Arial" w:hAnsi="Arial"/>
                <w:sz w:val="17"/>
                <w:szCs w:val="17"/>
                <w:color w:val="0000FF"/>
              </w:rPr>
              <w:t>12/01/2019</w:t>
            </w: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1"/>
        </w:trPr>
        <w:tc>
          <w:tcPr>
            <w:tcW w:w="40" w:type="dxa"/>
            <w:vAlign w:val="bottom"/>
          </w:tcPr>
          <w:p>
            <w:pPr>
              <w:spacing w:after="0"/>
              <w:rPr>
                <w:sz w:val="7"/>
                <w:szCs w:val="7"/>
                <w:color w:val="auto"/>
              </w:rPr>
            </w:pPr>
          </w:p>
        </w:tc>
        <w:tc>
          <w:tcPr>
            <w:tcW w:w="378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28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47" w:lineRule="exact"/>
        <w:rPr>
          <w:sz w:val="20"/>
          <w:szCs w:val="20"/>
          <w:color w:val="auto"/>
        </w:rPr>
      </w:pPr>
    </w:p>
    <w:p>
      <w:pPr>
        <w:ind w:left="120"/>
        <w:spacing w:after="0"/>
        <w:rPr>
          <w:sz w:val="20"/>
          <w:szCs w:val="20"/>
          <w:color w:val="auto"/>
        </w:rPr>
      </w:pPr>
      <w:r>
        <w:rPr>
          <w:rFonts w:ascii="Arial" w:cs="Arial" w:eastAsia="Arial" w:hAnsi="Arial"/>
          <w:sz w:val="17"/>
          <w:szCs w:val="17"/>
          <w:color w:val="0000FF"/>
        </w:rPr>
        <w:t>480 ARSENAL WAY</w:t>
      </w:r>
    </w:p>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ind w:left="3" w:right="660" w:hanging="3"/>
        <w:spacing w:after="0" w:line="256" w:lineRule="auto"/>
        <w:tabs>
          <w:tab w:leader="none" w:pos="15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9" w:lineRule="exact"/>
        <w:rPr>
          <w:sz w:val="20"/>
          <w:szCs w:val="20"/>
          <w:color w:val="auto"/>
        </w:rPr>
      </w:pPr>
    </w:p>
    <w:tbl>
      <w:tblPr>
        <w:tblLayout w:type="fixed"/>
        <w:tblInd w:w="203"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7"/>
                <w:szCs w:val="17"/>
                <w:color w:val="0000FF"/>
              </w:rPr>
              <w:t>X</w:t>
            </w:r>
          </w:p>
        </w:tc>
        <w:tc>
          <w:tcPr>
            <w:tcW w:w="142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202"/>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2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2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0"/>
          <w:szCs w:val="20"/>
          <w:color w:val="auto"/>
        </w:rPr>
      </w:pPr>
    </w:p>
    <w:p>
      <w:pPr>
        <w:jc w:val="center"/>
        <w:ind w:right="177"/>
        <w:spacing w:after="0"/>
        <w:rPr>
          <w:sz w:val="20"/>
          <w:szCs w:val="20"/>
          <w:color w:val="auto"/>
        </w:rPr>
      </w:pPr>
      <w:r>
        <w:rPr>
          <w:rFonts w:ascii="Arial" w:cs="Arial" w:eastAsia="Arial" w:hAnsi="Arial"/>
          <w:sz w:val="17"/>
          <w:szCs w:val="17"/>
          <w:color w:val="0000FF"/>
        </w:rPr>
        <w:t>President and CEO</w:t>
      </w:r>
    </w:p>
    <w:p>
      <w:pPr>
        <w:spacing w:after="0" w:line="427" w:lineRule="exact"/>
        <w:rPr>
          <w:sz w:val="20"/>
          <w:szCs w:val="20"/>
          <w:color w:val="auto"/>
        </w:rPr>
      </w:pPr>
    </w:p>
    <w:p>
      <w:pPr>
        <w:sectPr>
          <w:pgSz w:w="11900" w:h="16838" w:orient="portrait"/>
          <w:cols w:equalWidth="0" w:num="2">
            <w:col w:w="7960" w:space="77"/>
            <w:col w:w="3483"/>
          </w:cols>
          <w:pgMar w:left="240" w:top="225" w:right="139" w:bottom="1440" w:gutter="0" w:footer="0" w:header="0"/>
          <w:type w:val="continuous"/>
        </w:sectPr>
      </w:pPr>
    </w:p>
    <w:p>
      <w:pPr>
        <w:spacing w:after="0" w:line="217" w:lineRule="exact"/>
        <w:rPr>
          <w:sz w:val="20"/>
          <w:szCs w:val="20"/>
          <w:color w:val="auto"/>
        </w:rPr>
      </w:pPr>
    </w:p>
    <w:tbl>
      <w:tblPr>
        <w:tblLayout w:type="fixed"/>
        <w:tblInd w:w="80" w:type="dxa"/>
        <w:tblCellMar>
          <w:top w:w="0" w:type="dxa"/>
          <w:left w:w="0" w:type="dxa"/>
          <w:bottom w:w="0" w:type="dxa"/>
          <w:right w:w="0" w:type="dxa"/>
        </w:tblCellMar>
      </w:tblPr>
      <w:tr>
        <w:trPr>
          <w:trHeight w:val="162"/>
        </w:trPr>
        <w:tc>
          <w:tcPr>
            <w:tcW w:w="12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0"/>
        </w:trPr>
        <w:tc>
          <w:tcPr>
            <w:tcW w:w="4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Arial" w:cs="Arial" w:eastAsia="Arial" w:hAnsi="Arial"/>
                <w:sz w:val="17"/>
                <w:szCs w:val="17"/>
                <w:color w:val="0000FF"/>
              </w:rPr>
              <w:t>WATERTOWN</w:t>
            </w:r>
          </w:p>
        </w:tc>
        <w:tc>
          <w:tcPr>
            <w:tcW w:w="920" w:type="dxa"/>
            <w:vAlign w:val="bottom"/>
          </w:tcPr>
          <w:p>
            <w:pPr>
              <w:ind w:left="100"/>
              <w:spacing w:after="0"/>
              <w:rPr>
                <w:sz w:val="20"/>
                <w:szCs w:val="20"/>
                <w:color w:val="auto"/>
              </w:rPr>
            </w:pPr>
            <w:r>
              <w:rPr>
                <w:rFonts w:ascii="Arial" w:cs="Arial" w:eastAsia="Arial" w:hAnsi="Arial"/>
                <w:sz w:val="17"/>
                <w:szCs w:val="17"/>
                <w:color w:val="0000FF"/>
              </w:rPr>
              <w:t>MA</w:t>
            </w:r>
          </w:p>
        </w:tc>
        <w:tc>
          <w:tcPr>
            <w:tcW w:w="1680" w:type="dxa"/>
            <w:vAlign w:val="bottom"/>
          </w:tcPr>
          <w:p>
            <w:pPr>
              <w:ind w:left="440"/>
              <w:spacing w:after="0"/>
              <w:rPr>
                <w:sz w:val="20"/>
                <w:szCs w:val="20"/>
                <w:color w:val="auto"/>
              </w:rPr>
            </w:pPr>
            <w:r>
              <w:rPr>
                <w:rFonts w:ascii="Arial" w:cs="Arial" w:eastAsia="Arial" w:hAnsi="Arial"/>
                <w:sz w:val="17"/>
                <w:szCs w:val="17"/>
                <w:color w:val="0000FF"/>
              </w:rPr>
              <w:t>02472</w:t>
            </w:r>
          </w:p>
        </w:tc>
      </w:tr>
      <w:tr>
        <w:trPr>
          <w:trHeight w:val="156"/>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920" w:type="dxa"/>
            <w:vAlign w:val="bottom"/>
          </w:tcPr>
          <w:p>
            <w:pPr>
              <w:ind w:left="10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36" w:lineRule="auto"/>
        <w:tabs>
          <w:tab w:leader="none" w:pos="45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3" w:lineRule="exact"/>
        <w:rPr>
          <w:sz w:val="20"/>
          <w:szCs w:val="20"/>
          <w:color w:val="auto"/>
        </w:rPr>
      </w:pPr>
    </w:p>
    <w:p>
      <w:pPr>
        <w:ind w:left="4520"/>
        <w:spacing w:after="0"/>
        <w:rPr>
          <w:sz w:val="20"/>
          <w:szCs w:val="20"/>
          <w:color w:val="auto"/>
        </w:rPr>
      </w:pPr>
      <w:r>
        <w:rPr>
          <w:rFonts w:ascii="Arial" w:cs="Arial" w:eastAsia="Arial" w:hAnsi="Arial"/>
          <w:sz w:val="13"/>
          <w:szCs w:val="13"/>
          <w:color w:val="auto"/>
        </w:rPr>
        <w:t>Form filed by More than One Reporting</w:t>
      </w:r>
    </w:p>
    <w:p>
      <w:pPr>
        <w:ind w:left="4520"/>
        <w:spacing w:after="0"/>
        <w:rPr>
          <w:sz w:val="20"/>
          <w:szCs w:val="20"/>
          <w:color w:val="auto"/>
        </w:rPr>
      </w:pPr>
      <w:r>
        <w:rPr>
          <w:rFonts w:ascii="Arial" w:cs="Arial" w:eastAsia="Arial" w:hAnsi="Arial"/>
          <w:sz w:val="13"/>
          <w:szCs w:val="13"/>
          <w:color w:val="auto"/>
        </w:rPr>
        <w:t>Person</w:t>
      </w:r>
    </w:p>
    <w:p>
      <w:pPr>
        <w:spacing w:after="0" w:line="369" w:lineRule="exact"/>
        <w:rPr>
          <w:sz w:val="20"/>
          <w:szCs w:val="20"/>
          <w:color w:val="auto"/>
        </w:rPr>
      </w:pPr>
    </w:p>
    <w:p>
      <w:pPr>
        <w:sectPr>
          <w:pgSz w:w="11900" w:h="16838" w:orient="portrait"/>
          <w:cols w:equalWidth="0" w:num="2">
            <w:col w:w="3900" w:space="160"/>
            <w:col w:w="7460"/>
          </w:cols>
          <w:pgMar w:left="240" w:top="225"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2"/>
          </w:tcPr>
          <w:p>
            <w:pPr>
              <w:ind w:left="68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3"/>
                <w:szCs w:val="13"/>
                <w:color w:val="auto"/>
              </w:rPr>
            </w:pP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100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680"/>
              <w:spacing w:after="0" w:line="132"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1"/>
                <w:szCs w:val="11"/>
                <w:color w:val="auto"/>
              </w:rPr>
            </w:pPr>
          </w:p>
        </w:tc>
        <w:tc>
          <w:tcPr>
            <w:tcW w:w="106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Disposed Of (D) (Instr. 3, 4 and 5)</w:t>
            </w:r>
          </w:p>
        </w:tc>
        <w:tc>
          <w:tcPr>
            <w:tcW w:w="160" w:type="dxa"/>
            <w:vAlign w:val="bottom"/>
          </w:tcPr>
          <w:p>
            <w:pPr>
              <w:spacing w:after="0"/>
              <w:rPr>
                <w:sz w:val="11"/>
                <w:szCs w:val="11"/>
                <w:color w:val="auto"/>
              </w:rPr>
            </w:pPr>
          </w:p>
        </w:tc>
        <w:tc>
          <w:tcPr>
            <w:tcW w:w="122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Securities</w:t>
            </w:r>
          </w:p>
        </w:tc>
        <w:tc>
          <w:tcPr>
            <w:tcW w:w="100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00" w:type="dxa"/>
            <w:vAlign w:val="bottom"/>
            <w:gridSpan w:val="2"/>
          </w:tcPr>
          <w:p>
            <w:pPr>
              <w:ind w:left="680"/>
              <w:spacing w:after="0" w:line="134"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100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6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100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84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2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w w:val="98"/>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40" w:type="dxa"/>
            <w:vAlign w:val="bottom"/>
          </w:tcPr>
          <w:p>
            <w:pPr>
              <w:spacing w:after="0"/>
              <w:rPr>
                <w:sz w:val="3"/>
                <w:szCs w:val="3"/>
                <w:color w:val="auto"/>
              </w:rPr>
            </w:pPr>
          </w:p>
        </w:tc>
        <w:tc>
          <w:tcPr>
            <w:tcW w:w="8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180"/>
              <w:spacing w:after="0" w:line="134"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2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2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840" w:type="dxa"/>
            <w:vAlign w:val="bottom"/>
          </w:tcPr>
          <w:p>
            <w:pPr>
              <w:spacing w:after="0"/>
              <w:rPr>
                <w:sz w:val="5"/>
                <w:szCs w:val="5"/>
                <w:color w:val="auto"/>
              </w:rPr>
            </w:pPr>
          </w:p>
        </w:tc>
        <w:tc>
          <w:tcPr>
            <w:tcW w:w="820" w:type="dxa"/>
            <w:vAlign w:val="bottom"/>
          </w:tcPr>
          <w:p>
            <w:pPr>
              <w:spacing w:after="0"/>
              <w:rPr>
                <w:sz w:val="5"/>
                <w:szCs w:val="5"/>
                <w:color w:val="auto"/>
              </w:rPr>
            </w:pPr>
          </w:p>
        </w:tc>
        <w:tc>
          <w:tcPr>
            <w:tcW w:w="7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2"/>
          </w:tcPr>
          <w:p>
            <w:pPr>
              <w:ind w:left="780"/>
              <w:spacing w:after="0"/>
              <w:rPr>
                <w:sz w:val="20"/>
                <w:szCs w:val="20"/>
                <w:color w:val="auto"/>
              </w:rPr>
            </w:pPr>
            <w:r>
              <w:rPr>
                <w:rFonts w:ascii="Arial" w:cs="Arial" w:eastAsia="Arial" w:hAnsi="Arial"/>
                <w:sz w:val="17"/>
                <w:szCs w:val="17"/>
                <w:color w:val="0000FF"/>
              </w:rPr>
              <w:t>12/01/2019</w:t>
            </w:r>
          </w:p>
        </w:tc>
        <w:tc>
          <w:tcPr>
            <w:tcW w:w="22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M</w:t>
            </w:r>
          </w:p>
        </w:tc>
        <w:tc>
          <w:tcPr>
            <w:tcW w:w="72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rPr>
              <w:t>43,750</w:t>
            </w:r>
          </w:p>
        </w:tc>
        <w:tc>
          <w:tcPr>
            <w:tcW w:w="62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A</w:t>
            </w:r>
          </w:p>
        </w:tc>
        <w:tc>
          <w:tcPr>
            <w:tcW w:w="660" w:type="dxa"/>
            <w:vAlign w:val="bottom"/>
            <w:tcBorders>
              <w:bottom w:val="single" w:sz="8" w:color="2C2C2C"/>
            </w:tcBorders>
          </w:tcPr>
          <w:p>
            <w:pPr>
              <w:jc w:val="center"/>
              <w:ind w:right="14"/>
              <w:spacing w:after="0" w:line="321" w:lineRule="exact"/>
              <w:rPr>
                <w:sz w:val="20"/>
                <w:szCs w:val="20"/>
                <w:color w:val="auto"/>
              </w:rPr>
            </w:pPr>
            <w:r>
              <w:rPr>
                <w:rFonts w:ascii="Arial" w:cs="Arial" w:eastAsia="Arial" w:hAnsi="Arial"/>
                <w:sz w:val="34"/>
                <w:szCs w:val="34"/>
                <w:color w:val="000000"/>
                <w:vertAlign w:val="subscript"/>
              </w:rPr>
              <w:t>$</w:t>
            </w:r>
            <w:r>
              <w:rPr>
                <w:rFonts w:ascii="Arial" w:cs="Arial" w:eastAsia="Arial" w:hAnsi="Arial"/>
                <w:sz w:val="34"/>
                <w:szCs w:val="34"/>
                <w:color w:val="0000FF"/>
                <w:vertAlign w:val="subscript"/>
              </w:rPr>
              <w:t>0</w:t>
            </w:r>
            <w:r>
              <w:rPr>
                <w:rFonts w:ascii="Arial" w:cs="Arial" w:eastAsia="Arial" w:hAnsi="Arial"/>
                <w:sz w:val="11"/>
                <w:szCs w:val="11"/>
                <w:color w:val="008000"/>
              </w:rPr>
              <w:t>(1)</w:t>
            </w:r>
          </w:p>
        </w:tc>
        <w:tc>
          <w:tcPr>
            <w:tcW w:w="16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ind w:left="360"/>
              <w:spacing w:after="0"/>
              <w:rPr>
                <w:sz w:val="20"/>
                <w:szCs w:val="20"/>
                <w:color w:val="auto"/>
              </w:rPr>
            </w:pPr>
            <w:r>
              <w:rPr>
                <w:rFonts w:ascii="Arial" w:cs="Arial" w:eastAsia="Arial" w:hAnsi="Arial"/>
                <w:sz w:val="17"/>
                <w:szCs w:val="17"/>
                <w:color w:val="0000FF"/>
              </w:rPr>
              <w:t>85,186</w:t>
            </w:r>
          </w:p>
        </w:tc>
        <w:tc>
          <w:tcPr>
            <w:tcW w:w="3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2"/>
          </w:tcPr>
          <w:p>
            <w:pPr>
              <w:ind w:left="780"/>
              <w:spacing w:after="0"/>
              <w:rPr>
                <w:sz w:val="20"/>
                <w:szCs w:val="20"/>
                <w:color w:val="auto"/>
              </w:rPr>
            </w:pPr>
            <w:r>
              <w:rPr>
                <w:rFonts w:ascii="Arial" w:cs="Arial" w:eastAsia="Arial" w:hAnsi="Arial"/>
                <w:sz w:val="17"/>
                <w:szCs w:val="17"/>
                <w:color w:val="0000FF"/>
              </w:rPr>
              <w:t>12/02/2019</w:t>
            </w:r>
          </w:p>
        </w:tc>
        <w:tc>
          <w:tcPr>
            <w:tcW w:w="22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4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(2)</w:t>
            </w:r>
          </w:p>
        </w:tc>
        <w:tc>
          <w:tcPr>
            <w:tcW w:w="72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rPr>
              <w:t>14,272</w:t>
            </w:r>
          </w:p>
        </w:tc>
        <w:tc>
          <w:tcPr>
            <w:tcW w:w="62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D</w:t>
            </w:r>
          </w:p>
        </w:tc>
        <w:tc>
          <w:tcPr>
            <w:tcW w:w="8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1.5281</w:t>
            </w:r>
            <w:r>
              <w:rPr>
                <w:rFonts w:ascii="Arial" w:cs="Arial" w:eastAsia="Arial" w:hAnsi="Arial"/>
                <w:sz w:val="22"/>
                <w:szCs w:val="22"/>
                <w:color w:val="008000"/>
                <w:w w:val="93"/>
                <w:vertAlign w:val="superscript"/>
              </w:rPr>
              <w:t>(3)</w:t>
            </w:r>
          </w:p>
        </w:tc>
        <w:tc>
          <w:tcPr>
            <w:tcW w:w="1220" w:type="dxa"/>
            <w:vAlign w:val="bottom"/>
            <w:tcBorders>
              <w:bottom w:val="single" w:sz="8" w:color="2C2C2C"/>
            </w:tcBorders>
            <w:gridSpan w:val="2"/>
          </w:tcPr>
          <w:p>
            <w:pPr>
              <w:ind w:left="360"/>
              <w:spacing w:after="0"/>
              <w:rPr>
                <w:sz w:val="20"/>
                <w:szCs w:val="20"/>
                <w:color w:val="auto"/>
              </w:rPr>
            </w:pPr>
            <w:r>
              <w:rPr>
                <w:rFonts w:ascii="Arial" w:cs="Arial" w:eastAsia="Arial" w:hAnsi="Arial"/>
                <w:sz w:val="17"/>
                <w:szCs w:val="17"/>
                <w:color w:val="0000FF"/>
              </w:rPr>
              <w:t>70,914</w:t>
            </w:r>
          </w:p>
        </w:tc>
        <w:tc>
          <w:tcPr>
            <w:tcW w:w="3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0"/>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680" w:type="dxa"/>
            <w:vAlign w:val="bottom"/>
            <w:gridSpan w:val="8"/>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28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4"/>
                <w:szCs w:val="14"/>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Expiration Date</w:t>
            </w:r>
          </w:p>
        </w:tc>
        <w:tc>
          <w:tcPr>
            <w:tcW w:w="12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of Securities</w:t>
            </w: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12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Underlying</w:t>
            </w: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Derivative Security</w:t>
            </w: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 (D) (Instr.</w:t>
            </w:r>
          </w:p>
        </w:tc>
        <w:tc>
          <w:tcPr>
            <w:tcW w:w="8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8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Pr>
          <w:p>
            <w:pPr>
              <w:spacing w:after="0"/>
              <w:rPr>
                <w:sz w:val="4"/>
                <w:szCs w:val="4"/>
                <w:color w:val="auto"/>
              </w:rPr>
            </w:pPr>
          </w:p>
        </w:tc>
        <w:tc>
          <w:tcPr>
            <w:tcW w:w="62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ind w:left="10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66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60" w:type="dxa"/>
            <w:vAlign w:val="bottom"/>
          </w:tcPr>
          <w:p>
            <w:pPr>
              <w:ind w:left="10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800" w:type="dxa"/>
            <w:vAlign w:val="bottom"/>
            <w:vMerge w:val="restart"/>
          </w:tcPr>
          <w:p>
            <w:pPr>
              <w:ind w:left="340"/>
              <w:spacing w:after="0"/>
              <w:rPr>
                <w:sz w:val="20"/>
                <w:szCs w:val="20"/>
                <w:color w:val="auto"/>
              </w:rPr>
            </w:pPr>
            <w:r>
              <w:rPr>
                <w:rFonts w:ascii="Arial" w:cs="Arial" w:eastAsia="Arial" w:hAnsi="Arial"/>
                <w:sz w:val="11"/>
                <w:szCs w:val="11"/>
                <w:color w:val="008000"/>
              </w:rPr>
              <w:t>(1)</w:t>
            </w: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20" w:type="dxa"/>
            <w:vAlign w:val="bottom"/>
            <w:vMerge w:val="restart"/>
          </w:tcPr>
          <w:p>
            <w:pPr>
              <w:ind w:left="340"/>
              <w:spacing w:after="0"/>
              <w:rPr>
                <w:sz w:val="20"/>
                <w:szCs w:val="20"/>
                <w:color w:val="auto"/>
              </w:rPr>
            </w:pPr>
            <w:r>
              <w:rPr>
                <w:rFonts w:ascii="Arial" w:cs="Arial" w:eastAsia="Arial" w:hAnsi="Arial"/>
                <w:sz w:val="11"/>
                <w:szCs w:val="11"/>
                <w:color w:val="008000"/>
              </w:rPr>
              <w:t>(4)</w:t>
            </w:r>
          </w:p>
        </w:tc>
        <w:tc>
          <w:tcPr>
            <w:tcW w:w="720" w:type="dxa"/>
            <w:vAlign w:val="bottom"/>
            <w:vMerge w:val="restart"/>
          </w:tcPr>
          <w:p>
            <w:pPr>
              <w:ind w:left="300"/>
              <w:spacing w:after="0"/>
              <w:rPr>
                <w:sz w:val="20"/>
                <w:szCs w:val="20"/>
                <w:color w:val="auto"/>
              </w:rPr>
            </w:pPr>
            <w:r>
              <w:rPr>
                <w:rFonts w:ascii="Arial" w:cs="Arial" w:eastAsia="Arial" w:hAnsi="Arial"/>
                <w:sz w:val="11"/>
                <w:szCs w:val="11"/>
                <w:color w:val="008000"/>
              </w:rPr>
              <w:t>(4)</w:t>
            </w:r>
          </w:p>
        </w:tc>
        <w:tc>
          <w:tcPr>
            <w:tcW w:w="620" w:type="dxa"/>
            <w:vAlign w:val="bottom"/>
            <w:vMerge w:val="restart"/>
          </w:tcPr>
          <w:p>
            <w:pPr>
              <w:ind w:left="80"/>
              <w:spacing w:after="0"/>
              <w:rPr>
                <w:sz w:val="20"/>
                <w:szCs w:val="20"/>
                <w:color w:val="auto"/>
              </w:rPr>
            </w:pPr>
            <w:r>
              <w:rPr>
                <w:rFonts w:ascii="Arial" w:cs="Arial" w:eastAsia="Arial" w:hAnsi="Arial"/>
                <w:sz w:val="13"/>
                <w:szCs w:val="13"/>
                <w:color w:val="0000FF"/>
                <w:w w:val="98"/>
              </w:rPr>
              <w:t>Common</w:t>
            </w:r>
          </w:p>
        </w:tc>
        <w:tc>
          <w:tcPr>
            <w:tcW w:w="660" w:type="dxa"/>
            <w:vAlign w:val="bottom"/>
            <w:vMerge w:val="restart"/>
          </w:tcPr>
          <w:p>
            <w:pPr>
              <w:ind w:left="100"/>
              <w:spacing w:after="0"/>
              <w:rPr>
                <w:sz w:val="20"/>
                <w:szCs w:val="20"/>
                <w:color w:val="auto"/>
              </w:rPr>
            </w:pPr>
            <w:r>
              <w:rPr>
                <w:rFonts w:ascii="Arial" w:cs="Arial" w:eastAsia="Arial" w:hAnsi="Arial"/>
                <w:sz w:val="17"/>
                <w:szCs w:val="17"/>
                <w:color w:val="0000FF"/>
              </w:rPr>
              <w:t>43,750</w:t>
            </w: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tcPr>
          <w:p>
            <w:pPr>
              <w:ind w:left="60"/>
              <w:spacing w:after="0" w:line="132" w:lineRule="exact"/>
              <w:rPr>
                <w:sz w:val="20"/>
                <w:szCs w:val="20"/>
                <w:color w:val="auto"/>
              </w:rPr>
            </w:pPr>
            <w:r>
              <w:rPr>
                <w:rFonts w:ascii="Arial" w:cs="Arial" w:eastAsia="Arial" w:hAnsi="Arial"/>
                <w:sz w:val="13"/>
                <w:szCs w:val="13"/>
                <w:color w:val="0000FF"/>
              </w:rPr>
              <w:t>Stock</w:t>
            </w:r>
          </w:p>
        </w:tc>
        <w:tc>
          <w:tcPr>
            <w:tcW w:w="800" w:type="dxa"/>
            <w:vAlign w:val="bottom"/>
            <w:vMerge w:val="continue"/>
          </w:tcPr>
          <w:p>
            <w:pPr>
              <w:spacing w:after="0"/>
              <w:rPr>
                <w:sz w:val="11"/>
                <w:szCs w:val="11"/>
                <w:color w:val="auto"/>
              </w:rPr>
            </w:pPr>
          </w:p>
        </w:tc>
        <w:tc>
          <w:tcPr>
            <w:tcW w:w="1080" w:type="dxa"/>
            <w:vAlign w:val="bottom"/>
          </w:tcPr>
          <w:p>
            <w:pPr>
              <w:jc w:val="right"/>
              <w:ind w:right="138"/>
              <w:spacing w:after="0" w:line="132" w:lineRule="exact"/>
              <w:rPr>
                <w:sz w:val="20"/>
                <w:szCs w:val="20"/>
                <w:color w:val="auto"/>
              </w:rPr>
            </w:pPr>
            <w:r>
              <w:rPr>
                <w:rFonts w:ascii="Arial" w:cs="Arial" w:eastAsia="Arial" w:hAnsi="Arial"/>
                <w:sz w:val="13"/>
                <w:szCs w:val="13"/>
                <w:color w:val="0000FF"/>
              </w:rPr>
              <w:t>12/01/2019</w:t>
            </w:r>
          </w:p>
        </w:tc>
        <w:tc>
          <w:tcPr>
            <w:tcW w:w="1180" w:type="dxa"/>
            <w:vAlign w:val="bottom"/>
          </w:tcPr>
          <w:p>
            <w:pPr>
              <w:spacing w:after="0"/>
              <w:rPr>
                <w:sz w:val="11"/>
                <w:szCs w:val="11"/>
                <w:color w:val="auto"/>
              </w:rPr>
            </w:pPr>
          </w:p>
        </w:tc>
        <w:tc>
          <w:tcPr>
            <w:tcW w:w="620" w:type="dxa"/>
            <w:vAlign w:val="bottom"/>
          </w:tcPr>
          <w:p>
            <w:pPr>
              <w:ind w:left="160"/>
              <w:spacing w:after="0" w:line="132" w:lineRule="exact"/>
              <w:rPr>
                <w:sz w:val="20"/>
                <w:szCs w:val="20"/>
                <w:color w:val="auto"/>
              </w:rPr>
            </w:pPr>
            <w:r>
              <w:rPr>
                <w:rFonts w:ascii="Arial" w:cs="Arial" w:eastAsia="Arial" w:hAnsi="Arial"/>
                <w:sz w:val="13"/>
                <w:szCs w:val="13"/>
                <w:color w:val="0000FF"/>
              </w:rPr>
              <w:t>M</w:t>
            </w:r>
          </w:p>
        </w:tc>
        <w:tc>
          <w:tcPr>
            <w:tcW w:w="220" w:type="dxa"/>
            <w:vAlign w:val="bottom"/>
          </w:tcPr>
          <w:p>
            <w:pPr>
              <w:spacing w:after="0"/>
              <w:rPr>
                <w:sz w:val="11"/>
                <w:szCs w:val="11"/>
                <w:color w:val="auto"/>
              </w:rPr>
            </w:pPr>
          </w:p>
        </w:tc>
        <w:tc>
          <w:tcPr>
            <w:tcW w:w="840" w:type="dxa"/>
            <w:vAlign w:val="bottom"/>
          </w:tcPr>
          <w:p>
            <w:pPr>
              <w:ind w:left="400"/>
              <w:spacing w:after="0" w:line="132" w:lineRule="exact"/>
              <w:rPr>
                <w:sz w:val="20"/>
                <w:szCs w:val="20"/>
                <w:color w:val="auto"/>
              </w:rPr>
            </w:pPr>
            <w:r>
              <w:rPr>
                <w:rFonts w:ascii="Arial" w:cs="Arial" w:eastAsia="Arial" w:hAnsi="Arial"/>
                <w:sz w:val="13"/>
                <w:szCs w:val="13"/>
                <w:color w:val="0000FF"/>
              </w:rPr>
              <w:t>43,750</w:t>
            </w:r>
          </w:p>
        </w:tc>
        <w:tc>
          <w:tcPr>
            <w:tcW w:w="82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ind w:left="120"/>
              <w:spacing w:after="0" w:line="132"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00" w:type="dxa"/>
            <w:vAlign w:val="bottom"/>
            <w:gridSpan w:val="2"/>
          </w:tcPr>
          <w:p>
            <w:pPr>
              <w:ind w:left="200"/>
              <w:spacing w:after="0" w:line="132" w:lineRule="exact"/>
              <w:rPr>
                <w:sz w:val="20"/>
                <w:szCs w:val="20"/>
                <w:color w:val="auto"/>
              </w:rPr>
            </w:pPr>
            <w:r>
              <w:rPr>
                <w:rFonts w:ascii="Arial" w:cs="Arial" w:eastAsia="Arial" w:hAnsi="Arial"/>
                <w:sz w:val="13"/>
                <w:szCs w:val="13"/>
                <w:color w:val="0000FF"/>
              </w:rPr>
              <w:t>131,250</w:t>
            </w:r>
          </w:p>
        </w:tc>
        <w:tc>
          <w:tcPr>
            <w:tcW w:w="700" w:type="dxa"/>
            <w:vAlign w:val="bottom"/>
          </w:tcPr>
          <w:p>
            <w:pPr>
              <w:ind w:left="340"/>
              <w:spacing w:after="0" w:line="132"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vMerge w:val="restart"/>
          </w:tcPr>
          <w:p>
            <w:pPr>
              <w:ind w:left="60"/>
              <w:spacing w:after="0"/>
              <w:rPr>
                <w:sz w:val="20"/>
                <w:szCs w:val="20"/>
                <w:color w:val="auto"/>
              </w:rPr>
            </w:pPr>
            <w:r>
              <w:rPr>
                <w:rFonts w:ascii="Arial" w:cs="Arial" w:eastAsia="Arial" w:hAnsi="Arial"/>
                <w:sz w:val="13"/>
                <w:szCs w:val="13"/>
                <w:color w:val="0000FF"/>
              </w:rPr>
              <w:t>Units</w:t>
            </w:r>
          </w:p>
        </w:tc>
        <w:tc>
          <w:tcPr>
            <w:tcW w:w="8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20" w:type="dxa"/>
            <w:vAlign w:val="bottom"/>
          </w:tcPr>
          <w:p>
            <w:pPr>
              <w:ind w:left="180"/>
              <w:spacing w:after="0" w:line="148" w:lineRule="exact"/>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40" w:type="dxa"/>
            <w:vAlign w:val="bottom"/>
          </w:tcPr>
          <w:p>
            <w:pPr>
              <w:spacing w:after="0"/>
              <w:rPr>
                <w:sz w:val="3"/>
                <w:szCs w:val="3"/>
                <w:color w:val="auto"/>
              </w:rPr>
            </w:pPr>
          </w:p>
        </w:tc>
        <w:tc>
          <w:tcPr>
            <w:tcW w:w="8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9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restricted stock unit represents a contingent right to receive one share of common stock.</w:t>
      </w:r>
    </w:p>
    <w:p>
      <w:pPr>
        <w:spacing w:after="0" w:line="51"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Shares sold to satisfy withholding tax obligations upon the vesting of restricted stock units and to cover related broker fees.</w:t>
      </w:r>
    </w:p>
    <w:p>
      <w:pPr>
        <w:spacing w:after="0" w:line="51" w:lineRule="exact"/>
        <w:rPr>
          <w:rFonts w:ascii="Arial" w:cs="Arial" w:eastAsia="Arial" w:hAnsi="Arial"/>
          <w:sz w:val="13"/>
          <w:szCs w:val="13"/>
          <w:color w:val="008000"/>
        </w:rPr>
      </w:pPr>
    </w:p>
    <w:p>
      <w:pPr>
        <w:ind w:left="40" w:right="30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is a weighted average price. The shares were sold in multiple transactions at per share prices ranging from $1.50 to $1.57. The Reporting Person undertakes to provide upon request to the SEC staff, the Issuer, or any stockholder of the Issuer, full information regarding the number of shares sold at each separate price within the range set forth in this footnote.</w:t>
      </w:r>
    </w:p>
    <w:p>
      <w:pPr>
        <w:spacing w:after="0" w:line="10" w:lineRule="exact"/>
        <w:rPr>
          <w:rFonts w:ascii="Arial" w:cs="Arial" w:eastAsia="Arial" w:hAnsi="Arial"/>
          <w:sz w:val="13"/>
          <w:szCs w:val="13"/>
          <w:color w:val="008000"/>
        </w:rPr>
      </w:pPr>
    </w:p>
    <w:p>
      <w:pPr>
        <w:ind w:left="40" w:right="58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These restricted stock units vested as to 25% on December 1, 2019. The remainder of the units will vest in twelve substantially equal quarterly installments thereafter. The restricted stock units have no expiration date.</w:t>
      </w:r>
    </w:p>
    <w:p>
      <w:pPr>
        <w:spacing w:after="0" w:line="2"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51" w:lineRule="exact"/>
        <w:rPr>
          <w:sz w:val="20"/>
          <w:szCs w:val="20"/>
          <w:color w:val="auto"/>
        </w:rPr>
      </w:pPr>
    </w:p>
    <w:p>
      <w:pPr>
        <w:ind w:left="6860"/>
        <w:spacing w:after="0"/>
        <w:rPr>
          <w:sz w:val="20"/>
          <w:szCs w:val="20"/>
          <w:color w:val="auto"/>
        </w:rPr>
      </w:pPr>
      <w:r>
        <w:rPr>
          <w:rFonts w:ascii="Arial" w:cs="Arial" w:eastAsia="Arial" w:hAnsi="Arial"/>
          <w:sz w:val="17"/>
          <w:szCs w:val="17"/>
          <w:color w:val="0000FF"/>
        </w:rPr>
        <w:t>/s/ Matthew Bartholomae,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-7620</wp:posOffset>
            </wp:positionV>
            <wp:extent cx="115443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154430" cy="8255"/>
                    </a:xfrm>
                    <a:prstGeom prst="rect">
                      <a:avLst/>
                    </a:prstGeom>
                    <a:noFill/>
                  </pic:spPr>
                </pic:pic>
              </a:graphicData>
            </a:graphic>
          </wp:anchor>
        </w:drawing>
      </w:r>
    </w:p>
    <w:p>
      <w:pPr>
        <w:spacing w:after="0" w:line="6" w:lineRule="exact"/>
        <w:rPr>
          <w:sz w:val="20"/>
          <w:szCs w:val="20"/>
          <w:color w:val="auto"/>
        </w:rPr>
      </w:pPr>
    </w:p>
    <w:p>
      <w:pPr>
        <w:ind w:left="6860"/>
        <w:spacing w:after="0"/>
        <w:tabs>
          <w:tab w:leader="none" w:pos="9140" w:val="left"/>
        </w:tabs>
        <w:rPr>
          <w:sz w:val="20"/>
          <w:szCs w:val="20"/>
          <w:color w:val="auto"/>
        </w:rPr>
      </w:pPr>
      <w:r>
        <w:rPr>
          <w:rFonts w:ascii="Arial" w:cs="Arial" w:eastAsia="Arial" w:hAnsi="Arial"/>
          <w:sz w:val="17"/>
          <w:szCs w:val="17"/>
          <w:color w:val="0000FF"/>
        </w:rPr>
        <w:t>Attorney-in-Fact for Carsten</w:t>
      </w:r>
      <w:r>
        <w:rPr>
          <w:sz w:val="20"/>
          <w:szCs w:val="20"/>
          <w:color w:val="auto"/>
        </w:rPr>
        <w:tab/>
      </w:r>
      <w:r>
        <w:rPr>
          <w:rFonts w:ascii="Arial" w:cs="Arial" w:eastAsia="Arial" w:hAnsi="Arial"/>
          <w:sz w:val="15"/>
          <w:szCs w:val="15"/>
          <w:color w:val="0000FF"/>
        </w:rPr>
        <w:t>12/03/2019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-11430</wp:posOffset>
            </wp:positionV>
            <wp:extent cx="195453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4530" cy="8255"/>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7"/>
          <w:szCs w:val="17"/>
          <w:color w:val="0000FF"/>
        </w:rPr>
        <w:t>Brunn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-11430</wp:posOffset>
            </wp:positionV>
            <wp:extent cx="2768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76860" cy="8255"/>
                    </a:xfrm>
                    <a:prstGeom prst="rect">
                      <a:avLst/>
                    </a:prstGeom>
                    <a:noFill/>
                  </pic:spPr>
                </pic:pic>
              </a:graphicData>
            </a:graphic>
          </wp:anchor>
        </w:drawing>
      </w:r>
    </w:p>
    <w:p>
      <w:pPr>
        <w:spacing w:after="0" w:line="54" w:lineRule="exact"/>
        <w:rPr>
          <w:sz w:val="20"/>
          <w:szCs w:val="20"/>
          <w:color w:val="auto"/>
        </w:rPr>
      </w:pPr>
    </w:p>
    <w:p>
      <w:pPr>
        <w:ind w:left="6860"/>
        <w:spacing w:after="0"/>
        <w:tabs>
          <w:tab w:leader="none" w:pos="91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2"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0"/>
          <w:szCs w:val="20"/>
          <w:color w:val="auto"/>
        </w:rPr>
      </w:pPr>
    </w:p>
    <w:p>
      <w:pPr>
        <w:jc w:val="both"/>
        <w:ind w:left="40" w:right="372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760229" TargetMode="External"/><Relationship Id="rId13" Type="http://schemas.openxmlformats.org/officeDocument/2006/relationships/hyperlink" Target="http://www.sec.gov/cgi-bin/browse-edgar?action=getcompany&amp;CIK=0001453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2019-12-03T15:45:20Z</dcterms:created>
  <dcterms:modified xsi:type="dcterms:W3CDTF">2019-12-03T15:45:20Z</dcterms:modified>
</cp:coreProperties>
</file>