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November 6, 2025</w:t>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CARTESIAN THERAPEUTICS, INC.</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42" w:lineRule="exact"/>
        <w:rPr>
          <w:sz w:val="24"/>
          <w:szCs w:val="24"/>
          <w:color w:val="auto"/>
        </w:rPr>
      </w:pPr>
    </w:p>
    <w:tbl>
      <w:tblPr>
        <w:tblLayout w:type="fixed"/>
        <w:tblInd w:w="780" w:type="dxa"/>
        <w:tblCellMar>
          <w:top w:w="0" w:type="dxa"/>
          <w:left w:w="0" w:type="dxa"/>
          <w:bottom w:w="0" w:type="dxa"/>
          <w:right w:w="0" w:type="dxa"/>
        </w:tblCellMar>
      </w:tblPr>
      <w:tr>
        <w:trPr>
          <w:trHeight w:val="233"/>
        </w:trPr>
        <w:tc>
          <w:tcPr>
            <w:tcW w:w="246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9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001-37798</w:t>
            </w:r>
          </w:p>
        </w:tc>
        <w:tc>
          <w:tcPr>
            <w:tcW w:w="1960" w:type="dxa"/>
            <w:vAlign w:val="bottom"/>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8"/>
              </w:rPr>
              <w:t>26-1622110</w:t>
            </w:r>
          </w:p>
        </w:tc>
      </w:tr>
      <w:tr>
        <w:trPr>
          <w:trHeight w:val="180"/>
        </w:trPr>
        <w:tc>
          <w:tcPr>
            <w:tcW w:w="2460" w:type="dxa"/>
            <w:vAlign w:val="bottom"/>
          </w:tcPr>
          <w:p>
            <w:pPr>
              <w:jc w:val="center"/>
              <w:ind w:right="490"/>
              <w:spacing w:after="0" w:line="181"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4960" w:type="dxa"/>
            <w:vAlign w:val="bottom"/>
          </w:tcPr>
          <w:p>
            <w:pPr>
              <w:jc w:val="center"/>
              <w:ind w:right="130"/>
              <w:spacing w:after="0" w:line="181" w:lineRule="exact"/>
              <w:rPr>
                <w:sz w:val="20"/>
                <w:szCs w:val="20"/>
                <w:color w:val="auto"/>
              </w:rPr>
            </w:pPr>
            <w:r>
              <w:rPr>
                <w:rFonts w:ascii="Times New Roman" w:cs="Times New Roman" w:eastAsia="Times New Roman" w:hAnsi="Times New Roman"/>
                <w:sz w:val="18"/>
                <w:szCs w:val="18"/>
                <w:color w:val="auto"/>
              </w:rPr>
              <w:t>(Commission</w:t>
            </w:r>
          </w:p>
        </w:tc>
        <w:tc>
          <w:tcPr>
            <w:tcW w:w="1960" w:type="dxa"/>
            <w:vAlign w:val="bottom"/>
          </w:tcPr>
          <w:p>
            <w:pPr>
              <w:jc w:val="center"/>
              <w:ind w:left="530"/>
              <w:spacing w:after="0" w:line="18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46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49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File Number)</w:t>
            </w:r>
          </w:p>
        </w:tc>
        <w:tc>
          <w:tcPr>
            <w:tcW w:w="196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22"/>
        </w:trPr>
        <w:tc>
          <w:tcPr>
            <w:tcW w:w="2460" w:type="dxa"/>
            <w:vAlign w:val="bottom"/>
          </w:tcPr>
          <w:p>
            <w:pPr>
              <w:spacing w:after="0"/>
              <w:rPr>
                <w:sz w:val="24"/>
                <w:szCs w:val="24"/>
                <w:color w:val="auto"/>
              </w:rPr>
            </w:pPr>
          </w:p>
        </w:tc>
        <w:tc>
          <w:tcPr>
            <w:tcW w:w="49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7495 New Horizon Way, Frederick, MD 21703</w:t>
            </w:r>
          </w:p>
        </w:tc>
        <w:tc>
          <w:tcPr>
            <w:tcW w:w="1960" w:type="dxa"/>
            <w:vAlign w:val="bottom"/>
          </w:tcPr>
          <w:p>
            <w:pPr>
              <w:spacing w:after="0"/>
              <w:rPr>
                <w:sz w:val="24"/>
                <w:szCs w:val="24"/>
                <w:color w:val="auto"/>
              </w:rPr>
            </w:pPr>
          </w:p>
        </w:tc>
      </w:tr>
      <w:tr>
        <w:trPr>
          <w:trHeight w:val="234"/>
        </w:trPr>
        <w:tc>
          <w:tcPr>
            <w:tcW w:w="2460" w:type="dxa"/>
            <w:vAlign w:val="bottom"/>
          </w:tcPr>
          <w:p>
            <w:pPr>
              <w:spacing w:after="0"/>
              <w:rPr>
                <w:sz w:val="20"/>
                <w:szCs w:val="20"/>
                <w:color w:val="auto"/>
              </w:rPr>
            </w:pPr>
          </w:p>
        </w:tc>
        <w:tc>
          <w:tcPr>
            <w:tcW w:w="49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(Address of principal executive offices)(Zip Code)</w:t>
            </w:r>
          </w:p>
        </w:tc>
        <w:tc>
          <w:tcPr>
            <w:tcW w:w="1960" w:type="dxa"/>
            <w:vAlign w:val="bottom"/>
          </w:tcPr>
          <w:p>
            <w:pPr>
              <w:spacing w:after="0"/>
              <w:rPr>
                <w:sz w:val="20"/>
                <w:szCs w:val="20"/>
                <w:color w:val="auto"/>
              </w:rPr>
            </w:pPr>
          </w:p>
        </w:tc>
      </w:tr>
      <w:tr>
        <w:trPr>
          <w:trHeight w:val="414"/>
        </w:trPr>
        <w:tc>
          <w:tcPr>
            <w:tcW w:w="2460" w:type="dxa"/>
            <w:vAlign w:val="bottom"/>
          </w:tcPr>
          <w:p>
            <w:pPr>
              <w:spacing w:after="0"/>
              <w:rPr>
                <w:sz w:val="24"/>
                <w:szCs w:val="24"/>
                <w:color w:val="auto"/>
              </w:rPr>
            </w:pPr>
          </w:p>
        </w:tc>
        <w:tc>
          <w:tcPr>
            <w:tcW w:w="49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(301) 348-8698</w:t>
            </w:r>
          </w:p>
        </w:tc>
        <w:tc>
          <w:tcPr>
            <w:tcW w:w="1960" w:type="dxa"/>
            <w:vAlign w:val="bottom"/>
          </w:tcPr>
          <w:p>
            <w:pPr>
              <w:spacing w:after="0"/>
              <w:rPr>
                <w:sz w:val="24"/>
                <w:szCs w:val="24"/>
                <w:color w:val="auto"/>
              </w:rPr>
            </w:pPr>
          </w:p>
        </w:tc>
      </w:tr>
      <w:tr>
        <w:trPr>
          <w:trHeight w:val="234"/>
        </w:trPr>
        <w:tc>
          <w:tcPr>
            <w:tcW w:w="2460" w:type="dxa"/>
            <w:vAlign w:val="bottom"/>
          </w:tcPr>
          <w:p>
            <w:pPr>
              <w:spacing w:after="0"/>
              <w:rPr>
                <w:sz w:val="20"/>
                <w:szCs w:val="20"/>
                <w:color w:val="auto"/>
              </w:rPr>
            </w:pPr>
          </w:p>
        </w:tc>
        <w:tc>
          <w:tcPr>
            <w:tcW w:w="49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196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85" w:lineRule="exact"/>
        <w:rPr>
          <w:sz w:val="24"/>
          <w:szCs w:val="24"/>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8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65" w:lineRule="exact"/>
        <w:rPr>
          <w:sz w:val="24"/>
          <w:szCs w:val="24"/>
          <w:color w:val="auto"/>
        </w:rPr>
      </w:pPr>
    </w:p>
    <w:tbl>
      <w:tblPr>
        <w:tblLayout w:type="fixed"/>
        <w:tblInd w:w="50" w:type="dxa"/>
        <w:tblCellMar>
          <w:top w:w="0" w:type="dxa"/>
          <w:left w:w="0" w:type="dxa"/>
          <w:bottom w:w="0" w:type="dxa"/>
          <w:right w:w="0" w:type="dxa"/>
        </w:tblCellMar>
      </w:tblPr>
      <w:tr>
        <w:trPr>
          <w:trHeight w:val="243"/>
        </w:trPr>
        <w:tc>
          <w:tcPr>
            <w:tcW w:w="45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5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w:t>
            </w: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RNAC</w:t>
            </w:r>
          </w:p>
        </w:tc>
        <w:tc>
          <w:tcPr>
            <w:tcW w:w="4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333"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252"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770255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80010</wp:posOffset>
            </wp:positionV>
            <wp:extent cx="70980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wp:posOffset>
            </wp:positionV>
            <wp:extent cx="70980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08"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On November 6, 2025, Cartesian Therapeutics, Inc. (the “Company”) announced its financial results for the quarter ended September 30, 2025. The full text of the press release issued in connection with the announcement is furnished as Exhibit 99.1 to this Current Report on Form 8-K.</w:t>
      </w:r>
    </w:p>
    <w:p>
      <w:pPr>
        <w:spacing w:after="0" w:line="54"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The information in Item 2.02 of this Form 8-K,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 Exhibits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60" w:type="dxa"/>
            <w:vAlign w:val="bottom"/>
          </w:tcPr>
          <w:p>
            <w:pPr>
              <w:spacing w:after="0"/>
              <w:rPr>
                <w:sz w:val="13"/>
                <w:szCs w:val="13"/>
                <w:color w:val="auto"/>
              </w:rPr>
            </w:pPr>
          </w:p>
        </w:tc>
        <w:tc>
          <w:tcPr>
            <w:tcW w:w="9440" w:type="dxa"/>
            <w:vAlign w:val="bottom"/>
            <w:gridSpan w:val="2"/>
            <w:vMerge w:val="restart"/>
          </w:tcPr>
          <w:p>
            <w:pPr>
              <w:ind w:left="41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95"/>
        </w:trPr>
        <w:tc>
          <w:tcPr>
            <w:tcW w:w="4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No.</w:t>
            </w:r>
          </w:p>
        </w:tc>
        <w:tc>
          <w:tcPr>
            <w:tcW w:w="560" w:type="dxa"/>
            <w:vAlign w:val="bottom"/>
          </w:tcPr>
          <w:p>
            <w:pPr>
              <w:spacing w:after="0"/>
              <w:rPr>
                <w:sz w:val="16"/>
                <w:szCs w:val="16"/>
                <w:color w:val="auto"/>
              </w:rPr>
            </w:pPr>
          </w:p>
        </w:tc>
        <w:tc>
          <w:tcPr>
            <w:tcW w:w="94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17"/>
        </w:trPr>
        <w:tc>
          <w:tcPr>
            <w:tcW w:w="124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100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0000FF"/>
              </w:rPr>
              <w:t>Press release of Cartesian Therapeutics, Inc. issued on November 6, 2025.</w:t>
            </w: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340" w:type="dxa"/>
            <w:vAlign w:val="bottom"/>
            <w:shd w:val="clear" w:color="auto" w:fill="0000FF"/>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460" w:type="dxa"/>
            <w:vAlign w:val="bottom"/>
          </w:tcPr>
          <w:p>
            <w:pPr>
              <w:spacing w:after="0"/>
              <w:rPr>
                <w:sz w:val="21"/>
                <w:szCs w:val="21"/>
                <w:color w:val="auto"/>
              </w:rPr>
            </w:pPr>
          </w:p>
        </w:tc>
        <w:tc>
          <w:tcPr>
            <w:tcW w:w="100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965"/>
        </w:trPr>
        <w:tc>
          <w:tcPr>
            <w:tcW w:w="4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5340" w:type="dxa"/>
            <w:vAlign w:val="bottom"/>
            <w:tcBorders>
              <w:bottom w:val="single" w:sz="8" w:color="9A9A9A"/>
            </w:tcBorders>
          </w:tcPr>
          <w:p>
            <w:pPr>
              <w:spacing w:after="0"/>
              <w:rPr>
                <w:sz w:val="24"/>
                <w:szCs w:val="24"/>
                <w:color w:val="auto"/>
              </w:rPr>
            </w:pPr>
          </w:p>
        </w:tc>
        <w:tc>
          <w:tcPr>
            <w:tcW w:w="4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756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CARTESIAN THERAPEUTICS, INC.</w:t>
            </w:r>
          </w:p>
        </w:tc>
      </w:tr>
      <w:tr>
        <w:trPr>
          <w:trHeight w:val="688"/>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6, 2025</w:t>
            </w:r>
          </w:p>
        </w:tc>
        <w:tc>
          <w:tcPr>
            <w:tcW w:w="242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Carsten Brunn, Ph.D.</w:t>
            </w:r>
          </w:p>
        </w:tc>
      </w:tr>
      <w:tr>
        <w:trPr>
          <w:trHeight w:val="218"/>
        </w:trPr>
        <w:tc>
          <w:tcPr>
            <w:tcW w:w="36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Carsten Brunn, Ph.D.</w:t>
            </w:r>
          </w:p>
        </w:tc>
      </w:tr>
      <w:tr>
        <w:trPr>
          <w:trHeight w:val="234"/>
        </w:trPr>
        <w:tc>
          <w:tcPr>
            <w:tcW w:w="36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00"/>
          </w:cols>
          <w:pgMar w:left="320" w:top="765"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19685</wp:posOffset>
            </wp:positionV>
            <wp:extent cx="2031365" cy="5054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31365" cy="50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b w:val="1"/>
          <w:bCs w:val="1"/>
          <w:color w:val="auto"/>
        </w:rPr>
        <w:t>Cartesian Therapeutics Reports Third Quarter 2025 Financial Results and Provides Business Update</w:t>
      </w:r>
    </w:p>
    <w:p>
      <w:pPr>
        <w:spacing w:after="0" w:line="173"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i w:val="1"/>
          <w:iCs w:val="1"/>
          <w:color w:val="auto"/>
        </w:rPr>
        <w:t>Enrollment on track in Phase 3 AURORA trial of Descartes-08 in myasthenia gravis</w:t>
      </w:r>
    </w:p>
    <w:p>
      <w:pPr>
        <w:spacing w:after="0" w:line="171"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i w:val="1"/>
          <w:iCs w:val="1"/>
          <w:color w:val="auto"/>
        </w:rPr>
        <w:t>Preliminary data from Phase 2 trial of Descartes-08 in systemic lupus erythematosus expected by end of year</w:t>
      </w:r>
    </w:p>
    <w:p>
      <w:pPr>
        <w:spacing w:after="0" w:line="17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i w:val="1"/>
          <w:iCs w:val="1"/>
          <w:color w:val="auto"/>
        </w:rPr>
        <w:t>Initiation of Phase 2 pediatric basket trial of Descartes-08 in select autoimmune indications expected by end of year</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Approximately $145.1 million cash, cash equivalents and restricted cash as of September 30, 2025, expected to support planned operations into mid-2027,</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including completion of ongoing Phase 3 AURORA trial</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Frederick, Md., November 6, 2025 (GLOBE NEWSWIRE) – Cartesian Therapeutics, Inc. (NASDAQ: RNAC) (“we”, the “Company” or “Cartesian”), a clinical-stage biotechnology company pioneering cell therapy for autoimmune diseases, today reported financial results for the third quarter ended September 30, 2025, and outlined recent corporate updates.</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we approach the end of what has been a productive year of meaningful progress in our mission to deliver transformative therapies for patients with autoimmune diseases, we remain focused on driving continued execution and enrollment in our Phase 3 AURORA trial of Descartes-08 in myasthenia gravis (MG),” said Carsten Brunn, Ph.D., President and Chief Executive Officer of Cartesian. “Supported by compelling results from our Phase 2b trial in which we observed deep and sustained benefits at Month 12 following a single course of therapy, we firmly believe Descartes-08, if approved, has the potential to serve as an impactful new therapy for patients with MG that can be administered safely in the outpatient setting and without the need for preconditioning chemotherapy. Beyond MG, we remain on track to share preliminary data from our ongoing Phase 2 trial of Descartes-08 in patients with systemic lupus erythematosus (SLE) and to initiate a pediatric basket trial in select autoimmune indications by the end of this year.”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Pipeline Progress and Anticipated Milestones</w:t>
      </w:r>
    </w:p>
    <w:p>
      <w:pPr>
        <w:spacing w:after="0" w:line="171" w:lineRule="exact"/>
        <w:rPr>
          <w:sz w:val="20"/>
          <w:szCs w:val="20"/>
          <w:color w:val="auto"/>
        </w:rPr>
      </w:pPr>
    </w:p>
    <w:p>
      <w:pPr>
        <w:jc w:val="both"/>
        <w:ind w:left="340" w:hanging="332"/>
        <w:spacing w:after="0" w:line="257" w:lineRule="auto"/>
        <w:tabs>
          <w:tab w:leader="none" w:pos="3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Enrollment On Track in the Phase 3 AURORA Trial of Descartes-08 in Participants with MG. </w:t>
      </w:r>
      <w:r>
        <w:rPr>
          <w:rFonts w:ascii="Times New Roman" w:cs="Times New Roman" w:eastAsia="Times New Roman" w:hAnsi="Times New Roman"/>
          <w:sz w:val="18"/>
          <w:szCs w:val="18"/>
          <w:color w:val="auto"/>
        </w:rPr>
        <w:t>The randomized, double-blind, placebo-controlled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Phase 3 AURORA trial is designed to assess Descartes-08, Cartesian’s autologous anti-B cell maturation antigen (BCMA) chimeric antigen receptor T-cell therapy (CAR-T) versus placebo (1:1 randomization) administered as six once-weekly outpatient infusions without preconditioning chemotherapy in approximately 100 participants with acetylcholine receptor autoantibody positive (AChR Ab+) MG. The primary endpoint will assess the proportion of Descartes-08 participants with an improvement in MG Activities of Daily Living (MG-ADL) score of three points or more at Month 4 compared to placebo.</w:t>
      </w:r>
    </w:p>
    <w:p>
      <w:pPr>
        <w:spacing w:after="0" w:line="128" w:lineRule="exact"/>
        <w:rPr>
          <w:rFonts w:ascii="Times New Roman" w:cs="Times New Roman" w:eastAsia="Times New Roman" w:hAnsi="Times New Roman"/>
          <w:sz w:val="18"/>
          <w:szCs w:val="18"/>
          <w:color w:val="auto"/>
        </w:rPr>
      </w:pPr>
    </w:p>
    <w:p>
      <w:pPr>
        <w:jc w:val="both"/>
        <w:ind w:left="340" w:hanging="332"/>
        <w:spacing w:after="0" w:line="262" w:lineRule="auto"/>
        <w:tabs>
          <w:tab w:leader="none" w:pos="3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Preliminary Data from Ongoing Phase 2 Open-Label Trial of Descartes-08 in Patients with SLE Expected by End of Year. </w:t>
      </w:r>
      <w:r>
        <w:rPr>
          <w:rFonts w:ascii="Times New Roman" w:cs="Times New Roman" w:eastAsia="Times New Roman" w:hAnsi="Times New Roman"/>
          <w:sz w:val="18"/>
          <w:szCs w:val="18"/>
          <w:color w:val="auto"/>
        </w:rPr>
        <w:t>The trial is designed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assess the safety, tolerability and clinical activity of outpatient Descartes-08 administration without preconditioning chemotherapy in patients with SLE. SLE is an incurable autoimmune disease marked by systemic inflammation that affects multiple organ systems and impacts approximately 1.5 million people in the United States.</w:t>
      </w:r>
    </w:p>
    <w:p>
      <w:pPr>
        <w:spacing w:after="0" w:line="122" w:lineRule="exact"/>
        <w:rPr>
          <w:rFonts w:ascii="Times New Roman" w:cs="Times New Roman" w:eastAsia="Times New Roman" w:hAnsi="Times New Roman"/>
          <w:sz w:val="18"/>
          <w:szCs w:val="18"/>
          <w:color w:val="auto"/>
        </w:rPr>
      </w:pPr>
    </w:p>
    <w:p>
      <w:pPr>
        <w:jc w:val="both"/>
        <w:ind w:left="340" w:hanging="332"/>
        <w:spacing w:after="0" w:line="262" w:lineRule="auto"/>
        <w:tabs>
          <w:tab w:leader="none" w:pos="3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Phase 2 Pediatric Basket Trial of Descartes-08 in Select Autoimmune Diseases Expected to Initiate by End of Year. </w:t>
      </w:r>
      <w:r>
        <w:rPr>
          <w:rFonts w:ascii="Times New Roman" w:cs="Times New Roman" w:eastAsia="Times New Roman" w:hAnsi="Times New Roman"/>
          <w:sz w:val="18"/>
          <w:szCs w:val="18"/>
          <w:color w:val="auto"/>
        </w:rPr>
        <w:t>This pediatric basket trial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target juvenile SLE, juvenile MG, juvenile dermatomyositis (JDM) and anti-neutrophil cytoplasmic antibody associated vasculitis. The U.S. Food and Drug Administration (FDA) previously granted Rare Pediatric Disease Designation to Descartes-08 for the treatment of JDM, which is a rare pediatric autoimmune disorder.</w:t>
      </w:r>
    </w:p>
    <w:p>
      <w:pPr>
        <w:spacing w:after="0" w:line="122"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First-in-Human Phase 1 Clinical Trial of Descartes-15 Remains Ongoing. </w:t>
      </w:r>
      <w:r>
        <w:rPr>
          <w:rFonts w:ascii="Times New Roman" w:cs="Times New Roman" w:eastAsia="Times New Roman" w:hAnsi="Times New Roman"/>
          <w:sz w:val="18"/>
          <w:szCs w:val="18"/>
          <w:color w:val="auto"/>
        </w:rPr>
        <w:t>The Phase 1 dose escalation trial of Cartesian’s next-generation,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autologous anti-BCMA CAR-T cell therapy is designed to assess the safety and tolerability of outpatient Descartes-15 administration in patients with multiple myeloma.</w:t>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5308600</wp:posOffset>
            </wp:positionH>
            <wp:positionV relativeFrom="page">
              <wp:posOffset>88900</wp:posOffset>
            </wp:positionV>
            <wp:extent cx="2031365" cy="5060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2031365" cy="506095"/>
                    </a:xfrm>
                    <a:prstGeom prst="rect">
                      <a:avLst/>
                    </a:prstGeom>
                    <a:noFill/>
                  </pic:spPr>
                </pic:pic>
              </a:graphicData>
            </a:graphic>
          </wp:anchor>
        </w:drawing>
        <w:t>Third Quarter 2025 Financial Results</w:t>
      </w:r>
    </w:p>
    <w:p>
      <w:pPr>
        <w:spacing w:after="0" w:line="175" w:lineRule="exact"/>
        <w:rPr>
          <w:sz w:val="20"/>
          <w:szCs w:val="20"/>
          <w:color w:val="auto"/>
        </w:rPr>
      </w:pPr>
    </w:p>
    <w:p>
      <w:pPr>
        <w:ind w:left="340" w:right="20" w:hanging="332"/>
        <w:spacing w:after="0" w:line="282"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cash equivalents and restricted cash as of September 30, 2025 was $145.1 million and is expected to support planned operations, including completion of the ongoing Phase 3 AURORA trial for Descartes-08 in MG, into mid-2027.</w:t>
      </w:r>
    </w:p>
    <w:p>
      <w:pPr>
        <w:spacing w:after="0" w:line="10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expenses were $13.8 million for the three months ended September 30, 2025, compared to $11.4 million for the three months ended September 30, 2024. The increase in expenses was primarily a result of increased expenses associated with the ongoing Phase 3 AURORA trial for Descartes-08 for MG coupled with an increase in employee expenses as the result of headcount growth.</w:t>
      </w:r>
    </w:p>
    <w:p>
      <w:pPr>
        <w:spacing w:after="0" w:line="12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expenses were $7.7 million for the three months ended September 30, 2025, compared to $6.6 million for the three months ended September 30, 2024. The increase in expenses was primarily the result of increased facilities and stock-based compensation expenses.</w:t>
      </w:r>
    </w:p>
    <w:p>
      <w:pPr>
        <w:spacing w:after="0" w:line="10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was $35.9 million, or $1.38 net loss per share allocable to common stockholders (basic and diluted), for the three months ended September 30, 2025, compared to net loss of $24.2 million, or $1.13 net loss per share allocable to common stockholders (basic and diluted), for the three months ended September 30, 2024.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Descartes-08</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Descartes-08, Cartesian’s lead cell therapy candidate, is an autologous chimeric antigen receptor T-cell therapy (CAR-T) product targeting B-cell maturation antigen (BCMA) in clinical development for generalized myasthenia gravis (MG) and systemic lupus erythematosus. In contrast to conventional DNA-based CAR T-cell therapies, Cartesian’s CAR-T administration is designed to not require preconditioning chemotherapy, can be administered in the outpatient setting, and does not carry the risk of genomic integration associated with cancerous transformation. Descartes-08 has been granted Orphan Drug Designation and Regenerative Medicine Advanced Therapy Designation by the U.S. Food and Drug Administration for the treatment of MG, and Rare Pediatric Disease Designation for the treatment of juvenile dermatomyositis.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Descartes-15</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Descartes-15 is a next-generation, autologous anti-BCMA CAR-T cell therapy. In preclinical studies, Descartes-15 has been observed to achieve an approximately ten-fold increase in CAR expression and selective target-specific killing, relative to Descartes-08. Similar to Descartes-08, Descartes-15 is designed to be administered without preconditioning chemotherapy and does not use integrating vectors.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Cartesian Therapeutics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Cartesian Therapeutics is a clinical-stage company pioneering cell therapy for the treatment of autoimmune diseases. The Company’s lead asset, Descartes-08, is a CAR-T in Phase 3 clinical development for patients with generalized myasthenia gravis and Phase 2 development for systemic lupus erythematosus, with a Phase 2 basket trial planned in additional autoimmune indications. The Company’s clinical-stage pipeline also includes Descartes-15, a next-generation, autologous anti-BCMA CAR-T currently being evaluated in a Phase 1 trial in patients with multiple myeloma. For more information, please visit www.cartesiantherapeutics.com or follow the Company on LinkedIn or X, formerly known as Twitter.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Any statements in this press release about the future expectations, plans and prospects of the Company, including without limitation, statements regarding the Company’s expected cash resources and cash runway, the ability of the Company’s product candidates to be administered in an outpatient setting or without the need for preconditioning lymphodepleting chemotherapy, the potential of Descartes-08, Descartes-15, or any of the Company’s other product candidates to treat myasthenia gravis, juvenile myasthenia gravis, systemic lupus erythematosus, juvenile systemic lupus erythematosus, juvenile dermatomyositis, anti-neutrophil cytoplasmic antibody-associated vasculitis, multiple myeloma, or any other disease, the anticipated timing or the outcome of ongoing and planned clinical trials, studies and data readouts, including the Phase 3 AURORA trial of Descartes-08 in myasthenia gravis, the planned Phase 2 pediatric basket trial of Descartes-08 in juvenile dermatomyositis, juvenile systemic lupus erythematosus, juvenile myasthenia gravis, and anti-neutrophil cytoplasmic antibody-associated vasculitis, the ongoing Phase 2 trial of Descartes-08 in systemic lupus erythematosus, and the Phase 1 clinical trial of Descartes-15 in multiple myeloma, the anticipated timing or the outcome of the FDA’s review of the Company’s regulatory filings, the Company’s ability to conduct its clinical trials and preclinical studies, the timing or making of any regulatory filings, the anticipated timing or outcome of selection of developmental product candidates, the novelty of treatment paradigms that the Company is able to develop, the potential of any therapies developed by the Company to fulfill unmet medical needs, and enrollment in the Company’s clinical trials and other</w:t>
      </w:r>
    </w:p>
    <w:p>
      <w:pPr>
        <w:sectPr>
          <w:pgSz w:w="11900" w:h="16838" w:orient="portrait"/>
          <w:cols w:equalWidth="0" w:num="1">
            <w:col w:w="11240"/>
          </w:cols>
          <w:pgMar w:left="320" w:top="1251" w:right="339" w:bottom="1440" w:gutter="0" w:footer="0" w:header="0"/>
        </w:sectPr>
      </w:pPr>
    </w:p>
    <w:bookmarkStart w:id="5" w:name="page6"/>
    <w:bookmarkEnd w:id="5"/>
    <w:p>
      <w:pPr>
        <w:jc w:val="both"/>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5308600</wp:posOffset>
            </wp:positionH>
            <wp:positionV relativeFrom="page">
              <wp:posOffset>88900</wp:posOffset>
            </wp:positionV>
            <wp:extent cx="2031365" cy="5054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031365" cy="505460"/>
                    </a:xfrm>
                    <a:prstGeom prst="rect">
                      <a:avLst/>
                    </a:prstGeom>
                    <a:noFill/>
                  </pic:spPr>
                </pic:pic>
              </a:graphicData>
            </a:graphic>
          </wp:anchor>
        </w:drawing>
        <w:t>statements containing the words “anticipate,” “believe,” “continue,” “could,” “estimate,” “expect,” “hypothesize,” “intend,” “may,” “plan,” “potential,” “predict,” “project,” “should,” “target,” “would,” and similar expressions, constitute forward-looking statements within the meaning of The Private Securities Litigation Reform Act of 1995. Actual results may differ materially from those indicated by such forward-looking statements as a result of various important factors, including, but not limited to, the following: the uncertainties inherent in the initiation, completion and cost of clinical trials including proof of concept trials, including uncertain outcomes, the availability and timing of data from ongoing and future clinical trials and the results of such trials, whether preliminary results from a particular clinical trial will be predictive of the final results of that trial and whether results of early clinical trials will be indicative of the results of later clinical trials, the ability to predict results of studies performed on human beings based on results of studies performed on non-human subjects, the unproven approach of the Company’s technology, potential delays in enrollment of patients, undesirable side effects of the Company’s product candidates, political uncertainty, the Company’s reliance on third parties to conduct its clinical trials, the Company’s inability to maintain its existing or future collaborations, licenses or contractual relationships, its inability to protect its proprietary technology and intellectual property, potential delays in regulatory approvals, the availability of funding sufficient for its foreseeable and unforeseeable operating expenses and capital expenditure requirements, the Company’s recurring losses from operations and negative cash flows, substantial fluctuation in the price of the Company’s common stock, risks related to geopolitical conflicts, pandemics, and macroeconomic impacts, and other important factors discussed in the “Risk Factors” section of the Company’s most recent Annual Report on Form 10-K and subsequently filed Quarterly Reports on Form 10-Q, and in other filings that the Company makes with the Securities and Exchange Commission. In addition, any forward-looking statements included in this press release represent the Company’s views only as of the date of its publication and should not be relied upon as representing its views as of any subsequent date. The Company specifically disclaims any intention to update any forward-looking statements included in this press release, except as required by law.</w:t>
      </w:r>
    </w:p>
    <w:p>
      <w:pPr>
        <w:sectPr>
          <w:pgSz w:w="11900" w:h="16838" w:orient="portrait"/>
          <w:cols w:equalWidth="0" w:num="1">
            <w:col w:w="11240"/>
          </w:cols>
          <w:pgMar w:left="320" w:top="1255" w:right="33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5308600</wp:posOffset>
            </wp:positionH>
            <wp:positionV relativeFrom="page">
              <wp:posOffset>88900</wp:posOffset>
            </wp:positionV>
            <wp:extent cx="2031365" cy="5054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2031365" cy="505460"/>
                    </a:xfrm>
                    <a:prstGeom prst="rect">
                      <a:avLst/>
                    </a:prstGeom>
                    <a:noFill/>
                  </pic:spPr>
                </pic:pic>
              </a:graphicData>
            </a:graphic>
          </wp:anchor>
        </w:drawing>
        <w:t>Cartesian Therapeutics, Inc.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par value)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60" w:type="dxa"/>
            <w:vAlign w:val="bottom"/>
          </w:tcPr>
          <w:p>
            <w:pPr>
              <w:spacing w:after="0"/>
              <w:rPr>
                <w:sz w:val="20"/>
                <w:szCs w:val="20"/>
                <w:color w:val="auto"/>
              </w:rPr>
            </w:pPr>
          </w:p>
        </w:tc>
        <w:tc>
          <w:tcPr>
            <w:tcW w:w="17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00" w:type="dxa"/>
            <w:vAlign w:val="bottom"/>
          </w:tcPr>
          <w:p>
            <w:pPr>
              <w:spacing w:after="0"/>
              <w:rPr>
                <w:sz w:val="20"/>
                <w:szCs w:val="20"/>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0" w:type="dxa"/>
            <w:vAlign w:val="bottom"/>
          </w:tcPr>
          <w:p>
            <w:pPr>
              <w:spacing w:after="0"/>
              <w:rPr>
                <w:sz w:val="1"/>
                <w:szCs w:val="1"/>
                <w:color w:val="auto"/>
              </w:rPr>
            </w:pPr>
          </w:p>
        </w:tc>
      </w:tr>
      <w:tr>
        <w:trPr>
          <w:trHeight w:val="223"/>
        </w:trPr>
        <w:tc>
          <w:tcPr>
            <w:tcW w:w="77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143,384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212,610</w:t>
            </w:r>
          </w:p>
        </w:tc>
        <w:tc>
          <w:tcPr>
            <w:tcW w:w="0" w:type="dxa"/>
            <w:vAlign w:val="bottom"/>
          </w:tcPr>
          <w:p>
            <w:pPr>
              <w:spacing w:after="0"/>
              <w:rPr>
                <w:sz w:val="1"/>
                <w:szCs w:val="1"/>
                <w:color w:val="auto"/>
              </w:rPr>
            </w:pPr>
          </w:p>
        </w:tc>
      </w:tr>
      <w:tr>
        <w:trPr>
          <w:trHeight w:val="230"/>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0" w:type="dxa"/>
            <w:vAlign w:val="bottom"/>
          </w:tcPr>
          <w:p>
            <w:pPr>
              <w:spacing w:after="0"/>
              <w:rPr>
                <w:sz w:val="1"/>
                <w:szCs w:val="1"/>
                <w:color w:val="auto"/>
              </w:rPr>
            </w:pPr>
          </w:p>
        </w:tc>
      </w:tr>
      <w:tr>
        <w:trPr>
          <w:trHeight w:val="229"/>
        </w:trPr>
        <w:tc>
          <w:tcPr>
            <w:tcW w:w="7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3,144</w:t>
            </w:r>
          </w:p>
        </w:tc>
        <w:tc>
          <w:tcPr>
            <w:tcW w:w="0" w:type="dxa"/>
            <w:vAlign w:val="bottom"/>
          </w:tcPr>
          <w:p>
            <w:pPr>
              <w:spacing w:after="0"/>
              <w:rPr>
                <w:sz w:val="1"/>
                <w:szCs w:val="1"/>
                <w:color w:val="auto"/>
              </w:rPr>
            </w:pPr>
          </w:p>
        </w:tc>
      </w:tr>
      <w:tr>
        <w:trPr>
          <w:trHeight w:val="223"/>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147,260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216,626</w:t>
            </w:r>
          </w:p>
        </w:tc>
        <w:tc>
          <w:tcPr>
            <w:tcW w:w="0" w:type="dxa"/>
            <w:vAlign w:val="bottom"/>
          </w:tcPr>
          <w:p>
            <w:pPr>
              <w:spacing w:after="0"/>
              <w:rPr>
                <w:sz w:val="1"/>
                <w:szCs w:val="1"/>
                <w:color w:val="auto"/>
              </w:rPr>
            </w:pPr>
          </w:p>
        </w:tc>
      </w:tr>
      <w:tr>
        <w:trPr>
          <w:trHeight w:val="229"/>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9,912</w:t>
            </w: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net</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5,535</w:t>
            </w:r>
          </w:p>
        </w:tc>
        <w:tc>
          <w:tcPr>
            <w:tcW w:w="0" w:type="dxa"/>
            <w:vAlign w:val="bottom"/>
          </w:tcPr>
          <w:p>
            <w:pPr>
              <w:spacing w:after="0"/>
              <w:rPr>
                <w:sz w:val="1"/>
                <w:szCs w:val="1"/>
                <w:color w:val="auto"/>
              </w:rPr>
            </w:pPr>
          </w:p>
        </w:tc>
      </w:tr>
      <w:tr>
        <w:trPr>
          <w:trHeight w:val="22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In-process research and development assets</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150,600</w:t>
            </w:r>
          </w:p>
        </w:tc>
        <w:tc>
          <w:tcPr>
            <w:tcW w:w="0" w:type="dxa"/>
            <w:vAlign w:val="bottom"/>
          </w:tcPr>
          <w:p>
            <w:pPr>
              <w:spacing w:after="0"/>
              <w:rPr>
                <w:sz w:val="1"/>
                <w:szCs w:val="1"/>
                <w:color w:val="auto"/>
              </w:rPr>
            </w:pPr>
          </w:p>
        </w:tc>
      </w:tr>
      <w:tr>
        <w:trPr>
          <w:trHeight w:val="229"/>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48,163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48,163</w:t>
            </w:r>
          </w:p>
        </w:tc>
        <w:tc>
          <w:tcPr>
            <w:tcW w:w="0" w:type="dxa"/>
            <w:vAlign w:val="bottom"/>
          </w:tcPr>
          <w:p>
            <w:pPr>
              <w:spacing w:after="0"/>
              <w:rPr>
                <w:sz w:val="1"/>
                <w:szCs w:val="1"/>
                <w:color w:val="auto"/>
              </w:rPr>
            </w:pPr>
          </w:p>
        </w:tc>
      </w:tr>
      <w:tr>
        <w:trPr>
          <w:trHeight w:val="230"/>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restricted cash</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0" w:type="dxa"/>
            <w:vAlign w:val="bottom"/>
          </w:tcPr>
          <w:p>
            <w:pPr>
              <w:spacing w:after="0"/>
              <w:rPr>
                <w:sz w:val="1"/>
                <w:szCs w:val="1"/>
                <w:color w:val="auto"/>
              </w:rPr>
            </w:pPr>
          </w:p>
        </w:tc>
      </w:tr>
      <w:tr>
        <w:trPr>
          <w:trHeight w:val="229"/>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30"/>
        </w:trPr>
        <w:tc>
          <w:tcPr>
            <w:tcW w:w="7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Long-term prepaid expenses and other assets</w:t>
            </w: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5,551</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0" w:type="dxa"/>
            <w:vAlign w:val="bottom"/>
          </w:tcPr>
          <w:p>
            <w:pPr>
              <w:spacing w:after="0"/>
              <w:rPr>
                <w:sz w:val="1"/>
                <w:szCs w:val="1"/>
                <w:color w:val="auto"/>
              </w:rPr>
            </w:pPr>
          </w:p>
        </w:tc>
      </w:tr>
      <w:tr>
        <w:trPr>
          <w:trHeight w:val="248"/>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372,675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435,023</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7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2,225</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12,076</w:t>
            </w:r>
          </w:p>
        </w:tc>
        <w:tc>
          <w:tcPr>
            <w:tcW w:w="0" w:type="dxa"/>
            <w:vAlign w:val="bottom"/>
          </w:tcPr>
          <w:p>
            <w:pPr>
              <w:spacing w:after="0"/>
              <w:rPr>
                <w:sz w:val="1"/>
                <w:szCs w:val="1"/>
                <w:color w:val="auto"/>
              </w:rPr>
            </w:pPr>
          </w:p>
        </w:tc>
      </w:tr>
      <w:tr>
        <w:trPr>
          <w:trHeight w:val="230"/>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Lease liabilities</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2,851</w:t>
            </w:r>
          </w:p>
        </w:tc>
        <w:tc>
          <w:tcPr>
            <w:tcW w:w="0" w:type="dxa"/>
            <w:vAlign w:val="bottom"/>
          </w:tcPr>
          <w:p>
            <w:pPr>
              <w:spacing w:after="0"/>
              <w:rPr>
                <w:sz w:val="1"/>
                <w:szCs w:val="1"/>
                <w:color w:val="auto"/>
              </w:rPr>
            </w:pPr>
          </w:p>
        </w:tc>
      </w:tr>
      <w:tr>
        <w:trPr>
          <w:trHeight w:val="229"/>
        </w:trPr>
        <w:tc>
          <w:tcPr>
            <w:tcW w:w="7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Contingent value right liability</w:t>
            </w:r>
          </w:p>
        </w:tc>
        <w:tc>
          <w:tcPr>
            <w:tcW w:w="2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7,761</w:t>
            </w:r>
          </w:p>
        </w:tc>
        <w:tc>
          <w:tcPr>
            <w:tcW w:w="0" w:type="dxa"/>
            <w:vAlign w:val="bottom"/>
          </w:tcPr>
          <w:p>
            <w:pPr>
              <w:spacing w:after="0"/>
              <w:rPr>
                <w:sz w:val="1"/>
                <w:szCs w:val="1"/>
                <w:color w:val="auto"/>
              </w:rPr>
            </w:pPr>
          </w:p>
        </w:tc>
      </w:tr>
      <w:tr>
        <w:trPr>
          <w:trHeight w:val="223"/>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13,803</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22,976</w:t>
            </w:r>
          </w:p>
        </w:tc>
        <w:tc>
          <w:tcPr>
            <w:tcW w:w="0" w:type="dxa"/>
            <w:vAlign w:val="bottom"/>
          </w:tcPr>
          <w:p>
            <w:pPr>
              <w:spacing w:after="0"/>
              <w:rPr>
                <w:sz w:val="1"/>
                <w:szCs w:val="1"/>
                <w:color w:val="auto"/>
              </w:rPr>
            </w:pPr>
          </w:p>
        </w:tc>
      </w:tr>
      <w:tr>
        <w:trPr>
          <w:trHeight w:val="229"/>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 net of current portion</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11,133</w:t>
            </w: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 liability</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3,836</w:t>
            </w:r>
          </w:p>
        </w:tc>
        <w:tc>
          <w:tcPr>
            <w:tcW w:w="0" w:type="dxa"/>
            <w:vAlign w:val="bottom"/>
          </w:tcPr>
          <w:p>
            <w:pPr>
              <w:spacing w:after="0"/>
              <w:rPr>
                <w:sz w:val="1"/>
                <w:szCs w:val="1"/>
                <w:color w:val="auto"/>
              </w:rPr>
            </w:pPr>
          </w:p>
        </w:tc>
      </w:tr>
      <w:tr>
        <w:trPr>
          <w:trHeight w:val="230"/>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value right liability, net of current portion</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369,000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387,739</w:t>
            </w:r>
          </w:p>
        </w:tc>
        <w:tc>
          <w:tcPr>
            <w:tcW w:w="0" w:type="dxa"/>
            <w:vAlign w:val="bottom"/>
          </w:tcPr>
          <w:p>
            <w:pPr>
              <w:spacing w:after="0"/>
              <w:rPr>
                <w:sz w:val="1"/>
                <w:szCs w:val="1"/>
                <w:color w:val="auto"/>
              </w:rPr>
            </w:pPr>
          </w:p>
        </w:tc>
      </w:tr>
      <w:tr>
        <w:trPr>
          <w:trHeight w:val="229"/>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16,141</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16,141</w:t>
            </w:r>
          </w:p>
        </w:tc>
        <w:tc>
          <w:tcPr>
            <w:tcW w:w="0" w:type="dxa"/>
            <w:vAlign w:val="bottom"/>
          </w:tcPr>
          <w:p>
            <w:pPr>
              <w:spacing w:after="0"/>
              <w:rPr>
                <w:sz w:val="1"/>
                <w:szCs w:val="1"/>
                <w:color w:val="auto"/>
              </w:rPr>
            </w:pPr>
          </w:p>
        </w:tc>
      </w:tr>
      <w:tr>
        <w:trPr>
          <w:trHeight w:val="223"/>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408,519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441,825</w:t>
            </w:r>
          </w:p>
        </w:tc>
        <w:tc>
          <w:tcPr>
            <w:tcW w:w="0" w:type="dxa"/>
            <w:vAlign w:val="bottom"/>
          </w:tcPr>
          <w:p>
            <w:pPr>
              <w:spacing w:after="0"/>
              <w:rPr>
                <w:sz w:val="1"/>
                <w:szCs w:val="1"/>
                <w:color w:val="auto"/>
              </w:rPr>
            </w:pPr>
          </w:p>
        </w:tc>
      </w:tr>
      <w:tr>
        <w:trPr>
          <w:trHeight w:val="229"/>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7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Series A Preferred Stock, $0.0001 par value; 134,904.563 shares authorized as of September 30, 2025 and</w:t>
            </w:r>
          </w:p>
        </w:tc>
        <w:tc>
          <w:tcPr>
            <w:tcW w:w="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7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December 31, 2024; 120,790.402 shares issued and outstanding as of September 30, 2025 and December</w:t>
            </w: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31, 2024</w:t>
            </w:r>
          </w:p>
        </w:tc>
        <w:tc>
          <w:tcPr>
            <w:tcW w:w="240" w:type="dxa"/>
            <w:vAlign w:val="bottom"/>
          </w:tcPr>
          <w:p>
            <w:pPr>
              <w:spacing w:after="0"/>
              <w:rPr>
                <w:sz w:val="20"/>
                <w:szCs w:val="20"/>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77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Series B Preferred Stock, $0.0001 par value; 437,927 shares authorized as of September 30, 2025 and</w:t>
            </w:r>
          </w:p>
        </w:tc>
        <w:tc>
          <w:tcPr>
            <w:tcW w:w="2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7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December 31, 2024; 437,927 shares issued and outstanding as of September 30, 2025 and December 31,</w:t>
            </w:r>
          </w:p>
        </w:tc>
        <w:tc>
          <w:tcPr>
            <w:tcW w:w="24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77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Preferred stock, $0.0001 par value; 9,427,168.437 shares authorized as of September 30, 2025 and</w:t>
            </w:r>
          </w:p>
        </w:tc>
        <w:tc>
          <w:tcPr>
            <w:tcW w:w="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2024; no shares issued and outstanding as of September 30, 2025 and December 31, 2024</w:t>
            </w:r>
          </w:p>
        </w:tc>
        <w:tc>
          <w:tcPr>
            <w:tcW w:w="240" w:type="dxa"/>
            <w:vAlign w:val="bottom"/>
          </w:tcPr>
          <w:p>
            <w:pPr>
              <w:spacing w:after="0"/>
              <w:rPr>
                <w:sz w:val="21"/>
                <w:szCs w:val="21"/>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77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$0.0001 par value; 350,000,000 shares authorized as of September 30, 2025 and</w:t>
            </w:r>
          </w:p>
        </w:tc>
        <w:tc>
          <w:tcPr>
            <w:tcW w:w="2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7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December 31, 2024; 26,003,606 and 25,767,369 shares issued and outstanding as of September 30, 2025</w:t>
            </w:r>
          </w:p>
        </w:tc>
        <w:tc>
          <w:tcPr>
            <w:tcW w:w="24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December 31, 2024, respectively</w:t>
            </w:r>
          </w:p>
        </w:tc>
        <w:tc>
          <w:tcPr>
            <w:tcW w:w="24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698,537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689,887</w:t>
            </w:r>
          </w:p>
        </w:tc>
        <w:tc>
          <w:tcPr>
            <w:tcW w:w="0" w:type="dxa"/>
            <w:vAlign w:val="bottom"/>
          </w:tcPr>
          <w:p>
            <w:pPr>
              <w:spacing w:after="0"/>
              <w:rPr>
                <w:sz w:val="1"/>
                <w:szCs w:val="1"/>
                <w:color w:val="auto"/>
              </w:rPr>
            </w:pPr>
          </w:p>
        </w:tc>
      </w:tr>
      <w:tr>
        <w:trPr>
          <w:trHeight w:val="229"/>
        </w:trPr>
        <w:tc>
          <w:tcPr>
            <w:tcW w:w="7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(729,797)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(692,071)</w:t>
            </w:r>
          </w:p>
        </w:tc>
        <w:tc>
          <w:tcPr>
            <w:tcW w:w="0" w:type="dxa"/>
            <w:vAlign w:val="bottom"/>
          </w:tcPr>
          <w:p>
            <w:pPr>
              <w:spacing w:after="0"/>
              <w:rPr>
                <w:sz w:val="1"/>
                <w:szCs w:val="1"/>
                <w:color w:val="auto"/>
              </w:rPr>
            </w:pPr>
          </w:p>
        </w:tc>
      </w:tr>
      <w:tr>
        <w:trPr>
          <w:trHeight w:val="230"/>
        </w:trPr>
        <w:tc>
          <w:tcPr>
            <w:tcW w:w="77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(4,587)</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(4,621)</w:t>
            </w:r>
          </w:p>
        </w:tc>
        <w:tc>
          <w:tcPr>
            <w:tcW w:w="0" w:type="dxa"/>
            <w:vAlign w:val="bottom"/>
          </w:tcPr>
          <w:p>
            <w:pPr>
              <w:spacing w:after="0"/>
              <w:rPr>
                <w:sz w:val="1"/>
                <w:szCs w:val="1"/>
                <w:color w:val="auto"/>
              </w:rPr>
            </w:pPr>
          </w:p>
        </w:tc>
      </w:tr>
      <w:tr>
        <w:trPr>
          <w:trHeight w:val="223"/>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(35,844)</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(6,802)</w:t>
            </w:r>
          </w:p>
        </w:tc>
        <w:tc>
          <w:tcPr>
            <w:tcW w:w="0" w:type="dxa"/>
            <w:vAlign w:val="bottom"/>
          </w:tcPr>
          <w:p>
            <w:pPr>
              <w:spacing w:after="0"/>
              <w:rPr>
                <w:sz w:val="1"/>
                <w:szCs w:val="1"/>
                <w:color w:val="auto"/>
              </w:rPr>
            </w:pPr>
          </w:p>
        </w:tc>
      </w:tr>
      <w:tr>
        <w:trPr>
          <w:trHeight w:val="223"/>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372,675</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435,023</w:t>
            </w:r>
          </w:p>
        </w:tc>
        <w:tc>
          <w:tcPr>
            <w:tcW w:w="0" w:type="dxa"/>
            <w:vAlign w:val="bottom"/>
          </w:tcPr>
          <w:p>
            <w:pPr>
              <w:spacing w:after="0"/>
              <w:rPr>
                <w:sz w:val="1"/>
                <w:szCs w:val="1"/>
                <w:color w:val="auto"/>
              </w:rPr>
            </w:pPr>
          </w:p>
        </w:tc>
      </w:tr>
      <w:tr>
        <w:trPr>
          <w:trHeight w:val="21"/>
        </w:trPr>
        <w:tc>
          <w:tcPr>
            <w:tcW w:w="7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40" w:top="1251"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5308600</wp:posOffset>
            </wp:positionH>
            <wp:positionV relativeFrom="page">
              <wp:posOffset>88900</wp:posOffset>
            </wp:positionV>
            <wp:extent cx="2031365" cy="5054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2031365" cy="505460"/>
                    </a:xfrm>
                    <a:prstGeom prst="rect">
                      <a:avLst/>
                    </a:prstGeom>
                    <a:noFill/>
                  </pic:spPr>
                </pic:pic>
              </a:graphicData>
            </a:graphic>
          </wp:anchor>
        </w:drawing>
        <w:t>Cartesian Therapeutics,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160" w:type="dxa"/>
            <w:vAlign w:val="bottom"/>
            <w:gridSpan w:val="5"/>
          </w:tcPr>
          <w:p>
            <w:pPr>
              <w:ind w:left="5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40" w:type="dxa"/>
            <w:vAlign w:val="bottom"/>
          </w:tcPr>
          <w:p>
            <w:pPr>
              <w:spacing w:after="0"/>
              <w:rPr>
                <w:sz w:val="17"/>
                <w:szCs w:val="17"/>
                <w:color w:val="auto"/>
              </w:rPr>
            </w:pPr>
          </w:p>
        </w:tc>
        <w:tc>
          <w:tcPr>
            <w:tcW w:w="2720" w:type="dxa"/>
            <w:vAlign w:val="bottom"/>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4"/>
        </w:trPr>
        <w:tc>
          <w:tcPr>
            <w:tcW w:w="4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80" w:type="dxa"/>
            <w:vAlign w:val="bottom"/>
          </w:tcPr>
          <w:p>
            <w:pPr>
              <w:spacing w:after="0"/>
              <w:rPr>
                <w:sz w:val="20"/>
                <w:szCs w:val="20"/>
                <w:color w:val="auto"/>
              </w:rPr>
            </w:pPr>
          </w:p>
        </w:tc>
      </w:tr>
      <w:tr>
        <w:trPr>
          <w:trHeight w:val="238"/>
        </w:trPr>
        <w:tc>
          <w:tcPr>
            <w:tcW w:w="45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4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2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4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Collaboration and license revenue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39,111</w:t>
            </w:r>
          </w:p>
        </w:tc>
      </w:tr>
      <w:tr>
        <w:trPr>
          <w:trHeight w:val="230"/>
        </w:trPr>
        <w:tc>
          <w:tcPr>
            <w:tcW w:w="4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Grant revenue</w:t>
            </w: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r>
      <w:tr>
        <w:trPr>
          <w:trHeight w:val="22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39,672</w:t>
            </w:r>
          </w:p>
        </w:tc>
      </w:tr>
      <w:tr>
        <w:trPr>
          <w:trHeight w:val="23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4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43,345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33,799</w:t>
            </w:r>
          </w:p>
        </w:tc>
      </w:tr>
      <w:tr>
        <w:trPr>
          <w:trHeight w:val="230"/>
        </w:trPr>
        <w:tc>
          <w:tcPr>
            <w:tcW w:w="4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7,716</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23,271</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23,039</w:t>
            </w:r>
          </w:p>
        </w:tc>
      </w:tr>
      <w:tr>
        <w:trPr>
          <w:trHeight w:val="223"/>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21,518</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17,962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66,616</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56,838</w:t>
            </w:r>
          </w:p>
        </w:tc>
      </w:tr>
      <w:tr>
        <w:trPr>
          <w:trHeight w:val="22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(64,766)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(17,166)</w:t>
            </w:r>
          </w:p>
        </w:tc>
      </w:tr>
      <w:tr>
        <w:trPr>
          <w:trHeight w:val="229"/>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4,932</w:t>
            </w:r>
          </w:p>
        </w:tc>
      </w:tr>
      <w:tr>
        <w:trPr>
          <w:trHeight w:val="22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change in fair value of warrant liabilities</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w:t>
            </w:r>
          </w:p>
        </w:tc>
      </w:tr>
      <w:tr>
        <w:trPr>
          <w:trHeight w:val="176"/>
        </w:trPr>
        <w:tc>
          <w:tcPr>
            <w:tcW w:w="45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(Loss) gain on change in fair value of contingent value right</w:t>
            </w:r>
          </w:p>
        </w:tc>
        <w:tc>
          <w:tcPr>
            <w:tcW w:w="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4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liability</w:t>
            </w:r>
          </w:p>
        </w:tc>
        <w:tc>
          <w:tcPr>
            <w:tcW w:w="3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(51,900)</w:t>
            </w:r>
          </w:p>
        </w:tc>
      </w:tr>
      <w:tr>
        <w:trPr>
          <w:trHeight w:val="22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change in fair value of forward contract liabilities</w:t>
            </w:r>
          </w:p>
        </w:tc>
        <w:tc>
          <w:tcPr>
            <w:tcW w:w="3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(6,890)</w:t>
            </w:r>
          </w:p>
        </w:tc>
      </w:tr>
      <w:tr>
        <w:trPr>
          <w:trHeight w:val="229"/>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6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r>
      <w:tr>
        <w:trPr>
          <w:trHeight w:val="223"/>
        </w:trPr>
        <w:tc>
          <w:tcPr>
            <w:tcW w:w="4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(35,902)</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(24,183)</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(37,726)</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(67,171)</w:t>
            </w:r>
          </w:p>
        </w:tc>
      </w:tr>
      <w:tr>
        <w:trPr>
          <w:trHeight w:val="250"/>
        </w:trPr>
        <w:tc>
          <w:tcPr>
            <w:tcW w:w="4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45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48"/>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loss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(35,912)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(37,692)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(67,177)</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allocable to common stockholders:</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03"/>
        </w:trPr>
        <w:tc>
          <w:tcPr>
            <w:tcW w:w="4540" w:type="dxa"/>
            <w:vAlign w:val="bottom"/>
          </w:tcPr>
          <w:p>
            <w:pPr>
              <w:ind w:left="220"/>
              <w:spacing w:after="0" w:line="202" w:lineRule="exact"/>
              <w:rPr>
                <w:sz w:val="20"/>
                <w:szCs w:val="20"/>
                <w:color w:val="auto"/>
              </w:rPr>
            </w:pPr>
            <w:r>
              <w:rPr>
                <w:rFonts w:ascii="Times New Roman" w:cs="Times New Roman" w:eastAsia="Times New Roman" w:hAnsi="Times New Roman"/>
                <w:sz w:val="18"/>
                <w:szCs w:val="18"/>
                <w:color w:val="auto"/>
              </w:rPr>
              <w:t>Basic and diluted</w:t>
            </w:r>
          </w:p>
        </w:tc>
        <w:tc>
          <w:tcPr>
            <w:tcW w:w="360" w:type="dxa"/>
            <w:vAlign w:val="bottom"/>
            <w:tcBorders>
              <w:bottom w:val="single" w:sz="8" w:color="auto"/>
            </w:tcBorders>
          </w:tcPr>
          <w:p>
            <w:pPr>
              <w:jc w:val="right"/>
              <w:ind w:right="17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17"/>
                <w:szCs w:val="17"/>
                <w:color w:val="auto"/>
              </w:rPr>
            </w:pPr>
          </w:p>
        </w:tc>
        <w:tc>
          <w:tcPr>
            <w:tcW w:w="580" w:type="dxa"/>
            <w:vAlign w:val="bottom"/>
            <w:tcBorders>
              <w:bottom w:val="single" w:sz="8" w:color="auto"/>
            </w:tcBorders>
          </w:tcPr>
          <w:p>
            <w:pPr>
              <w:jc w:val="right"/>
              <w:ind w:right="39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3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17"/>
                <w:szCs w:val="17"/>
                <w:color w:val="auto"/>
              </w:rPr>
            </w:pPr>
          </w:p>
        </w:tc>
        <w:tc>
          <w:tcPr>
            <w:tcW w:w="540" w:type="dxa"/>
            <w:vAlign w:val="bottom"/>
            <w:tcBorders>
              <w:bottom w:val="single" w:sz="8" w:color="auto"/>
            </w:tcBorders>
          </w:tcPr>
          <w:p>
            <w:pPr>
              <w:jc w:val="right"/>
              <w:ind w:right="35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(4.61)</w:t>
            </w:r>
          </w:p>
        </w:tc>
      </w:tr>
      <w:tr>
        <w:trPr>
          <w:trHeight w:val="20"/>
        </w:trPr>
        <w:tc>
          <w:tcPr>
            <w:tcW w:w="45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96"/>
        </w:trPr>
        <w:tc>
          <w:tcPr>
            <w:tcW w:w="45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Weighted-average common shares outstanding:</w:t>
            </w:r>
          </w:p>
        </w:tc>
        <w:tc>
          <w:tcPr>
            <w:tcW w:w="3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30"/>
        </w:trPr>
        <w:tc>
          <w:tcPr>
            <w:tcW w:w="4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 and diluted</w:t>
            </w: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26,002,892</w:t>
            </w:r>
          </w:p>
        </w:tc>
        <w:tc>
          <w:tcPr>
            <w:tcW w:w="1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21,471,408</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25,962,302</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14,561,613</w:t>
            </w:r>
          </w:p>
        </w:tc>
      </w:tr>
      <w:tr>
        <w:trPr>
          <w:trHeight w:val="20"/>
        </w:trPr>
        <w:tc>
          <w:tcPr>
            <w:tcW w:w="45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20"/>
          </w:cols>
          <w:pgMar w:left="320" w:top="125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5308600</wp:posOffset>
            </wp:positionH>
            <wp:positionV relativeFrom="page">
              <wp:posOffset>88900</wp:posOffset>
            </wp:positionV>
            <wp:extent cx="2031365" cy="5054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2031365" cy="505460"/>
                    </a:xfrm>
                    <a:prstGeom prst="rect">
                      <a:avLst/>
                    </a:prstGeom>
                    <a:noFill/>
                  </pic:spPr>
                </pic:pic>
              </a:graphicData>
            </a:graphic>
          </wp:anchor>
        </w:drawing>
        <w:t>Investor Contact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Megan LeDuc</w:t>
      </w:r>
    </w:p>
    <w:p>
      <w:pPr>
        <w:spacing w:after="0" w:line="219" w:lineRule="auto"/>
        <w:rPr>
          <w:sz w:val="20"/>
          <w:szCs w:val="20"/>
          <w:color w:val="auto"/>
        </w:rPr>
      </w:pPr>
      <w:r>
        <w:rPr>
          <w:rFonts w:ascii="Times New Roman" w:cs="Times New Roman" w:eastAsia="Times New Roman" w:hAnsi="Times New Roman"/>
          <w:sz w:val="18"/>
          <w:szCs w:val="18"/>
          <w:color w:val="auto"/>
        </w:rPr>
        <w:t>Associate Director of Investor Relations</w:t>
      </w:r>
    </w:p>
    <w:p>
      <w:pPr>
        <w:spacing w:after="0"/>
        <w:rPr>
          <w:sz w:val="20"/>
          <w:szCs w:val="20"/>
          <w:color w:val="auto"/>
        </w:rPr>
      </w:pPr>
      <w:r>
        <w:rPr>
          <w:rFonts w:ascii="Times New Roman" w:cs="Times New Roman" w:eastAsia="Times New Roman" w:hAnsi="Times New Roman"/>
          <w:sz w:val="18"/>
          <w:szCs w:val="18"/>
          <w:color w:val="auto"/>
        </w:rPr>
        <w:t>megan.leduc@cartesiantx.com</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Rosen</w:t>
      </w:r>
    </w:p>
    <w:p>
      <w:pPr>
        <w:spacing w:after="0" w:line="219" w:lineRule="auto"/>
        <w:rPr>
          <w:sz w:val="20"/>
          <w:szCs w:val="20"/>
          <w:color w:val="auto"/>
        </w:rPr>
      </w:pPr>
      <w:r>
        <w:rPr>
          <w:rFonts w:ascii="Times New Roman" w:cs="Times New Roman" w:eastAsia="Times New Roman" w:hAnsi="Times New Roman"/>
          <w:sz w:val="18"/>
          <w:szCs w:val="18"/>
          <w:color w:val="auto"/>
        </w:rPr>
        <w:t>Argot Partners</w:t>
      </w:r>
    </w:p>
    <w:p>
      <w:pPr>
        <w:spacing w:after="0"/>
        <w:rPr>
          <w:sz w:val="20"/>
          <w:szCs w:val="20"/>
          <w:color w:val="auto"/>
        </w:rPr>
      </w:pPr>
      <w:r>
        <w:rPr>
          <w:rFonts w:ascii="Times New Roman" w:cs="Times New Roman" w:eastAsia="Times New Roman" w:hAnsi="Times New Roman"/>
          <w:sz w:val="18"/>
          <w:szCs w:val="18"/>
          <w:color w:val="auto"/>
        </w:rPr>
        <w:t>david.rosen@argotpartners.com</w:t>
      </w:r>
    </w:p>
    <w:sectPr>
      <w:pgSz w:w="11900" w:h="16838" w:orient="portrait"/>
      <w:cols w:equalWidth="0" w:num="1">
        <w:col w:w="10139"/>
      </w:cols>
      <w:pgMar w:left="320" w:top="123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2025-11-06T06:17:33Z</dcterms:created>
  <dcterms:modified xsi:type="dcterms:W3CDTF">2025-11-06T06:17:33Z</dcterms:modified>
</cp:coreProperties>
</file>