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ind w:left="380" w:hanging="334"/>
        <w:spacing w:after="0" w:line="184" w:lineRule="auto"/>
        <w:tabs>
          <w:tab w:leader="none" w:pos="38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4"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001-37798</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368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Delaware</w:t>
            </w:r>
          </w:p>
        </w:tc>
        <w:tc>
          <w:tcPr>
            <w:tcW w:w="34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02"/>
        </w:trPr>
        <w:tc>
          <w:tcPr>
            <w:tcW w:w="3680" w:type="dxa"/>
            <w:vAlign w:val="bottom"/>
          </w:tcPr>
          <w:p>
            <w:pPr>
              <w:jc w:val="center"/>
              <w:ind w:right="710"/>
              <w:spacing w:after="0" w:line="201" w:lineRule="exact"/>
              <w:rPr>
                <w:sz w:val="20"/>
                <w:szCs w:val="20"/>
                <w:color w:val="auto"/>
              </w:rPr>
            </w:pPr>
            <w:r>
              <w:rPr>
                <w:rFonts w:ascii="Arial" w:cs="Arial" w:eastAsia="Arial" w:hAnsi="Arial"/>
                <w:sz w:val="18"/>
                <w:szCs w:val="18"/>
                <w:color w:val="auto"/>
                <w:w w:val="91"/>
              </w:rPr>
              <w:t>(State or other jurisdiction</w:t>
            </w:r>
          </w:p>
        </w:tc>
        <w:tc>
          <w:tcPr>
            <w:tcW w:w="3420" w:type="dxa"/>
            <w:vAlign w:val="bottom"/>
          </w:tcPr>
          <w:p>
            <w:pPr>
              <w:jc w:val="center"/>
              <w:ind w:left="71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680" w:type="dxa"/>
            <w:vAlign w:val="bottom"/>
          </w:tcPr>
          <w:p>
            <w:pPr>
              <w:jc w:val="center"/>
              <w:ind w:right="710"/>
              <w:spacing w:after="0"/>
              <w:rPr>
                <w:sz w:val="20"/>
                <w:szCs w:val="20"/>
                <w:color w:val="auto"/>
              </w:rPr>
            </w:pPr>
            <w:r>
              <w:rPr>
                <w:rFonts w:ascii="Arial" w:cs="Arial" w:eastAsia="Arial" w:hAnsi="Arial"/>
                <w:sz w:val="18"/>
                <w:szCs w:val="18"/>
                <w:color w:val="auto"/>
                <w:w w:val="92"/>
              </w:rPr>
              <w:t>of incorporation or organization)</w:t>
            </w:r>
          </w:p>
        </w:tc>
        <w:tc>
          <w:tcPr>
            <w:tcW w:w="3420" w:type="dxa"/>
            <w:vAlign w:val="bottom"/>
          </w:tcPr>
          <w:p>
            <w:pPr>
              <w:spacing w:after="0"/>
              <w:rPr>
                <w:sz w:val="20"/>
                <w:szCs w:val="20"/>
                <w:color w:val="auto"/>
              </w:rPr>
            </w:pPr>
          </w:p>
        </w:tc>
      </w:tr>
      <w:tr>
        <w:trPr>
          <w:trHeight w:val="257"/>
        </w:trPr>
        <w:tc>
          <w:tcPr>
            <w:tcW w:w="368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65 Grove Street, Watertown, MA</w:t>
            </w:r>
          </w:p>
        </w:tc>
        <w:tc>
          <w:tcPr>
            <w:tcW w:w="342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43"/>
        </w:trPr>
        <w:tc>
          <w:tcPr>
            <w:tcW w:w="3680" w:type="dxa"/>
            <w:vAlign w:val="bottom"/>
          </w:tcPr>
          <w:p>
            <w:pPr>
              <w:jc w:val="center"/>
              <w:ind w:right="73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710"/>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ind w:left="340" w:right="1340"/>
        <w:spacing w:after="0" w:line="26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62" w:lineRule="exact"/>
        <w:rPr>
          <w:sz w:val="24"/>
          <w:szCs w:val="24"/>
          <w:color w:val="auto"/>
        </w:rPr>
      </w:pPr>
    </w:p>
    <w:p>
      <w:pPr>
        <w:ind w:right="20" w:firstLine="324"/>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o</w:t>
      </w:r>
    </w:p>
    <w:p>
      <w:pPr>
        <w:ind w:firstLine="324"/>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o</w:t>
      </w:r>
    </w:p>
    <w:p>
      <w:pPr>
        <w:ind w:right="160" w:firstLine="324"/>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80" w:type="dxa"/>
        <w:tblCellMar>
          <w:top w:w="0" w:type="dxa"/>
          <w:left w:w="0" w:type="dxa"/>
          <w:bottom w:w="0" w:type="dxa"/>
          <w:right w:w="0" w:type="dxa"/>
        </w:tblCellMar>
      </w:tblP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w w:val="89"/>
              </w:rPr>
              <w:t>Large accelerated filer</w:t>
            </w:r>
          </w:p>
        </w:tc>
        <w:tc>
          <w:tcPr>
            <w:tcW w:w="14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220" w:type="dxa"/>
            <w:vAlign w:val="bottom"/>
          </w:tcPr>
          <w:p>
            <w:pPr>
              <w:ind w:left="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43"/>
        </w:trPr>
        <w:tc>
          <w:tcPr>
            <w:tcW w:w="1500" w:type="dxa"/>
            <w:vAlign w:val="bottom"/>
          </w:tcPr>
          <w:p>
            <w:pPr>
              <w:jc w:val="right"/>
              <w:spacing w:after="0"/>
              <w:rPr>
                <w:sz w:val="20"/>
                <w:szCs w:val="20"/>
                <w:color w:val="auto"/>
              </w:rPr>
            </w:pPr>
            <w:r>
              <w:rPr>
                <w:rFonts w:ascii="Arial" w:cs="Arial" w:eastAsia="Arial" w:hAnsi="Arial"/>
                <w:sz w:val="16"/>
                <w:szCs w:val="16"/>
                <w:color w:val="auto"/>
                <w:w w:val="96"/>
              </w:rPr>
              <w:t>Non-accelerated filer</w:t>
            </w:r>
          </w:p>
        </w:tc>
        <w:tc>
          <w:tcPr>
            <w:tcW w:w="14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220" w:type="dxa"/>
            <w:vAlign w:val="bottom"/>
          </w:tcPr>
          <w:p>
            <w:pPr>
              <w:ind w:left="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6"/>
                <w:szCs w:val="16"/>
                <w:color w:val="auto"/>
              </w:rPr>
              <w:t>Emerging growth company</w:t>
            </w:r>
          </w:p>
        </w:tc>
        <w:tc>
          <w:tcPr>
            <w:tcW w:w="220" w:type="dxa"/>
            <w:vAlign w:val="bottom"/>
          </w:tcPr>
          <w:p>
            <w:pPr>
              <w:ind w:left="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4" w:lineRule="exact"/>
        <w:rPr>
          <w:sz w:val="24"/>
          <w:szCs w:val="24"/>
          <w:color w:val="auto"/>
        </w:rPr>
      </w:pPr>
    </w:p>
    <w:p>
      <w:pPr>
        <w:ind w:right="140" w:firstLine="324"/>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 w:lineRule="exact"/>
        <w:rPr>
          <w:sz w:val="24"/>
          <w:szCs w:val="24"/>
          <w:color w:val="auto"/>
        </w:rPr>
      </w:pPr>
    </w:p>
    <w:p>
      <w:pPr>
        <w:ind w:firstLine="324"/>
        <w:spacing w:after="0" w:line="246" w:lineRule="auto"/>
        <w:rPr>
          <w:sz w:val="20"/>
          <w:szCs w:val="20"/>
          <w:color w:val="auto"/>
        </w:rPr>
      </w:pPr>
      <w:r>
        <w:rPr>
          <w:rFonts w:ascii="Arial" w:cs="Arial" w:eastAsia="Arial" w:hAnsi="Arial"/>
          <w:sz w:val="18"/>
          <w:szCs w:val="18"/>
          <w:color w:val="auto"/>
        </w:rPr>
        <w:t>Indicate by check mark whether the registrant has filed a report on and attested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2" w:lineRule="exact"/>
        <w:rPr>
          <w:sz w:val="24"/>
          <w:szCs w:val="24"/>
          <w:color w:val="auto"/>
        </w:rPr>
      </w:pPr>
    </w:p>
    <w:p>
      <w:pPr>
        <w:ind w:left="34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21" w:lineRule="exact"/>
        <w:rPr>
          <w:sz w:val="24"/>
          <w:szCs w:val="24"/>
          <w:color w:val="auto"/>
        </w:rPr>
      </w:pPr>
    </w:p>
    <w:p>
      <w:pPr>
        <w:jc w:val="center"/>
        <w:spacing w:after="0" w:line="280"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as reported on the Nasdaq Stock Market on June 30, 2020, the last business day of the registrant’s most recently completed second quarter, was $247,960,409.</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5, 2021 the registrant had 112,373,199 shares of common stock, par value $0.0001 per share, outstanding.</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 w:lineRule="exact"/>
        <w:rPr>
          <w:sz w:val="24"/>
          <w:szCs w:val="24"/>
          <w:color w:val="auto"/>
        </w:rPr>
      </w:pPr>
    </w:p>
    <w:p>
      <w:pPr>
        <w:ind w:right="480" w:firstLine="567"/>
        <w:spacing w:after="0" w:line="260" w:lineRule="auto"/>
        <w:rPr>
          <w:sz w:val="20"/>
          <w:szCs w:val="20"/>
          <w:color w:val="auto"/>
        </w:rPr>
      </w:pPr>
      <w:r>
        <w:rPr>
          <w:rFonts w:ascii="Arial" w:cs="Arial" w:eastAsia="Arial" w:hAnsi="Arial"/>
          <w:sz w:val="18"/>
          <w:szCs w:val="18"/>
          <w:color w:val="auto"/>
        </w:rPr>
        <w:t>Portions of the registrant’s definitive Proxy Statement relating to its 2021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00"/>
          </w:cols>
          <w:pgMar w:left="320" w:top="944"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98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769"/>
        </w:trPr>
        <w:tc>
          <w:tcPr>
            <w:tcW w:w="1140" w:type="dxa"/>
            <w:vAlign w:val="bottom"/>
          </w:tcPr>
          <w:p>
            <w:pPr>
              <w:spacing w:after="0"/>
              <w:rPr>
                <w:sz w:val="24"/>
                <w:szCs w:val="24"/>
                <w:color w:val="auto"/>
              </w:rPr>
            </w:pPr>
          </w:p>
        </w:tc>
        <w:tc>
          <w:tcPr>
            <w:tcW w:w="8980" w:type="dxa"/>
            <w:vAlign w:val="bottom"/>
          </w:tcPr>
          <w:p>
            <w:pPr>
              <w:jc w:val="cente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1120" w:type="dxa"/>
            <w:vAlign w:val="bottom"/>
          </w:tcPr>
          <w:p>
            <w:pPr>
              <w:spacing w:after="0"/>
              <w:rPr>
                <w:sz w:val="24"/>
                <w:szCs w:val="24"/>
                <w:color w:val="auto"/>
              </w:rPr>
            </w:pPr>
          </w:p>
        </w:tc>
      </w:tr>
      <w:tr>
        <w:trPr>
          <w:trHeight w:val="391"/>
        </w:trPr>
        <w:tc>
          <w:tcPr>
            <w:tcW w:w="1140" w:type="dxa"/>
            <w:vAlign w:val="bottom"/>
          </w:tcPr>
          <w:p>
            <w:pPr>
              <w:ind w:left="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980" w:type="dxa"/>
            <w:vAlign w:val="bottom"/>
          </w:tcPr>
          <w:p>
            <w:pPr>
              <w:ind w:left="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1140" w:type="dxa"/>
            <w:vAlign w:val="bottom"/>
          </w:tcPr>
          <w:p>
            <w:pPr>
              <w:ind w:left="2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1A.</w:t>
              </w:r>
            </w:hyperlink>
          </w:p>
        </w:tc>
        <w:tc>
          <w:tcPr>
            <w:tcW w:w="8980" w:type="dxa"/>
            <w:vAlign w:val="bottom"/>
          </w:tcPr>
          <w:p>
            <w:pPr>
              <w:ind w:left="2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Risk Factors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r>
      <w:tr>
        <w:trPr>
          <w:trHeight w:val="230"/>
        </w:trPr>
        <w:tc>
          <w:tcPr>
            <w:tcW w:w="1140" w:type="dxa"/>
            <w:vAlign w:val="bottom"/>
          </w:tcPr>
          <w:p>
            <w:pPr>
              <w:ind w:left="240"/>
              <w:spacing w:after="0"/>
              <w:rPr>
                <w:rFonts w:ascii="Arial" w:cs="Arial" w:eastAsia="Arial" w:hAnsi="Arial"/>
                <w:sz w:val="18"/>
                <w:szCs w:val="18"/>
                <w:color w:val="0000FF"/>
              </w:rPr>
            </w:pPr>
            <w:hyperlink w:anchor="page55">
              <w:r>
                <w:rPr>
                  <w:rFonts w:ascii="Arial" w:cs="Arial" w:eastAsia="Arial" w:hAnsi="Arial"/>
                  <w:sz w:val="18"/>
                  <w:szCs w:val="18"/>
                  <w:u w:val="single" w:color="auto"/>
                  <w:color w:val="0000FF"/>
                </w:rPr>
                <w:t>Item 1B</w:t>
              </w:r>
              <w:r>
                <w:rPr>
                  <w:rFonts w:ascii="Arial" w:cs="Arial" w:eastAsia="Arial" w:hAnsi="Arial"/>
                  <w:sz w:val="18"/>
                  <w:szCs w:val="18"/>
                  <w:color w:val="0000FF"/>
                </w:rPr>
                <w:t>.</w:t>
              </w:r>
            </w:hyperlink>
          </w:p>
        </w:tc>
        <w:tc>
          <w:tcPr>
            <w:tcW w:w="8980" w:type="dxa"/>
            <w:vAlign w:val="bottom"/>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Unresolved Staff Comments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29"/>
        </w:trPr>
        <w:tc>
          <w:tcPr>
            <w:tcW w:w="1140" w:type="dxa"/>
            <w:vAlign w:val="bottom"/>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2.</w:t>
              </w:r>
            </w:hyperlink>
          </w:p>
        </w:tc>
        <w:tc>
          <w:tcPr>
            <w:tcW w:w="8980" w:type="dxa"/>
            <w:vAlign w:val="bottom"/>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Properties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29"/>
        </w:trPr>
        <w:tc>
          <w:tcPr>
            <w:tcW w:w="1140" w:type="dxa"/>
            <w:vAlign w:val="bottom"/>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3.</w:t>
              </w:r>
            </w:hyperlink>
          </w:p>
        </w:tc>
        <w:tc>
          <w:tcPr>
            <w:tcW w:w="8980" w:type="dxa"/>
            <w:vAlign w:val="bottom"/>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Legal Proceedings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4.</w:t>
              </w:r>
            </w:hyperlink>
          </w:p>
        </w:tc>
        <w:tc>
          <w:tcPr>
            <w:tcW w:w="8980" w:type="dxa"/>
            <w:vAlign w:val="bottom"/>
          </w:tcPr>
          <w:p>
            <w:pPr>
              <w:ind w:left="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Mine Safety Disclosures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392"/>
        </w:trPr>
        <w:tc>
          <w:tcPr>
            <w:tcW w:w="1140" w:type="dxa"/>
            <w:vAlign w:val="bottom"/>
          </w:tcPr>
          <w:p>
            <w:pPr>
              <w:spacing w:after="0"/>
              <w:rPr>
                <w:sz w:val="24"/>
                <w:szCs w:val="24"/>
                <w:color w:val="auto"/>
              </w:rPr>
            </w:pPr>
          </w:p>
        </w:tc>
        <w:tc>
          <w:tcPr>
            <w:tcW w:w="8980" w:type="dxa"/>
            <w:vAlign w:val="bottom"/>
          </w:tcPr>
          <w:p>
            <w:pPr>
              <w:jc w:val="center"/>
              <w:spacing w:after="0"/>
              <w:rPr>
                <w:rFonts w:ascii="Arial" w:cs="Arial" w:eastAsia="Arial" w:hAnsi="Arial"/>
                <w:sz w:val="18"/>
                <w:szCs w:val="18"/>
                <w:b w:val="1"/>
                <w:bCs w:val="1"/>
                <w:u w:val="single" w:color="auto"/>
                <w:color w:val="0000FF"/>
              </w:rPr>
            </w:pPr>
            <w:hyperlink w:anchor="page55">
              <w:r>
                <w:rPr>
                  <w:rFonts w:ascii="Arial" w:cs="Arial" w:eastAsia="Arial" w:hAnsi="Arial"/>
                  <w:sz w:val="18"/>
                  <w:szCs w:val="18"/>
                  <w:b w:val="1"/>
                  <w:bCs w:val="1"/>
                  <w:u w:val="single" w:color="auto"/>
                  <w:color w:val="0000FF"/>
                </w:rPr>
                <w:t>Part II</w:t>
              </w:r>
            </w:hyperlink>
          </w:p>
        </w:tc>
        <w:tc>
          <w:tcPr>
            <w:tcW w:w="1120" w:type="dxa"/>
            <w:vAlign w:val="bottom"/>
          </w:tcPr>
          <w:p>
            <w:pPr>
              <w:spacing w:after="0"/>
              <w:rPr>
                <w:sz w:val="24"/>
                <w:szCs w:val="24"/>
                <w:color w:val="auto"/>
              </w:rPr>
            </w:pPr>
          </w:p>
        </w:tc>
      </w:tr>
      <w:tr>
        <w:trPr>
          <w:trHeight w:val="391"/>
        </w:trPr>
        <w:tc>
          <w:tcPr>
            <w:tcW w:w="1140" w:type="dxa"/>
            <w:vAlign w:val="bottom"/>
          </w:tcPr>
          <w:p>
            <w:pPr>
              <w:ind w:left="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5.</w:t>
              </w:r>
            </w:hyperlink>
          </w:p>
        </w:tc>
        <w:tc>
          <w:tcPr>
            <w:tcW w:w="8980" w:type="dxa"/>
            <w:vAlign w:val="bottom"/>
          </w:tcPr>
          <w:p>
            <w:pPr>
              <w:ind w:left="240"/>
              <w:spacing w:after="0"/>
              <w:rPr>
                <w:rFonts w:ascii="Arial" w:cs="Arial" w:eastAsia="Arial" w:hAnsi="Arial"/>
                <w:sz w:val="18"/>
                <w:szCs w:val="18"/>
                <w:u w:val="single" w:color="auto"/>
                <w:color w:val="0000FF"/>
                <w:w w:val="98"/>
              </w:rPr>
            </w:pPr>
            <w:hyperlink w:anchor="page56">
              <w:r>
                <w:rPr>
                  <w:rFonts w:ascii="Arial" w:cs="Arial" w:eastAsia="Arial" w:hAnsi="Arial"/>
                  <w:sz w:val="18"/>
                  <w:szCs w:val="18"/>
                  <w:u w:val="single" w:color="auto"/>
                  <w:color w:val="0000FF"/>
                  <w:w w:val="98"/>
                </w:rPr>
                <w:t>Market for Registrant's Common Equity, Related Stockholder Matters and Issuer Purchases of Equity Securities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6.</w:t>
              </w:r>
            </w:hyperlink>
          </w:p>
        </w:tc>
        <w:tc>
          <w:tcPr>
            <w:tcW w:w="8980" w:type="dxa"/>
            <w:vAlign w:val="bottom"/>
          </w:tcPr>
          <w:p>
            <w:pPr>
              <w:ind w:left="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Selected Financial Data</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29"/>
        </w:trPr>
        <w:tc>
          <w:tcPr>
            <w:tcW w:w="1140" w:type="dxa"/>
            <w:vAlign w:val="bottom"/>
          </w:tcPr>
          <w:p>
            <w:pPr>
              <w:ind w:left="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7.</w:t>
              </w:r>
            </w:hyperlink>
          </w:p>
        </w:tc>
        <w:tc>
          <w:tcPr>
            <w:tcW w:w="8980" w:type="dxa"/>
            <w:vAlign w:val="bottom"/>
          </w:tcPr>
          <w:p>
            <w:pPr>
              <w:ind w:left="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Management's Discussion and Analysis of Financial Condition and Results of Operations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29"/>
        </w:trPr>
        <w:tc>
          <w:tcPr>
            <w:tcW w:w="1140" w:type="dxa"/>
            <w:vAlign w:val="bottom"/>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7A.</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Quantitative and Qualitative Disclosures About Market Risk</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8.</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Financial Statements and Supplementary Data</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68</w:t>
              </w:r>
            </w:hyperlink>
          </w:p>
        </w:tc>
      </w:tr>
      <w:tr>
        <w:trPr>
          <w:trHeight w:val="229"/>
        </w:trPr>
        <w:tc>
          <w:tcPr>
            <w:tcW w:w="1140" w:type="dxa"/>
            <w:vAlign w:val="bottom"/>
          </w:tcPr>
          <w:p>
            <w:pPr>
              <w:ind w:left="2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9.</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Changes in and Disagreements With Accountants on Accounting and Financial Disclosure</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9A.</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Controls and Procedures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1140" w:type="dxa"/>
            <w:vAlign w:val="bottom"/>
          </w:tcPr>
          <w:p>
            <w:pPr>
              <w:ind w:left="240"/>
              <w:spacing w:after="0"/>
              <w:rPr>
                <w:rFonts w:ascii="Arial" w:cs="Arial" w:eastAsia="Arial" w:hAnsi="Arial"/>
                <w:sz w:val="18"/>
                <w:szCs w:val="18"/>
                <w:color w:val="0000FF"/>
              </w:rPr>
            </w:pPr>
            <w:hyperlink w:anchor="page68">
              <w:r>
                <w:rPr>
                  <w:rFonts w:ascii="Arial" w:cs="Arial" w:eastAsia="Arial" w:hAnsi="Arial"/>
                  <w:sz w:val="18"/>
                  <w:szCs w:val="18"/>
                  <w:u w:val="single" w:color="auto"/>
                  <w:color w:val="0000FF"/>
                </w:rPr>
                <w:t>Item 9B</w:t>
              </w:r>
              <w:r>
                <w:rPr>
                  <w:rFonts w:ascii="Arial" w:cs="Arial" w:eastAsia="Arial" w:hAnsi="Arial"/>
                  <w:sz w:val="18"/>
                  <w:szCs w:val="18"/>
                  <w:color w:val="0000FF"/>
                </w:rPr>
                <w:t>.</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Other Information</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392"/>
        </w:trPr>
        <w:tc>
          <w:tcPr>
            <w:tcW w:w="1140" w:type="dxa"/>
            <w:vAlign w:val="bottom"/>
          </w:tcPr>
          <w:p>
            <w:pPr>
              <w:spacing w:after="0"/>
              <w:rPr>
                <w:sz w:val="24"/>
                <w:szCs w:val="24"/>
                <w:color w:val="auto"/>
              </w:rPr>
            </w:pPr>
          </w:p>
        </w:tc>
        <w:tc>
          <w:tcPr>
            <w:tcW w:w="8980" w:type="dxa"/>
            <w:vAlign w:val="bottom"/>
          </w:tcPr>
          <w:p>
            <w:pPr>
              <w:jc w:val="center"/>
              <w:spacing w:after="0"/>
              <w:rPr>
                <w:rFonts w:ascii="Arial" w:cs="Arial" w:eastAsia="Arial" w:hAnsi="Arial"/>
                <w:sz w:val="18"/>
                <w:szCs w:val="18"/>
                <w:b w:val="1"/>
                <w:bCs w:val="1"/>
                <w:u w:val="single" w:color="auto"/>
                <w:color w:val="0000FF"/>
              </w:rPr>
            </w:pPr>
            <w:hyperlink w:anchor="page68">
              <w:r>
                <w:rPr>
                  <w:rFonts w:ascii="Arial" w:cs="Arial" w:eastAsia="Arial" w:hAnsi="Arial"/>
                  <w:sz w:val="18"/>
                  <w:szCs w:val="18"/>
                  <w:b w:val="1"/>
                  <w:bCs w:val="1"/>
                  <w:u w:val="single" w:color="auto"/>
                  <w:color w:val="0000FF"/>
                </w:rPr>
                <w:t>Part III</w:t>
              </w:r>
            </w:hyperlink>
          </w:p>
        </w:tc>
        <w:tc>
          <w:tcPr>
            <w:tcW w:w="1120" w:type="dxa"/>
            <w:vAlign w:val="bottom"/>
          </w:tcPr>
          <w:p>
            <w:pPr>
              <w:spacing w:after="0"/>
              <w:rPr>
                <w:sz w:val="24"/>
                <w:szCs w:val="24"/>
                <w:color w:val="auto"/>
              </w:rPr>
            </w:pPr>
          </w:p>
        </w:tc>
      </w:tr>
      <w:tr>
        <w:trPr>
          <w:trHeight w:val="391"/>
        </w:trPr>
        <w:tc>
          <w:tcPr>
            <w:tcW w:w="114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10.</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Directors, Executive Officers and Corporate Governance</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11.</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Executive Compensation</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12.</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Security Ownership of Certain Beneficial Owners and Management and Related Stockholder Matters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29"/>
        </w:trPr>
        <w:tc>
          <w:tcPr>
            <w:tcW w:w="114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13.</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Certain Relationships and Related Transactions, and Director Independence</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14.</w:t>
              </w:r>
            </w:hyperlink>
          </w:p>
        </w:tc>
        <w:tc>
          <w:tcPr>
            <w:tcW w:w="8980" w:type="dxa"/>
            <w:vAlign w:val="bottom"/>
          </w:tcPr>
          <w:p>
            <w:pPr>
              <w:ind w:left="2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Principal Accountant Fees and Services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392"/>
        </w:trPr>
        <w:tc>
          <w:tcPr>
            <w:tcW w:w="1140" w:type="dxa"/>
            <w:vAlign w:val="bottom"/>
          </w:tcPr>
          <w:p>
            <w:pPr>
              <w:spacing w:after="0"/>
              <w:rPr>
                <w:sz w:val="24"/>
                <w:szCs w:val="24"/>
                <w:color w:val="auto"/>
              </w:rPr>
            </w:pPr>
          </w:p>
        </w:tc>
        <w:tc>
          <w:tcPr>
            <w:tcW w:w="8980" w:type="dxa"/>
            <w:vAlign w:val="bottom"/>
          </w:tcPr>
          <w:p>
            <w:pPr>
              <w:jc w:val="center"/>
              <w:spacing w:after="0"/>
              <w:rPr>
                <w:rFonts w:ascii="Arial" w:cs="Arial" w:eastAsia="Arial" w:hAnsi="Arial"/>
                <w:sz w:val="18"/>
                <w:szCs w:val="18"/>
                <w:b w:val="1"/>
                <w:bCs w:val="1"/>
                <w:u w:val="single" w:color="auto"/>
                <w:color w:val="0000FF"/>
              </w:rPr>
            </w:pPr>
            <w:hyperlink w:anchor="page69">
              <w:r>
                <w:rPr>
                  <w:rFonts w:ascii="Arial" w:cs="Arial" w:eastAsia="Arial" w:hAnsi="Arial"/>
                  <w:sz w:val="18"/>
                  <w:szCs w:val="18"/>
                  <w:b w:val="1"/>
                  <w:bCs w:val="1"/>
                  <w:u w:val="single" w:color="auto"/>
                  <w:color w:val="0000FF"/>
                </w:rPr>
                <w:t>Part IV</w:t>
              </w:r>
            </w:hyperlink>
          </w:p>
        </w:tc>
        <w:tc>
          <w:tcPr>
            <w:tcW w:w="1120" w:type="dxa"/>
            <w:vAlign w:val="bottom"/>
          </w:tcPr>
          <w:p>
            <w:pPr>
              <w:spacing w:after="0"/>
              <w:rPr>
                <w:sz w:val="24"/>
                <w:szCs w:val="24"/>
                <w:color w:val="auto"/>
              </w:rPr>
            </w:pPr>
          </w:p>
        </w:tc>
      </w:tr>
      <w:tr>
        <w:trPr>
          <w:trHeight w:val="391"/>
        </w:trPr>
        <w:tc>
          <w:tcPr>
            <w:tcW w:w="1140" w:type="dxa"/>
            <w:vAlign w:val="bottom"/>
          </w:tcPr>
          <w:p>
            <w:pPr>
              <w:ind w:left="2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15.</w:t>
              </w:r>
            </w:hyperlink>
          </w:p>
        </w:tc>
        <w:tc>
          <w:tcPr>
            <w:tcW w:w="8980" w:type="dxa"/>
            <w:vAlign w:val="bottom"/>
          </w:tcPr>
          <w:p>
            <w:pPr>
              <w:ind w:left="2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Exhibits and Financial Statement Schedules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30"/>
        </w:trPr>
        <w:tc>
          <w:tcPr>
            <w:tcW w:w="1140" w:type="dxa"/>
            <w:vAlign w:val="bottom"/>
          </w:tcPr>
          <w:p>
            <w:pPr>
              <w:ind w:left="24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16.</w:t>
              </w:r>
            </w:hyperlink>
          </w:p>
        </w:tc>
        <w:tc>
          <w:tcPr>
            <w:tcW w:w="8980" w:type="dxa"/>
            <w:vAlign w:val="bottom"/>
          </w:tcPr>
          <w:p>
            <w:pPr>
              <w:ind w:left="24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Form 10-K Summary</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74</w:t>
              </w:r>
            </w:hyperlink>
          </w:p>
        </w:tc>
      </w:tr>
      <w:tr>
        <w:trPr>
          <w:trHeight w:val="230"/>
        </w:trPr>
        <w:tc>
          <w:tcPr>
            <w:tcW w:w="1140" w:type="dxa"/>
            <w:vAlign w:val="bottom"/>
          </w:tcPr>
          <w:p>
            <w:pPr>
              <w:spacing w:after="0"/>
              <w:rPr>
                <w:sz w:val="20"/>
                <w:szCs w:val="20"/>
                <w:color w:val="auto"/>
              </w:rPr>
            </w:pPr>
          </w:p>
        </w:tc>
        <w:tc>
          <w:tcPr>
            <w:tcW w:w="8980" w:type="dxa"/>
            <w:vAlign w:val="bottom"/>
          </w:tcPr>
          <w:p>
            <w:pPr>
              <w:ind w:left="24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Signatures</w:t>
              </w:r>
            </w:hyperlink>
          </w:p>
        </w:tc>
        <w:tc>
          <w:tcPr>
            <w:tcW w:w="1120" w:type="dxa"/>
            <w:vAlign w:val="bottom"/>
          </w:tcPr>
          <w:p>
            <w:pPr>
              <w:jc w:val="right"/>
              <w:ind w:right="15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75</w:t>
              </w:r>
            </w:hyperlink>
          </w:p>
        </w:tc>
      </w:tr>
      <w:tr>
        <w:trPr>
          <w:trHeight w:val="2032"/>
        </w:trPr>
        <w:tc>
          <w:tcPr>
            <w:tcW w:w="114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Annual Report on Form 10-K, or the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coronavirus, COVID-19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such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the COVID-19 pandemic on our operations, the continuity of our business, including our preclinical studies and clinical trials, and general economic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We are a clinical-stage biopharmaceutical company leveraging our ImmTOR</w:t>
      </w:r>
      <w:r>
        <w:rPr>
          <w:rFonts w:ascii="Arial" w:cs="Arial" w:eastAsia="Arial" w:hAnsi="Arial"/>
          <w:sz w:val="19"/>
          <w:szCs w:val="19"/>
          <w:color w:val="auto"/>
        </w:rPr>
        <w:t>™</w:t>
      </w:r>
      <w:r>
        <w:rPr>
          <w:rFonts w:ascii="Arial" w:cs="Arial" w:eastAsia="Arial" w:hAnsi="Arial"/>
          <w:sz w:val="18"/>
          <w:szCs w:val="18"/>
          <w:color w:val="auto"/>
        </w:rPr>
        <w:t xml:space="preserve"> immune tolerance platform with the goals of amplifying the efficacy of biologics, including enabling the re-dosing of life-saving gene therapies, and restoring self-tolerance in autoimmune diseases. Our ImmTOR platform encapsulates rapamycin, also known as sirolimus, an immunomodulator, in biodegradable nanoparticles and is designed to induce antigen-specific immune tolerance.</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ImmTOR platform has the potential to mitigate the formation of anti-drug antibodies, or ADAs, against biologic drugs and restore self-tolerance to auto-antigens in autoimmune diseases.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Additionally, we believe, based on preclinical data, that ImmTOR combined with adeno-associated virus, or AAV, gene therapy has the potential to increase transgene expression and to prevent undesired immune responses to the AAV capsid and the transgene product that can occur with the first dose of gene therapy.</w:t>
      </w:r>
    </w:p>
    <w:p>
      <w:pPr>
        <w:spacing w:after="0" w:line="8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ImmTOR has the potential to enhance the efficacy without compromising the safety of biologic therapies, improve product candidates under development, and enable novel therapeutic modalities. We have developed a portfolio of proprietary and collaboration-driven applications of ImmTOR, and we plan to continue to develop proprietary compounds and pursue collaboration-driven development in certain disease areas, which could include strategic collaborations, out-licensing, and in-licensing transactions.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ImmTOR Platform</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ImmTOR consists of our biodegradable nanoparticles encapsulating the immunomodulator rapamycin. Rapamycin is the active ingredient of Rapamune, an immunosuppressant which has extensive prior use in humans and is currently FDA-approved as a prophylaxis of organ rejection in kidney transplant patients aged 13 or older. Poly(D,L-lactide), or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w:t>
      </w:r>
    </w:p>
    <w:p>
      <w:pPr>
        <w:spacing w:after="0" w:line="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nanoparticles are designed to remain intact after injection into the body and accumulate predominantly in lymph nodes, the spleen, and the liver, where the immune response is coordinated. The nanoparticles are designed to be processed by specialized immune cells, such as dendritic cells and other antigen-presenting cells that initiate and regulate immune responses. ImmTOR is intended to induce a tolerogenic phenotype in these antigen-presenting cells, which then process and present co-administered antigen in a manner that results in the induction of antigen-specific regulatory T cells. To mitigate the formation of ADAs and induce immune tolerance in the body, we administer our ImmTOR with an antigen, such as a therapeutic enzyme, a viral vector in the case of our gene therapy program, or an auto-antigen, which is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53340</wp:posOffset>
            </wp:positionV>
            <wp:extent cx="3642995" cy="2288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299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Co-administration of ImmTOR with an auto-antigen, viral vector, or therapeutic enzyme.</w:t>
      </w:r>
    </w:p>
    <w:p>
      <w:pPr>
        <w:spacing w:after="0" w:line="11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the case of a biologic drug, ImmTOR is designed to be administered in conjunction with such biologic drug to mitigate the formation of ADAs without requiring the alteration of the drug or its dose regimen. As a result, we believe ImmTOR may provide us with significant opportunities in the areas of immune tolerance and ADA prevention because ImmTOR is designed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so that it can be co-administered at the beginning of therapy with many different biologic drugs, including enzymes and viral vectors. Importantly, we believe each pairing of ImmTOR with a biologic drug also offers us the opportunity to pursue a distinct proprietary product candidate, which we believe has the potential to be separately patented, approved and marketed. ImmTOR is manufactured in facilities subject to current good manufacturing practice, or cGMP, requirements using well-defined commercial operations, which, we believe, further enhances the scalability of our tolerance programs.</w:t>
      </w:r>
    </w:p>
    <w:p>
      <w:pPr>
        <w:spacing w:after="0" w:line="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preclinical studies, we observed that delivering an antigen together with ImmTOR provided the appropriate signals in vivo to induce regulatory T cells, which, in turn, inhibited effector immune responses, such as the formation of ADAs. In our preclinical studies, we observed that ImmTOR labeled with a fluorescent dye selectively accumulated in lymphoid organs where it was processed by antigen-presenting cells. The figure below depicts a model of how ImmTOR would be taken up by a dendritic cell in the spleen. We believe that both the biologic drug and ImmTOR are taken up and processed by dendritic cells and other antigen presenting cells in a manner that may induce regulatory T cells, which can potentially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62865</wp:posOffset>
            </wp:positionV>
            <wp:extent cx="3429000" cy="3703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ImmTOR and Antigen/Biologic Drug Presentation and Related Immune Tolerance Induction</w:t>
      </w:r>
    </w:p>
    <w:p>
      <w:pPr>
        <w:spacing w:after="0" w:line="113"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ImmTOR leverages nanoparticle technology to target rapamycin, an approved immunomodulatory drug, to antigen presenting cells to generate antigen-specific immune tolerance when combined with the antigen of interest. We believe our ImmTOR platform has a broad range of potential applications.</w:t>
      </w:r>
    </w:p>
    <w:p>
      <w:pPr>
        <w:spacing w:after="0" w:line="76" w:lineRule="exact"/>
        <w:rPr>
          <w:sz w:val="20"/>
          <w:szCs w:val="20"/>
          <w:color w:val="auto"/>
        </w:rPr>
      </w:pPr>
    </w:p>
    <w:p>
      <w:pPr>
        <w:ind w:left="660" w:right="10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Enzyme therapies</w:t>
      </w:r>
      <w:r>
        <w:rPr>
          <w:rFonts w:ascii="Arial" w:cs="Arial" w:eastAsia="Arial" w:hAnsi="Arial"/>
          <w:sz w:val="18"/>
          <w:szCs w:val="18"/>
          <w:color w:val="auto"/>
        </w:rPr>
        <w:t>. Enzyme therapies are a frequently used class of biologic drugs to treat rare diseases. Through our analysis of biologic drugs,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preclinical studies, we have observed that enzymes are especially prone to undesired immune responses. Our product candidate, SEL-212, which is currently in Phase 3 clinical development includes pegadricase, a pegylated uricase enzyme, which is an example of a highly immunogenic enzyme for which we are applying ImmTOR with the intention of improving the enzyme’s efficacy and safety. We are also combining ImmTOR with an IgA protease for the treatment of IgA nephropathy. We intend to seek, if appropriate, licenses to other enzymes that we would evaluate in combination with ImmTOR.</w:t>
      </w:r>
    </w:p>
    <w:p>
      <w:pPr>
        <w:spacing w:after="0" w:line="84" w:lineRule="exact"/>
        <w:rPr>
          <w:rFonts w:ascii="Arial" w:cs="Arial" w:eastAsia="Arial" w:hAnsi="Arial"/>
          <w:sz w:val="18"/>
          <w:szCs w:val="18"/>
          <w:color w:val="auto"/>
        </w:rPr>
      </w:pPr>
    </w:p>
    <w:p>
      <w:pPr>
        <w:ind w:left="660" w:right="60" w:hanging="328"/>
        <w:spacing w:after="0" w:line="273"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Gene therapies</w:t>
      </w:r>
      <w:r>
        <w:rPr>
          <w:rFonts w:ascii="Arial" w:cs="Arial" w:eastAsia="Arial" w:hAnsi="Arial"/>
          <w:sz w:val="17"/>
          <w:szCs w:val="17"/>
          <w:color w:val="auto"/>
        </w:rPr>
        <w:t>. We believe gene therapies have the potential to address key unmet medical needs for many rare genetic diseases, but undesired</w:t>
      </w:r>
      <w:r>
        <w:rPr>
          <w:rFonts w:ascii="Arial" w:cs="Arial" w:eastAsia="Arial" w:hAnsi="Arial"/>
          <w:sz w:val="17"/>
          <w:szCs w:val="17"/>
          <w:i w:val="1"/>
          <w:iCs w:val="1"/>
          <w:color w:val="auto"/>
        </w:rPr>
        <w:t xml:space="preserve"> </w:t>
      </w:r>
      <w:r>
        <w:rPr>
          <w:rFonts w:ascii="Arial" w:cs="Arial" w:eastAsia="Arial" w:hAnsi="Arial"/>
          <w:sz w:val="17"/>
          <w:szCs w:val="17"/>
          <w:color w:val="auto"/>
        </w:rPr>
        <w:t>immune responses to the viral vectors used for gene replacement, augmentation and editing may be restricting their broader use. Through our analysis of genetic diseases, we have identified applications and patient segments that we believe would benefit from our ImmTOR platform. We intend to develop ImmTOR-enabled non-immunogenic gene therapy candidates which are designed to be utilized with AAV, vectors (e.g., AAV8, AAV5). We believe our product candidates have the potential to increase transgene expression and to prevent undesired immune responses to the vector and transgene product that can occur with the first dose of gene therapy by</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using our ImmTOR platform. Our initial area of focus is on genetic metabolic diseases but may also include lysosomal storage diseases and genetic muscular diseases. We believe we are the first company to systematically pursue the development of AAV gene therapy product candidates with the goal of enabling repeat administration. We have engaged third parties with experience in gene therapy and rare diseases to support the development of our proprietary products. We also have licensed our ImmTOR platform to Asklepios BioPharmaceutical, Inc., or AskBio, Sarepta Therapeutics, Inc., or Sarepta, and Spark Therapeutics, Inc., or Spark, for certain pre-specified targets.</w:t>
      </w:r>
    </w:p>
    <w:p>
      <w:pPr>
        <w:spacing w:after="0" w:line="53" w:lineRule="exact"/>
        <w:rPr>
          <w:sz w:val="20"/>
          <w:szCs w:val="20"/>
          <w:color w:val="auto"/>
        </w:rPr>
      </w:pPr>
    </w:p>
    <w:p>
      <w:pPr>
        <w:jc w:val="both"/>
        <w:ind w:left="660" w:right="22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Restoring self-tolerance to auto-antigens: </w:t>
      </w:r>
      <w:r>
        <w:rPr>
          <w:rFonts w:ascii="Arial" w:cs="Arial" w:eastAsia="Arial" w:hAnsi="Arial"/>
          <w:sz w:val="18"/>
          <w:szCs w:val="18"/>
          <w:color w:val="auto"/>
        </w:rPr>
        <w:t>We believe that ImmTOR has the potential to restore self-tolerance to autoimmune diseases. Our first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 autoimmune diseases is in primary biliary cholangitis, or PBC. PBC has a significant unmet medical need and a well-defined target antigen, known as PDC-E2.</w:t>
      </w:r>
    </w:p>
    <w:p>
      <w:pPr>
        <w:spacing w:after="0" w:line="75"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products and product candidates affected by undesired immune responses. </w:t>
      </w:r>
      <w:r>
        <w:rPr>
          <w:rFonts w:ascii="Arial" w:cs="Arial" w:eastAsia="Arial" w:hAnsi="Arial"/>
          <w:sz w:val="18"/>
          <w:szCs w:val="18"/>
          <w:color w:val="auto"/>
        </w:rPr>
        <w:t>We have generated preclinical data which we believe suggests a</w:t>
      </w:r>
      <w:r>
        <w:rPr>
          <w:rFonts w:ascii="Arial" w:cs="Arial" w:eastAsia="Arial" w:hAnsi="Arial"/>
          <w:sz w:val="18"/>
          <w:szCs w:val="18"/>
          <w:i w:val="1"/>
          <w:iCs w:val="1"/>
          <w:color w:val="auto"/>
        </w:rPr>
        <w:t xml:space="preserve"> </w:t>
      </w:r>
      <w:r>
        <w:rPr>
          <w:rFonts w:ascii="Arial" w:cs="Arial" w:eastAsia="Arial" w:hAnsi="Arial"/>
          <w:sz w:val="18"/>
          <w:szCs w:val="18"/>
          <w:color w:val="auto"/>
        </w:rPr>
        <w:t>broad potential benefit of ImmTOR for immune tolerance. For many biologic drugs, undesired immune responses limit efficacy and cause safety concerns. We intend to strategically out-license ImmTOR for use with other products that are outside our focus to larger biopharmaceutical companies. We believe our ImmTOR platform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756"/>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Our Product Candidates</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6340" w:type="dxa"/>
            <w:vAlign w:val="bottom"/>
            <w:gridSpan w:val="5"/>
          </w:tcPr>
          <w:p>
            <w:pPr>
              <w:ind w:left="20"/>
              <w:spacing w:after="0"/>
              <w:rPr>
                <w:sz w:val="20"/>
                <w:szCs w:val="20"/>
                <w:color w:val="auto"/>
              </w:rPr>
            </w:pPr>
            <w:r>
              <w:rPr>
                <w:rFonts w:ascii="Arial" w:cs="Arial" w:eastAsia="Arial" w:hAnsi="Arial"/>
                <w:sz w:val="18"/>
                <w:szCs w:val="18"/>
                <w:color w:val="auto"/>
                <w:w w:val="93"/>
              </w:rPr>
              <w:t>Below is a summary of our ongoing discovery, research and development programs:</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Program</w:t>
            </w: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Phase of Development</w:t>
            </w: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Next Steps</w:t>
            </w:r>
          </w:p>
        </w:tc>
        <w:tc>
          <w:tcPr>
            <w:tcW w:w="1500" w:type="dxa"/>
            <w:vAlign w:val="bottom"/>
          </w:tcPr>
          <w:p>
            <w:pPr>
              <w:spacing w:after="0"/>
              <w:rPr>
                <w:sz w:val="20"/>
                <w:szCs w:val="20"/>
                <w:color w:val="auto"/>
              </w:rPr>
            </w:pPr>
            <w:r>
              <w:rPr>
                <w:rFonts w:ascii="Arial" w:cs="Arial" w:eastAsia="Arial" w:hAnsi="Arial"/>
                <w:sz w:val="18"/>
                <w:szCs w:val="18"/>
                <w:b w:val="1"/>
                <w:bCs w:val="1"/>
                <w:color w:val="auto"/>
                <w:w w:val="90"/>
              </w:rPr>
              <w:t>Commercial Rights</w:t>
            </w: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615"/>
        </w:trPr>
        <w:tc>
          <w:tcPr>
            <w:tcW w:w="320" w:type="dxa"/>
            <w:vAlign w:val="bottom"/>
          </w:tcPr>
          <w:p>
            <w:pPr>
              <w:spacing w:after="0"/>
              <w:rPr>
                <w:sz w:val="24"/>
                <w:szCs w:val="24"/>
                <w:color w:val="auto"/>
              </w:rPr>
            </w:pPr>
          </w:p>
        </w:tc>
        <w:tc>
          <w:tcPr>
            <w:tcW w:w="6340" w:type="dxa"/>
            <w:vAlign w:val="bottom"/>
            <w:gridSpan w:val="5"/>
          </w:tcPr>
          <w:p>
            <w:pPr>
              <w:spacing w:after="0"/>
              <w:rPr>
                <w:sz w:val="20"/>
                <w:szCs w:val="20"/>
                <w:color w:val="auto"/>
              </w:rPr>
            </w:pPr>
            <w:r>
              <w:rPr>
                <w:rFonts w:ascii="Arial" w:cs="Arial" w:eastAsia="Arial" w:hAnsi="Arial"/>
                <w:sz w:val="18"/>
                <w:szCs w:val="18"/>
                <w:b w:val="1"/>
                <w:bCs w:val="1"/>
                <w:color w:val="auto"/>
              </w:rPr>
              <w:t>Amplifying the Efficacy of Biologic Therapies (Enzyme Therapies)</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SEL-212 (Chronic Refractory Gout)</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Phase 3 clinical trials</w:t>
            </w:r>
          </w:p>
        </w:tc>
        <w:tc>
          <w:tcPr>
            <w:tcW w:w="2320" w:type="dxa"/>
            <w:vAlign w:val="bottom"/>
            <w:gridSpan w:val="2"/>
          </w:tcPr>
          <w:p>
            <w:pPr>
              <w:spacing w:after="0"/>
              <w:rPr>
                <w:sz w:val="20"/>
                <w:szCs w:val="20"/>
                <w:color w:val="auto"/>
              </w:rPr>
            </w:pPr>
            <w:r>
              <w:rPr>
                <w:rFonts w:ascii="Arial" w:cs="Arial" w:eastAsia="Arial" w:hAnsi="Arial"/>
                <w:sz w:val="18"/>
                <w:szCs w:val="18"/>
                <w:color w:val="auto"/>
              </w:rPr>
              <w:t>Complete enrollment 2H</w:t>
            </w:r>
          </w:p>
        </w:tc>
        <w:tc>
          <w:tcPr>
            <w:tcW w:w="1500" w:type="dxa"/>
            <w:vAlign w:val="bottom"/>
          </w:tcPr>
          <w:p>
            <w:pPr>
              <w:spacing w:after="0"/>
              <w:rPr>
                <w:sz w:val="20"/>
                <w:szCs w:val="20"/>
                <w:color w:val="auto"/>
              </w:rPr>
            </w:pPr>
            <w:r>
              <w:rPr>
                <w:rFonts w:ascii="Arial" w:cs="Arial" w:eastAsia="Arial" w:hAnsi="Arial"/>
                <w:sz w:val="18"/>
                <w:szCs w:val="18"/>
                <w:color w:val="auto"/>
              </w:rPr>
              <w:t>Sobi</w:t>
            </w:r>
          </w:p>
        </w:tc>
      </w:tr>
      <w:tr>
        <w:trPr>
          <w:trHeight w:val="175"/>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2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(DISSOLVE I / DISSOLVE</w:t>
            </w:r>
          </w:p>
        </w:tc>
        <w:tc>
          <w:tcPr>
            <w:tcW w:w="2320" w:type="dxa"/>
            <w:vAlign w:val="bottom"/>
            <w:gridSpan w:val="2"/>
          </w:tcPr>
          <w:p>
            <w:pPr>
              <w:spacing w:after="0" w:line="176" w:lineRule="exact"/>
              <w:rPr>
                <w:sz w:val="20"/>
                <w:szCs w:val="20"/>
                <w:color w:val="auto"/>
              </w:rPr>
            </w:pPr>
            <w:r>
              <w:rPr>
                <w:rFonts w:ascii="Arial" w:cs="Arial" w:eastAsia="Arial" w:hAnsi="Arial"/>
                <w:sz w:val="18"/>
                <w:szCs w:val="18"/>
                <w:color w:val="auto"/>
              </w:rPr>
              <w:t>2021; top-line data 2H 2022</w:t>
            </w:r>
          </w:p>
        </w:tc>
        <w:tc>
          <w:tcPr>
            <w:tcW w:w="1500" w:type="dxa"/>
            <w:vAlign w:val="bottom"/>
          </w:tcPr>
          <w:p>
            <w:pPr>
              <w:spacing w:after="0"/>
              <w:rPr>
                <w:sz w:val="15"/>
                <w:szCs w:val="15"/>
                <w:color w:val="auto"/>
              </w:rPr>
            </w:pP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II)</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IgA Nephropathy</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Preclinical</w:t>
            </w:r>
          </w:p>
        </w:tc>
        <w:tc>
          <w:tcPr>
            <w:tcW w:w="2320" w:type="dxa"/>
            <w:vAlign w:val="bottom"/>
            <w:gridSpan w:val="2"/>
          </w:tcPr>
          <w:p>
            <w:pPr>
              <w:spacing w:after="0"/>
              <w:rPr>
                <w:sz w:val="20"/>
                <w:szCs w:val="20"/>
                <w:color w:val="auto"/>
              </w:rPr>
            </w:pPr>
            <w:r>
              <w:rPr>
                <w:rFonts w:ascii="Arial" w:cs="Arial" w:eastAsia="Arial" w:hAnsi="Arial"/>
                <w:sz w:val="18"/>
                <w:szCs w:val="18"/>
                <w:color w:val="auto"/>
              </w:rPr>
              <w:t>IND filing 4Q 2021</w:t>
            </w:r>
          </w:p>
        </w:tc>
        <w:tc>
          <w:tcPr>
            <w:tcW w:w="1500" w:type="dxa"/>
            <w:vAlign w:val="bottom"/>
          </w:tcPr>
          <w:p>
            <w:pPr>
              <w:spacing w:after="0"/>
              <w:rPr>
                <w:sz w:val="20"/>
                <w:szCs w:val="20"/>
                <w:color w:val="auto"/>
              </w:rPr>
            </w:pPr>
            <w:r>
              <w:rPr>
                <w:rFonts w:ascii="Arial" w:cs="Arial" w:eastAsia="Arial" w:hAnsi="Arial"/>
                <w:sz w:val="18"/>
                <w:szCs w:val="18"/>
                <w:color w:val="auto"/>
              </w:rPr>
              <w:t>Selecta</w:t>
            </w:r>
          </w:p>
        </w:tc>
      </w:tr>
      <w:tr>
        <w:trPr>
          <w:trHeight w:val="594"/>
        </w:trPr>
        <w:tc>
          <w:tcPr>
            <w:tcW w:w="320" w:type="dxa"/>
            <w:vAlign w:val="bottom"/>
          </w:tcPr>
          <w:p>
            <w:pPr>
              <w:spacing w:after="0"/>
              <w:rPr>
                <w:sz w:val="24"/>
                <w:szCs w:val="24"/>
                <w:color w:val="auto"/>
              </w:rPr>
            </w:pPr>
          </w:p>
        </w:tc>
        <w:tc>
          <w:tcPr>
            <w:tcW w:w="6340" w:type="dxa"/>
            <w:vAlign w:val="bottom"/>
            <w:gridSpan w:val="5"/>
          </w:tcPr>
          <w:p>
            <w:pPr>
              <w:spacing w:after="0"/>
              <w:rPr>
                <w:sz w:val="20"/>
                <w:szCs w:val="20"/>
                <w:color w:val="auto"/>
              </w:rPr>
            </w:pPr>
            <w:r>
              <w:rPr>
                <w:rFonts w:ascii="Arial" w:cs="Arial" w:eastAsia="Arial" w:hAnsi="Arial"/>
                <w:sz w:val="18"/>
                <w:szCs w:val="18"/>
                <w:b w:val="1"/>
                <w:bCs w:val="1"/>
                <w:color w:val="auto"/>
              </w:rPr>
              <w:t>Amplifying the Efficacy of Biologic Therapies (Gene Therapies)</w:t>
            </w: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Methylmalonic Acidemia (MMA)</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Preclinical</w:t>
            </w:r>
          </w:p>
        </w:tc>
        <w:tc>
          <w:tcPr>
            <w:tcW w:w="2320" w:type="dxa"/>
            <w:vAlign w:val="bottom"/>
            <w:gridSpan w:val="2"/>
          </w:tcPr>
          <w:p>
            <w:pPr>
              <w:spacing w:after="0"/>
              <w:rPr>
                <w:sz w:val="20"/>
                <w:szCs w:val="20"/>
                <w:color w:val="auto"/>
              </w:rPr>
            </w:pPr>
            <w:r>
              <w:rPr>
                <w:rFonts w:ascii="Arial" w:cs="Arial" w:eastAsia="Arial" w:hAnsi="Arial"/>
                <w:sz w:val="18"/>
                <w:szCs w:val="18"/>
                <w:color w:val="auto"/>
              </w:rPr>
              <w:t>Commence phase 1/2 2Q</w:t>
            </w:r>
          </w:p>
        </w:tc>
        <w:tc>
          <w:tcPr>
            <w:tcW w:w="1500" w:type="dxa"/>
            <w:vAlign w:val="bottom"/>
          </w:tcPr>
          <w:p>
            <w:pPr>
              <w:spacing w:after="0"/>
              <w:rPr>
                <w:sz w:val="20"/>
                <w:szCs w:val="20"/>
                <w:color w:val="auto"/>
              </w:rPr>
            </w:pPr>
            <w:r>
              <w:rPr>
                <w:rFonts w:ascii="Arial" w:cs="Arial" w:eastAsia="Arial" w:hAnsi="Arial"/>
                <w:sz w:val="18"/>
                <w:szCs w:val="18"/>
                <w:color w:val="auto"/>
                <w:w w:val="94"/>
              </w:rPr>
              <w:t>Selecta and AskBio</w:t>
            </w:r>
          </w:p>
        </w:tc>
      </w:tr>
      <w:tr>
        <w:trPr>
          <w:trHeight w:val="176"/>
        </w:trPr>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20" w:type="dxa"/>
            <w:vAlign w:val="bottom"/>
            <w:gridSpan w:val="2"/>
          </w:tcPr>
          <w:p>
            <w:pPr>
              <w:spacing w:after="0" w:line="176" w:lineRule="exact"/>
              <w:rPr>
                <w:sz w:val="20"/>
                <w:szCs w:val="20"/>
                <w:color w:val="auto"/>
              </w:rPr>
            </w:pPr>
            <w:r>
              <w:rPr>
                <w:rFonts w:ascii="Arial" w:cs="Arial" w:eastAsia="Arial" w:hAnsi="Arial"/>
                <w:sz w:val="18"/>
                <w:szCs w:val="18"/>
                <w:color w:val="auto"/>
              </w:rPr>
              <w:t>2021; preliminary data 4Q</w:t>
            </w:r>
          </w:p>
        </w:tc>
        <w:tc>
          <w:tcPr>
            <w:tcW w:w="1500" w:type="dxa"/>
            <w:vAlign w:val="bottom"/>
          </w:tcPr>
          <w:p>
            <w:pPr>
              <w:spacing w:after="0"/>
              <w:rPr>
                <w:sz w:val="15"/>
                <w:szCs w:val="15"/>
                <w:color w:val="auto"/>
              </w:rPr>
            </w:pP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2021</w:t>
            </w: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7"/>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Ornithine Transcarbamylase (OTC) Deficiency</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IND-enabling</w:t>
            </w:r>
          </w:p>
        </w:tc>
        <w:tc>
          <w:tcPr>
            <w:tcW w:w="2320" w:type="dxa"/>
            <w:vAlign w:val="bottom"/>
            <w:gridSpan w:val="2"/>
          </w:tcPr>
          <w:p>
            <w:pPr>
              <w:spacing w:after="0"/>
              <w:rPr>
                <w:sz w:val="20"/>
                <w:szCs w:val="20"/>
                <w:color w:val="auto"/>
              </w:rPr>
            </w:pPr>
            <w:r>
              <w:rPr>
                <w:rFonts w:ascii="Arial" w:cs="Arial" w:eastAsia="Arial" w:hAnsi="Arial"/>
                <w:sz w:val="18"/>
                <w:szCs w:val="18"/>
                <w:color w:val="auto"/>
              </w:rPr>
              <w:t>Clinical program expected to</w:t>
            </w:r>
          </w:p>
        </w:tc>
        <w:tc>
          <w:tcPr>
            <w:tcW w:w="1500" w:type="dxa"/>
            <w:vAlign w:val="bottom"/>
          </w:tcPr>
          <w:p>
            <w:pPr>
              <w:spacing w:after="0"/>
              <w:rPr>
                <w:sz w:val="20"/>
                <w:szCs w:val="20"/>
                <w:color w:val="auto"/>
              </w:rPr>
            </w:pPr>
            <w:r>
              <w:rPr>
                <w:rFonts w:ascii="Arial" w:cs="Arial" w:eastAsia="Arial" w:hAnsi="Arial"/>
                <w:sz w:val="18"/>
                <w:szCs w:val="18"/>
                <w:color w:val="auto"/>
              </w:rPr>
              <w:t>Selecta</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commence in 2022</w:t>
            </w:r>
          </w:p>
        </w:tc>
        <w:tc>
          <w:tcPr>
            <w:tcW w:w="1500" w:type="dxa"/>
            <w:vAlign w:val="bottom"/>
          </w:tcPr>
          <w:p>
            <w:pPr>
              <w:spacing w:after="0"/>
              <w:rPr>
                <w:sz w:val="20"/>
                <w:szCs w:val="20"/>
                <w:color w:val="auto"/>
              </w:rPr>
            </w:pPr>
          </w:p>
        </w:tc>
      </w:tr>
      <w:tr>
        <w:trPr>
          <w:trHeight w:val="350"/>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SEL-399</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Phase 1</w:t>
            </w:r>
          </w:p>
        </w:tc>
        <w:tc>
          <w:tcPr>
            <w:tcW w:w="2320" w:type="dxa"/>
            <w:vAlign w:val="bottom"/>
            <w:gridSpan w:val="2"/>
          </w:tcPr>
          <w:p>
            <w:pPr>
              <w:spacing w:after="0"/>
              <w:rPr>
                <w:sz w:val="20"/>
                <w:szCs w:val="20"/>
                <w:color w:val="auto"/>
              </w:rPr>
            </w:pPr>
            <w:r>
              <w:rPr>
                <w:rFonts w:ascii="Arial" w:cs="Arial" w:eastAsia="Arial" w:hAnsi="Arial"/>
                <w:sz w:val="18"/>
                <w:szCs w:val="18"/>
                <w:color w:val="auto"/>
              </w:rPr>
              <w:t>Data expected in 4Q 2021</w:t>
            </w:r>
          </w:p>
        </w:tc>
        <w:tc>
          <w:tcPr>
            <w:tcW w:w="1500" w:type="dxa"/>
            <w:vAlign w:val="bottom"/>
          </w:tcPr>
          <w:p>
            <w:pPr>
              <w:spacing w:after="0"/>
              <w:rPr>
                <w:sz w:val="20"/>
                <w:szCs w:val="20"/>
                <w:color w:val="auto"/>
              </w:rPr>
            </w:pPr>
            <w:r>
              <w:rPr>
                <w:rFonts w:ascii="Arial" w:cs="Arial" w:eastAsia="Arial" w:hAnsi="Arial"/>
                <w:sz w:val="18"/>
                <w:szCs w:val="18"/>
                <w:color w:val="auto"/>
                <w:w w:val="94"/>
              </w:rPr>
              <w:t>Selecta and AskBio</w:t>
            </w:r>
          </w:p>
        </w:tc>
      </w:tr>
      <w:tr>
        <w:trPr>
          <w:trHeight w:val="230"/>
        </w:trPr>
        <w:tc>
          <w:tcPr>
            <w:tcW w:w="3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(Empty AAV Capsid+ImmTOR)</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3"/>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Pompe Disease</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Preclinical</w:t>
            </w:r>
          </w:p>
        </w:tc>
        <w:tc>
          <w:tcPr>
            <w:tcW w:w="2320" w:type="dxa"/>
            <w:vAlign w:val="bottom"/>
            <w:gridSpan w:val="2"/>
          </w:tcPr>
          <w:p>
            <w:pPr>
              <w:spacing w:after="0"/>
              <w:rPr>
                <w:sz w:val="20"/>
                <w:szCs w:val="20"/>
                <w:color w:val="auto"/>
              </w:rPr>
            </w:pPr>
            <w:r>
              <w:rPr>
                <w:rFonts w:ascii="Arial" w:cs="Arial" w:eastAsia="Arial" w:hAnsi="Arial"/>
                <w:sz w:val="18"/>
                <w:szCs w:val="18"/>
                <w:color w:val="auto"/>
                <w:w w:val="96"/>
              </w:rPr>
              <w:t>Plans to be announced by our</w:t>
            </w:r>
          </w:p>
        </w:tc>
        <w:tc>
          <w:tcPr>
            <w:tcW w:w="1500" w:type="dxa"/>
            <w:vAlign w:val="bottom"/>
          </w:tcPr>
          <w:p>
            <w:pPr>
              <w:spacing w:after="0"/>
              <w:rPr>
                <w:sz w:val="20"/>
                <w:szCs w:val="20"/>
                <w:color w:val="auto"/>
              </w:rPr>
            </w:pPr>
            <w:r>
              <w:rPr>
                <w:rFonts w:ascii="Arial" w:cs="Arial" w:eastAsia="Arial" w:hAnsi="Arial"/>
                <w:sz w:val="18"/>
                <w:szCs w:val="18"/>
                <w:color w:val="auto"/>
              </w:rPr>
              <w:t>AskBio</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collaborator</w:t>
            </w:r>
          </w:p>
        </w:tc>
        <w:tc>
          <w:tcPr>
            <w:tcW w:w="1500" w:type="dxa"/>
            <w:vAlign w:val="bottom"/>
          </w:tcPr>
          <w:p>
            <w:pPr>
              <w:spacing w:after="0"/>
              <w:rPr>
                <w:sz w:val="20"/>
                <w:szCs w:val="20"/>
                <w:color w:val="auto"/>
              </w:rPr>
            </w:pPr>
          </w:p>
        </w:tc>
      </w:tr>
      <w:tr>
        <w:trPr>
          <w:trHeight w:val="337"/>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Duchenne Muscular Dystrophy (DMD)</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Preclinical</w:t>
            </w:r>
          </w:p>
        </w:tc>
        <w:tc>
          <w:tcPr>
            <w:tcW w:w="2320" w:type="dxa"/>
            <w:vAlign w:val="bottom"/>
            <w:gridSpan w:val="2"/>
          </w:tcPr>
          <w:p>
            <w:pPr>
              <w:spacing w:after="0"/>
              <w:rPr>
                <w:sz w:val="20"/>
                <w:szCs w:val="20"/>
                <w:color w:val="auto"/>
              </w:rPr>
            </w:pPr>
            <w:r>
              <w:rPr>
                <w:rFonts w:ascii="Arial" w:cs="Arial" w:eastAsia="Arial" w:hAnsi="Arial"/>
                <w:sz w:val="18"/>
                <w:szCs w:val="18"/>
                <w:color w:val="auto"/>
                <w:w w:val="96"/>
              </w:rPr>
              <w:t>Plans to be announced by our</w:t>
            </w:r>
          </w:p>
        </w:tc>
        <w:tc>
          <w:tcPr>
            <w:tcW w:w="1500" w:type="dxa"/>
            <w:vAlign w:val="bottom"/>
          </w:tcPr>
          <w:p>
            <w:pPr>
              <w:spacing w:after="0"/>
              <w:rPr>
                <w:sz w:val="20"/>
                <w:szCs w:val="20"/>
                <w:color w:val="auto"/>
              </w:rPr>
            </w:pPr>
            <w:r>
              <w:rPr>
                <w:rFonts w:ascii="Arial" w:cs="Arial" w:eastAsia="Arial" w:hAnsi="Arial"/>
                <w:sz w:val="18"/>
                <w:szCs w:val="18"/>
                <w:color w:val="auto"/>
              </w:rPr>
              <w:t>Sarepta</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collaborator</w:t>
            </w:r>
          </w:p>
        </w:tc>
        <w:tc>
          <w:tcPr>
            <w:tcW w:w="1500" w:type="dxa"/>
            <w:vAlign w:val="bottom"/>
          </w:tcPr>
          <w:p>
            <w:pPr>
              <w:spacing w:after="0"/>
              <w:rPr>
                <w:sz w:val="20"/>
                <w:szCs w:val="20"/>
                <w:color w:val="auto"/>
              </w:rPr>
            </w:pPr>
          </w:p>
        </w:tc>
      </w:tr>
      <w:tr>
        <w:trPr>
          <w:trHeight w:val="337"/>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Limb-girdle Muscular Dystrophy</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Preclinical</w:t>
            </w:r>
          </w:p>
        </w:tc>
        <w:tc>
          <w:tcPr>
            <w:tcW w:w="2320" w:type="dxa"/>
            <w:vAlign w:val="bottom"/>
            <w:gridSpan w:val="2"/>
          </w:tcPr>
          <w:p>
            <w:pPr>
              <w:spacing w:after="0"/>
              <w:rPr>
                <w:sz w:val="20"/>
                <w:szCs w:val="20"/>
                <w:color w:val="auto"/>
              </w:rPr>
            </w:pPr>
            <w:r>
              <w:rPr>
                <w:rFonts w:ascii="Arial" w:cs="Arial" w:eastAsia="Arial" w:hAnsi="Arial"/>
                <w:sz w:val="18"/>
                <w:szCs w:val="18"/>
                <w:color w:val="auto"/>
                <w:w w:val="96"/>
              </w:rPr>
              <w:t>Plans to be announced by our</w:t>
            </w:r>
          </w:p>
        </w:tc>
        <w:tc>
          <w:tcPr>
            <w:tcW w:w="1500" w:type="dxa"/>
            <w:vAlign w:val="bottom"/>
          </w:tcPr>
          <w:p>
            <w:pPr>
              <w:spacing w:after="0"/>
              <w:rPr>
                <w:sz w:val="20"/>
                <w:szCs w:val="20"/>
                <w:color w:val="auto"/>
              </w:rPr>
            </w:pPr>
            <w:r>
              <w:rPr>
                <w:rFonts w:ascii="Arial" w:cs="Arial" w:eastAsia="Arial" w:hAnsi="Arial"/>
                <w:sz w:val="18"/>
                <w:szCs w:val="18"/>
                <w:color w:val="auto"/>
              </w:rPr>
              <w:t>Sarepta</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collaborator</w:t>
            </w:r>
          </w:p>
        </w:tc>
        <w:tc>
          <w:tcPr>
            <w:tcW w:w="1500" w:type="dxa"/>
            <w:vAlign w:val="bottom"/>
          </w:tcPr>
          <w:p>
            <w:pPr>
              <w:spacing w:after="0"/>
              <w:rPr>
                <w:sz w:val="20"/>
                <w:szCs w:val="20"/>
                <w:color w:val="auto"/>
              </w:rPr>
            </w:pPr>
          </w:p>
        </w:tc>
      </w:tr>
      <w:tr>
        <w:trPr>
          <w:trHeight w:val="593"/>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w w:val="90"/>
              </w:rPr>
              <w:t>Restoring Self-Tolerance in Autoimmune Diseases</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Primary Biliary Cholangitis</w:t>
            </w: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Preclinical</w:t>
            </w:r>
          </w:p>
        </w:tc>
        <w:tc>
          <w:tcPr>
            <w:tcW w:w="2320" w:type="dxa"/>
            <w:vAlign w:val="bottom"/>
            <w:gridSpan w:val="2"/>
          </w:tcPr>
          <w:p>
            <w:pPr>
              <w:spacing w:after="0"/>
              <w:rPr>
                <w:sz w:val="20"/>
                <w:szCs w:val="20"/>
                <w:color w:val="auto"/>
              </w:rPr>
            </w:pPr>
            <w:r>
              <w:rPr>
                <w:rFonts w:ascii="Arial" w:cs="Arial" w:eastAsia="Arial" w:hAnsi="Arial"/>
                <w:sz w:val="18"/>
                <w:szCs w:val="18"/>
                <w:color w:val="auto"/>
              </w:rPr>
              <w:t>IND filing expected in 2022</w:t>
            </w:r>
          </w:p>
        </w:tc>
        <w:tc>
          <w:tcPr>
            <w:tcW w:w="1500" w:type="dxa"/>
            <w:vAlign w:val="bottom"/>
          </w:tcPr>
          <w:p>
            <w:pPr>
              <w:spacing w:after="0"/>
              <w:rPr>
                <w:sz w:val="20"/>
                <w:szCs w:val="20"/>
                <w:color w:val="auto"/>
              </w:rPr>
            </w:pPr>
            <w:r>
              <w:rPr>
                <w:rFonts w:ascii="Arial" w:cs="Arial" w:eastAsia="Arial" w:hAnsi="Arial"/>
                <w:sz w:val="18"/>
                <w:szCs w:val="18"/>
                <w:color w:val="auto"/>
              </w:rPr>
              <w:t>Selecta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25" w:right="10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Amplifying the Efficacy of Biologics: Enzyme Therapy – Chronic Refractory Gout</w:t>
      </w:r>
    </w:p>
    <w:p>
      <w:pPr>
        <w:spacing w:after="0" w:line="11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SEL-212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clinical data, we believe that SEL-212 has the potential to control serum uric acid, or SUA levels and mitigate the formation of ADAs in response to the therapeutic enzyme. Additionally, we believe that SEL-212 serves as proof of concept for the ImmTOR platform in ameliorating the unwanted immune response to an immunogenic biologic. SEL-212 is in two pivotal Phase 3 studies versus placebo, which we refer to as DISSOLVE I and DISSOLVE II, and with topline data expected in the second half of 2022. SEL-212 has been licensed (except as to Greater China) to Swedish Orphan Biovitrum AB, or Sobi, pursuant to our license and development agreement dated June 11, 2020 with Sobi, or the Sobi License.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market for gout therapy</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Gout, a painful and potentially disabling form of arthritis resulting from excess accumulation of uric acid and deposition of uric acid crystals in joints and soft tissues, including those of the kidney and heart, causing harmful inflammation, is caused by an overproduction of uric acid and/or an inability of the kidneys to excrete adequate amounts of uric acid from the body. High concentrations of SUA lead to formation of uric acid crystals in joints and tissues, causing pain, inflammation and joint damage, and increase the risk for other conditions, including cardiovascular, cardiometabolic, joint and kidney disease.</w:t>
      </w:r>
    </w:p>
    <w:p>
      <w:pPr>
        <w:spacing w:after="0" w:line="80"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Patients who are unable to reduce their SUA levels below 6.0 mg/dL with oral drugs are diagnosed with refractory gout. Chronic refractory gout constitutes a subset of gout patients exhibiting chronic high SUA levels and painful and damaging uric acid deposits. We estimate that there are approximately 160,000 chronic refractory gout patients in the U.S.</w:t>
      </w:r>
    </w:p>
    <w:p>
      <w:pPr>
        <w:spacing w:after="0" w:line="76"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We believe SEL-212 may potentially address several key unmet needs in the treatment of chronic refractory gout: the durable control of SUA levels, the elimination of painful and damaging uric acid deposits, reduction in incidence and severity of flares, based on our preclinical studies, clinical studies, and market research. SEL-212 is designed to address these unmet medical needs while improving the dosing regimen to a once-monthly treatment.</w:t>
      </w:r>
    </w:p>
    <w:p>
      <w:pPr>
        <w:spacing w:after="0" w:line="4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announced the top-line data of our Phase 2 head-to-head clinical trial, which we refer to as the COMPARE trial, against pegloticase, which is marketed as KRYSTEXXA®, in September 2020. SEL-212 showed a numerically higher response rate to pegloticase on the primary endpoint during months 3 and 6 combined, but did not meet the primary endpoint of statistical superiority. SEL-212 did demonstrate a statistically significant higher response rate of SEL-212 during the third month of treatment, as well as a statistically significant greater overall reduction in mean SUA levels in SEL-212 versus pegloticase. SEL-212 demonstrated a numerically higher response rate of SEL-212 during the sixth month of treatment. In patients with tophi at baseline, SEL-212 demonstrated substantially higher responder rates for SEL-212 compared to pegloticase on the primary endpoint, and a statistically significant reduction in mean SUA when compared to pegloticase. Approximately 41% of patients in the Phase 2 COMPARE trial had visible tophi at baseline. SEL-212 showed favorable safety results and was well-tolerated; there were no deaths during the study. There were no notable differences in serious Treatment Emergent Adverse Events, or TEAEs, treatment-related serious TEAEs, or infusion reactions between the two groups. A full analysis of safety signals, including gout flare incidence and severity, requires evaluation of the full data set and will be reported together with the full efficacy analysis in a manuscript in a medical journal.</w:t>
      </w:r>
    </w:p>
    <w:p>
      <w:pPr>
        <w:spacing w:after="0" w:line="74" w:lineRule="exact"/>
        <w:rPr>
          <w:sz w:val="20"/>
          <w:szCs w:val="20"/>
          <w:color w:val="auto"/>
        </w:rPr>
      </w:pPr>
    </w:p>
    <w:p>
      <w:pPr>
        <w:ind w:right="460" w:firstLine="324"/>
        <w:spacing w:after="0" w:line="255" w:lineRule="auto"/>
        <w:rPr>
          <w:sz w:val="20"/>
          <w:szCs w:val="20"/>
          <w:color w:val="auto"/>
        </w:rPr>
      </w:pPr>
      <w:r>
        <w:rPr>
          <w:rFonts w:ascii="Arial" w:cs="Arial" w:eastAsia="Arial" w:hAnsi="Arial"/>
          <w:sz w:val="18"/>
          <w:szCs w:val="18"/>
          <w:color w:val="auto"/>
        </w:rPr>
        <w:t>We and Sobi commenced the Phase 3 DISSOLVE clinical program of SEL-212 in September 2020. The Phase 3 clinical program consists of two double blinded, placebo-controlled trials of SEL-212, DISSOLVE I and DISSOLVE II. Each trial is expected to enroll 105 patients, with 35 patients receiving 0.1 mg/kg of ImmTOR and 0.2 mg/kg of pegadricase, 35 patients receiving 0.15 mg/kg of ImmTOR and 0.2 mg/kg of pegadricase, and 35 patients receiving placebo. DISSOLVE I and DISSOLVE II both have a 6-month primary endpoint with a 6-month safety extension for DISSOLVE I. Topline data from the Phase 3 DISSOLVE clinical program is expected in the second half of 2022. The Phase 3 DISSOLVE clinical program is being conducted by Selecta and funded by Sobi.</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SEL-212 Components</w:t>
      </w:r>
    </w:p>
    <w:p>
      <w:pPr>
        <w:spacing w:after="0" w:line="11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SEL-212 consists of ImmTOR co-administered with pegadricase. Our ImmTOR consists of nanoparticles composed of poly(D,L-lactide), or PLA, and poly(D,L-lactide)-block-poly(ethylene-glycol), or PLA-PEG, encapsulating rapamycin. Our pegadricase consists of a uricase modified with poly(ethylene-glycol), or PEG.</w:t>
      </w:r>
    </w:p>
    <w:p>
      <w:pPr>
        <w:spacing w:after="0" w:line="7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Pegadricase is a pegylated version of the therapeutic enzyme uricase, which we have licensed from Shenyang Sunshine Pharmaceutical Co., Ltd., or 3SBio, exclusively for all markets, except Japan and Greater China, and exclusively for Japan only in combination with our ImmTOR platform. Uricase is an enzyme endogenous to all mammals, except for humans and certain primates, which converts uric acid to the more soluble metabolite, allantoin. There is a natural limit to the amount of uric acid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that can be excreted by the kidneys, which decreases with age and can be reduced by some medications. By converting uric acid to allantoin, uricase provides an additional way for the body to reduce uric acid. In our Phase 1/2 program, out of 19 patients dosed with the pegadricase alone, three patients were responders at week 4.</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SEL-212 Clinical Development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conducted Phase 1a and Phase 1b clinical trials for SEL-212 at multiple sites in the United States.</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Phase 1a trial consisted of a single ascending-dose trial of pegadricase alone in 22 patients with elevated SUA levels greater than 6.0 mg/dL. At the outset of the trial, each of five cohorts received a single intravenous infusion of pegadricase at ascending dose levels. We monitored the patients during a 30-day period post-infusion. We commenced enrollment of the clinical trial in the second quarter of 2015 and completed the treatment portion of the trial in November 2015. We observed that pegadricase showed no serious adverse events, or SAEs, and was well tolerated at the five dose levels tested. Additionally, we observed that pegadricase rapidly reduced and sustained average SUA levels below 6.0 mg/dL for each cohort for 14 to 30 days, depending on the dose level. Consistent with our preclinical studies in animals, pegadricase induced uricase-specific ADAs in all patients with varying levels in this Phase 1a trial.</w:t>
      </w:r>
    </w:p>
    <w:p>
      <w:pPr>
        <w:spacing w:after="0" w:line="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Phase 1b clinical trial enrolled 63 patients with SUA levels greater than 6.0 mg/dL. One group of five patients received a single 0.4 mg/kg dose of pegadricase alone. Four groups of patients, each containing two placebo-control patients and five test article patients, received a placebo or a single intravenous infusion of ImmTOR alone at the following ascending dose levels: 0.03 mg/kg, 0.1 mg/kg, 0.3 mg/kg and 0.5 mg/kg. Four groups of patients received a single intravenous infusion of ImmTOR at ascending dose levels of 0.03 mg/kg (5 patients), 0.1 mg/kg (10 patients), 0.15 mg/kg (5 patients) or 0.3 mg/kg (5 patients) with a fixed dose of pegadricase of 0.4 mg/kg, which we collectively call the SEL-212 cohorts. All patients were followed for at least 30 days after their initial dose.</w:t>
      </w:r>
    </w:p>
    <w:p>
      <w:pPr>
        <w:spacing w:after="0" w:line="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At the completion of our Phase 1b program for SEL-212 we had dosed a total of 64 patients in the trial with either SEL-212 (ImmTOR and pegadricase), ImmTOR alone, pegadricase alone or placebo. The median serum acid level of patients enrolled was 7.3 mg/dL, with a mean of 7.4 mg/dL at baseline. Patients presented with an average of 5.3 co-morbidities, such as hypertension and diabetes.</w:t>
      </w:r>
    </w:p>
    <w:p>
      <w:pPr>
        <w:spacing w:after="0" w:line="76" w:lineRule="exact"/>
        <w:rPr>
          <w:sz w:val="20"/>
          <w:szCs w:val="20"/>
          <w:color w:val="auto"/>
        </w:rPr>
      </w:pPr>
    </w:p>
    <w:p>
      <w:pPr>
        <w:ind w:right="40" w:firstLine="324"/>
        <w:spacing w:after="0" w:line="219" w:lineRule="exact"/>
        <w:rPr>
          <w:sz w:val="20"/>
          <w:szCs w:val="20"/>
          <w:color w:val="auto"/>
        </w:rPr>
      </w:pPr>
      <w:r>
        <w:rPr>
          <w:rFonts w:ascii="Arial" w:cs="Arial" w:eastAsia="Arial" w:hAnsi="Arial"/>
          <w:sz w:val="18"/>
          <w:szCs w:val="18"/>
          <w:color w:val="auto"/>
        </w:rPr>
        <w:t>We have generally observed that SEL</w:t>
      </w:r>
      <w:r>
        <w:rPr>
          <w:rFonts w:ascii="MS PGothic" w:cs="MS PGothic" w:eastAsia="MS PGothic" w:hAnsi="MS PGothic"/>
          <w:sz w:val="18"/>
          <w:szCs w:val="18"/>
          <w:color w:val="auto"/>
        </w:rPr>
        <w:t>‑</w:t>
      </w:r>
      <w:r>
        <w:rPr>
          <w:rFonts w:ascii="Arial" w:cs="Arial" w:eastAsia="Arial" w:hAnsi="Arial"/>
          <w:sz w:val="18"/>
          <w:szCs w:val="18"/>
          <w:color w:val="auto"/>
        </w:rPr>
        <w:t>212 and its components, ImmTOR and pegadricase, have been well tolerated in this patient population. There were a total of six SAEs in the Phase 1b trial. Of the six SAEs, three were determined to not to be related to study drug by investigators. Of the remaining three SAEs that were determined to possibly or likely be related to study drug, two were cases of stomatitis that occurred at the highest dose of ImmTOR tested (0.5 mg/kg), leading us to define 0.3 mg/kg as the maximum tolerated dose of ImmTOR in this patient population. The remaining SAE was a case of drug hypersensitivity that occurred at a dose of 0.1 mg/kg of ImmTOR in combination with 0.4 mg/kg of pegadricase. In all cases, the patient fully recovered from the SAE without residual effects.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2 dose-finding clinical trial</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enrolled patients with symptomatic gout and elevated SUA levels in an open-label, multiple ascending-dose Phase 2 clinical trial of SEL-212 at 15 active U.S. clinical sites. The primary and secondary endpoints for this trial included safety, tolerability, pharmacokinetics, and reduction of SUA and ADA levels, in addition to data regarding flares and other patient-related observations.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the results from the 152 patients dosed in the Phase 2 trial with the primary clinical endpoint of SUA levels below 6 mg/dL:</w:t>
      </w:r>
    </w:p>
    <w:p>
      <w:pPr>
        <w:spacing w:after="0" w:line="129" w:lineRule="exact"/>
        <w:rPr>
          <w:sz w:val="20"/>
          <w:szCs w:val="20"/>
          <w:color w:val="auto"/>
        </w:rPr>
      </w:pPr>
    </w:p>
    <w:p>
      <w:pPr>
        <w:ind w:left="660" w:right="160" w:hanging="328"/>
        <w:spacing w:after="0" w:line="30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Control and 0.05 mg/kg ImmTOR Dose Cohorts </w:t>
      </w:r>
      <w:r>
        <w:rPr>
          <w:rFonts w:ascii="Arial" w:cs="Arial" w:eastAsia="Arial" w:hAnsi="Arial"/>
          <w:sz w:val="16"/>
          <w:szCs w:val="16"/>
          <w:color w:val="auto"/>
        </w:rPr>
        <w:t>(cohorts receiving five monthly doses of pegadricase alone or three monthly doses of 0.2 mg/kg</w:t>
      </w:r>
      <w:r>
        <w:rPr>
          <w:rFonts w:ascii="Arial" w:cs="Arial" w:eastAsia="Arial" w:hAnsi="Arial"/>
          <w:sz w:val="16"/>
          <w:szCs w:val="16"/>
          <w:i w:val="1"/>
          <w:iCs w:val="1"/>
          <w:color w:val="auto"/>
        </w:rPr>
        <w:t xml:space="preserve"> </w:t>
      </w:r>
      <w:r>
        <w:rPr>
          <w:rFonts w:ascii="Arial" w:cs="Arial" w:eastAsia="Arial" w:hAnsi="Arial"/>
          <w:sz w:val="16"/>
          <w:szCs w:val="16"/>
          <w:color w:val="auto"/>
        </w:rPr>
        <w:t>or 0.4 mg/kg of pegadricase + 0.05 mg/kg of ImmTOR followed by two monthly doses of pegadricase alone): Dosing of patients in the control cohorts receiving pegadricase alone was stopped early due to a loss of clinical activity caused by the immunogenicity of the enzyme. Clinical activity was lost by week 12 in the majority of patients receiving pegadricase in combination with the 0.05 mg/kg dose of ImmTOR.</w:t>
      </w:r>
    </w:p>
    <w:p>
      <w:pPr>
        <w:spacing w:after="0" w:line="49" w:lineRule="exact"/>
        <w:rPr>
          <w:rFonts w:ascii="Arial" w:cs="Arial" w:eastAsia="Arial" w:hAnsi="Arial"/>
          <w:sz w:val="16"/>
          <w:szCs w:val="16"/>
          <w:color w:val="auto"/>
        </w:rPr>
      </w:pPr>
    </w:p>
    <w:p>
      <w:pPr>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0.08 and 0.1 mg/kg ImmTOR Dose Cohorts </w:t>
      </w:r>
      <w:r>
        <w:rPr>
          <w:rFonts w:ascii="Arial" w:cs="Arial" w:eastAsia="Arial" w:hAnsi="Arial"/>
          <w:sz w:val="18"/>
          <w:szCs w:val="18"/>
          <w:color w:val="auto"/>
        </w:rPr>
        <w:t>(cohorts receiving three monthly doses of 0.2 mg/kg or 0.4 mg/kg of pegadricase + 0.08 or 0.10 mg/kg</w:t>
      </w:r>
      <w:r>
        <w:rPr>
          <w:rFonts w:ascii="Arial" w:cs="Arial" w:eastAsia="Arial" w:hAnsi="Arial"/>
          <w:sz w:val="18"/>
          <w:szCs w:val="18"/>
          <w:i w:val="1"/>
          <w:iCs w:val="1"/>
          <w:color w:val="auto"/>
        </w:rPr>
        <w:t xml:space="preserve"> </w:t>
      </w:r>
      <w:r>
        <w:rPr>
          <w:rFonts w:ascii="Arial" w:cs="Arial" w:eastAsia="Arial" w:hAnsi="Arial"/>
          <w:sz w:val="18"/>
          <w:szCs w:val="18"/>
          <w:color w:val="auto"/>
        </w:rPr>
        <w:t>of ImmTOR followed by two monthly doses of pegadricase alone): A majority of patients in these cohorts maintained clinical activity while receiving the combination therapy through week 12. These results were consistent with the level of clinical activity observed through day 30 at a similar SEL-212 dose level in our Phase 1b trial. At the 0.1 mg/kg dose level, half of the patients that maintained clinical activity through week 12 also maintained clinical activity through week 20.</w:t>
      </w:r>
    </w:p>
    <w:p>
      <w:pPr>
        <w:spacing w:after="0" w:line="79"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0.125 and 0.15 mg/kg ImmTOR Dose Cohorts </w:t>
      </w:r>
      <w:r>
        <w:rPr>
          <w:rFonts w:ascii="Arial" w:cs="Arial" w:eastAsia="Arial" w:hAnsi="Arial"/>
          <w:sz w:val="18"/>
          <w:szCs w:val="18"/>
          <w:color w:val="auto"/>
        </w:rPr>
        <w:t>(cohorts receiving three monthly doses of pegadricase +0.125 or 0.15 mg/kg of ImmTOR followed</w:t>
      </w:r>
      <w:r>
        <w:rPr>
          <w:rFonts w:ascii="Arial" w:cs="Arial" w:eastAsia="Arial" w:hAnsi="Arial"/>
          <w:sz w:val="18"/>
          <w:szCs w:val="18"/>
          <w:i w:val="1"/>
          <w:iCs w:val="1"/>
          <w:color w:val="auto"/>
        </w:rPr>
        <w:t xml:space="preserve"> </w:t>
      </w:r>
      <w:r>
        <w:rPr>
          <w:rFonts w:ascii="Arial" w:cs="Arial" w:eastAsia="Arial" w:hAnsi="Arial"/>
          <w:sz w:val="18"/>
          <w:szCs w:val="18"/>
          <w:color w:val="auto"/>
        </w:rPr>
        <w:t>by two monthly doses of pegadricase alone): A majority of patients in these cohorts maintained clinical activity while receiving the combination therapy through week 12. These results were consistent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with the level of clinical activity observed through day 30 at a similar SEL-212 dose level in our Phase 1b trial. Approximately 81% of evaluable patients (N=27) receiving up to 0.15 mg/kg ImmTOR in combination with 0.2 or 0.4 mg/kg of pegadricase followed by 2 monthly doses of pegadricase alone had SUA control below 6 mg/dL at week 12.</w:t>
      </w:r>
    </w:p>
    <w:p>
      <w:pPr>
        <w:spacing w:after="0" w:line="76" w:lineRule="exact"/>
        <w:rPr>
          <w:sz w:val="20"/>
          <w:szCs w:val="20"/>
          <w:color w:val="auto"/>
        </w:rPr>
      </w:pPr>
    </w:p>
    <w:p>
      <w:pPr>
        <w:ind w:left="660" w:right="24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0.10 and 0.15 mg/kg ImmTOR 5 Combination Dose Cohorts </w:t>
      </w:r>
      <w:r>
        <w:rPr>
          <w:rFonts w:ascii="Arial" w:cs="Arial" w:eastAsia="Arial" w:hAnsi="Arial"/>
          <w:sz w:val="18"/>
          <w:szCs w:val="18"/>
          <w:color w:val="auto"/>
        </w:rPr>
        <w:t>(cohorts receiving five monthly doses of pegadricase +0.10 or 0.15 mg/kg of</w:t>
      </w:r>
      <w:r>
        <w:rPr>
          <w:rFonts w:ascii="Arial" w:cs="Arial" w:eastAsia="Arial" w:hAnsi="Arial"/>
          <w:sz w:val="18"/>
          <w:szCs w:val="18"/>
          <w:i w:val="1"/>
          <w:iCs w:val="1"/>
          <w:color w:val="auto"/>
        </w:rPr>
        <w:t xml:space="preserve"> </w:t>
      </w:r>
      <w:r>
        <w:rPr>
          <w:rFonts w:ascii="Arial" w:cs="Arial" w:eastAsia="Arial" w:hAnsi="Arial"/>
          <w:sz w:val="18"/>
          <w:szCs w:val="18"/>
          <w:color w:val="auto"/>
        </w:rPr>
        <w:t>ImmTOR ): Five monthly doses of SEL-212 resulted in sustained SUA control and was well tolerated over the entire treatment period. 100% of the patients that had SUA levels below 6 mg/dL at 12 weeks maintained control through 20 weeks. Approximately 66% of evaluable patients (21/32) completed week 20 with SUA levels below 6 mg/dL.</w:t>
      </w:r>
    </w:p>
    <w:p>
      <w:pPr>
        <w:spacing w:after="0" w:line="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SEL-212 was generally well-tolerated at clinically active doses following repeated administrations in the trial. Twenty patients reported a total of 23 SAEs in the Phase 2 clinical trial. Nine SAEs were reported in the five dose combination cohorts, seven of which were reported to be not related or unlikely related to study drug, and two of which were infusion reactions. All SAEs were successfully treated without further issues.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2 head-to-head clinical trial (COMPARE)</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2019, we initiated a non-registrational Phase 2 head-to-head clinical trial of SEL-212 (COMPARE), in which SEL-212 was compared against the current FDA-approved therapy for chronic refractory gout, pegloticase, in multiple clinical sites in the United States. The two-armed, open label trial enrolled 170 patients with 87 patients receiving pegloticase (as set forth in the prescribing information) and the other 83 patients receiving six monthly doses of SEL-212 (0.15 mg/kg of ImmTOR and 0.2 mg/kg of pegadricase).</w:t>
      </w:r>
    </w:p>
    <w:p>
      <w:pPr>
        <w:spacing w:after="0" w:line="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September 30, 2020, we announced the topline results from the COMPARE trial. SEL-212 showed a numerically higher response rate to pegloticase on the primary endpoint during months 3 and 6 combined, but did not meet the primary endpoint of statistical superiority. SEL-212 did demonstrate a statistically significant higher response rate of SEL-212 during the third month of treatment, as well as a statistically significant greater overall reduction in mean SUA levels in SEL-212 versus pegloticase in months 3 and 6 combined. SEL-212 demonstrated a numerically higher response rate of SEL-212 during the sixth month of treatment. In patients with tophi at baseline, SEL-212 demonstrated substantially higher responder rates for SEL-212 compared to pegloticase on the primary endpoint, and a statistically significant reduction in mean SUA when compared to pegloticase. Approximately 41% of patients in the Phase 2 COMPARE trial had visible tophi at baseline, which is lower than expected for the general refractory gout population. SEL-212 showed a favorable safety profile and was well-tolerated. There were no deaths during the study. There were no notable differences in serious TEAEs, treatment-related serious TEAEs, or infusion reactions between the two groups. A full analysis of safety signals, including gout flare incidence and severity, requires evaluation of the full data set and will be reported together with the full efficacy analysis in a manuscript in a medical journal.</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3 DISSOLVE clinical program</w:t>
      </w:r>
    </w:p>
    <w:p>
      <w:pPr>
        <w:spacing w:after="0" w:line="11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September 2020, we commenced the Phase 3 clinical program of SEL-212, which we refer to as DISSOLVE. We are responsible for the execution of the DISSOLVE program and are being reimbursed by Sobi on a quarterly basis for expenses incurred in connection with these activities. The Phase 3 clinical program consists of two double-blinded, placebo-controlled trials of SEL-212. We refer to these trials as DISSOLVE I and DISSOLVE II. Each trial is expected to enroll 105 patients, with 35 patients receiving 0.1 mg/kg of ImmTOR and 0.2 mg/kg of pegadricase, 35 patients receiving 0.15 mg/kg of ImmTOR and 0.2 mg/kg of pegadricase, and 35 patients receiving placebo. We commenced enrollment of DISSOLVE I in September 2020 and DISSOLVE</w:t>
      </w:r>
    </w:p>
    <w:p>
      <w:pPr>
        <w:spacing w:after="0" w:line="2" w:lineRule="exact"/>
        <w:rPr>
          <w:sz w:val="20"/>
          <w:szCs w:val="20"/>
          <w:color w:val="auto"/>
        </w:rPr>
      </w:pPr>
    </w:p>
    <w:p>
      <w:pPr>
        <w:ind w:right="80" w:firstLine="8"/>
        <w:spacing w:after="0" w:line="302" w:lineRule="auto"/>
        <w:tabs>
          <w:tab w:leader="none" w:pos="16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2020. DISSOLVE I is enrolling patients in the United States only and will have a 6-month primary endpoint followed by a 6-month safety extension. DISSOLVE II will have a 6-month primary endpoint with no extension. The primary endpoint of the DISSOLVE program is the maintenance of SUA levels below 6 mg/dL at 6 months. Topline data from the Phase 3 DISSOLVE clinical program is expected in the second half of 2022.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Amplifying the Efficacy of Biologics: Enzyme Therapy – IgA Nephropathy</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second indication in our enzyme therapy program is IgA nephropathy, an autoimmune kidney disease that occurs when immune complexes of a subclass of antibodies called immunoglobulin A1 (IgA1) accumulates in the kidneys.</w:t>
      </w:r>
    </w:p>
    <w:p>
      <w:pPr>
        <w:spacing w:after="0" w:line="6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October 8, 2020, we entered into an Option and License Agreement, or the IGAN Agreement, with IGAN Biosciences, Inc., or IGAN. Pursuant to the IGAN Agreement, IGAN has granted us an exclusive license to research, evaluate, and conduct pre-clinical development activities on IGAN’s proprietary IgA proteases. Previous studies in animal models conducted at independent laboratories demonstrated that IgA protease removed injurious IgA immune complexes from kidneys and reduced inflammation, fibrosis, and hematuria. These results suggest that it is an excellent candidate to potentially decrease the rate of disease progression and possibly even reverse the disease. The barrier to IgA protease commercialization is the bacterial origin of the protease, which makes it immunogenic. Our ImmTOR platform has shown in clinical studies the ability to mitigate the formation of ADAs to immunogenic enzymes, which has been demonstrated with our Phase 3 lead product candidate, SEL-212. We intend to combine IgA protease with our ImmTOR platform to develop a novel combination product candidate for the treatment of IgA nephropathy and IgA-mediated diseases. We will have an option term of 24 months, during which we can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elect to obtain an exclusive license to further develop and commercialize the product candidate to treat all IgA-mediated diseases, including IgA nephropathy, Linear IgA bullous dermatitis, IgA pemphigus, and Henoch-Schonlein purpura (also known as IgA vasculitis).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file an Investigational New Drug, or IND, application, for this program by the fourth quarter of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Amplifying the Efficacy of Biologics: Gene Therapies</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When used in combination with AAV gene therapy vectors, ImmTOR has been observed to inhibit the immune response to the vector and enable successful redosing in mice and nonhuman primates. Currently, the ability to re-administer systemic AAV gene therapy is limited by the development of neutralizing antibodies. The ability to safely re-dose AAV may help achieve therapeutic benefit in patients who are under-dosed; it may also help restore transgene expression in patients, particularly pediatric patients, who may lose expression over time as they grow. In addition, a study conducted in nonhuman primates showed that co-administration of AAV vector and ImmTOR in non-human primates, or NHPs, enabled higher and more durable transgene expression after the first dose of gene therapy as well as robust inhibition of anti-AAV8 immunoglobulin G, or IgG and neutralizing antibodies. The observation that co-administration of AAV vector and ImmTOR leads to higher transgene expression demonstrates the potential for dosing lower levels of AAV gene therapies when combined with ImmTOR. Thus integrating ImmTOR into a gene therapy protocol has the potential to provide a first dose benefit by enhancing liver-directed transgene expression and durability, as well as the potential for enabling re-dosing.</w:t>
      </w:r>
    </w:p>
    <w:p>
      <w:pPr>
        <w:spacing w:after="0" w:line="5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lead gene therapy program is in collaboration with AskBio in methylmalonic acidemia, or MMA, an inherited disorder in which the body is unable to process certain proteins and fats (lipids) properly. We and AskBio plan to file an IND for this product candidate, MMA-101, in MMA and commence a Phase 1 clinical trial in the first half of 2021 under this collaboration. We expect to report initial data from this trial by the end of 2021. In October and November 2020, we and AskBio received rare pediatric disease designation and orphan drug designation, respectively, from the FDA for MMA-101, for the treatment of MMA due to methylmalonyl-CoA mutase, or MMUT gene mutations. See “ Licenses and Collaborations AskBio” for more information.</w:t>
      </w:r>
    </w:p>
    <w:p>
      <w:pPr>
        <w:spacing w:after="0" w:line="53"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Our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w:t>
      </w:r>
    </w:p>
    <w:p>
      <w:pPr>
        <w:spacing w:after="0" w:line="6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SEL-399 program combines an empty AAV capsid (EMC-101), which is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 An initial control cohort of healthy volunteers received a single dose of EMC-101 in December 2020 and dose escalating cohorts of EMC-101 plus ImmTOR were initiated in February 2021. Topline results from the clinical trial are expected in the fourth quarter of 2021.</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several additional programs in development with our collaborators.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Restoring Self-tolerance in Autoimmune Diseases</w:t>
      </w:r>
    </w:p>
    <w:p>
      <w:pPr>
        <w:spacing w:after="0" w:line="11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lead autoimmune diseases indication is PBC, a T-cell driven autoimmune disease that causes progressive destruction of the bile ducts. Patients with PBC are in need of a highly-targeted,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Collaborations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Swedish Orphan Biovitrum</w:t>
      </w:r>
    </w:p>
    <w:p>
      <w:pPr>
        <w:spacing w:after="0" w:line="117"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June 2020, we announced that we had entered into the Sobi License,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Additionally, Sobi purchased an aggregate of 5,416,390 shares of our common stock at $4.6156 for aggregate gross proceeds of $25 million, which we refer to as the Sobi Private Placement. The closing of the Sobi Private Placement occurred on July 31, 2020.</w:t>
      </w:r>
    </w:p>
    <w:p>
      <w:pPr>
        <w:spacing w:after="0" w:line="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Under the Sobi License, we will have operational oversight of the Phase 3 DISSOLVE clinical program of SEL-212 (DISSOLVE I and DISSOLVE II) that commenced in September 2020, at Sobi’s expense.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IGAN Biosciences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October 2020, we entered into the IGAN Agreement. Pursuant to the IGAN Agreement, IGAN granted us an exclusive license to research, evaluate, and conduct pre-clinical development activities on IGAN’s proprietary IgA proteases. We have an option term of 24 months, or the Option Term, during which we can elect to obtain an exclusive license to further develop and commercialize the product to treat all IgA-mediated diseases, including IgA nephropathy, Linear IgA bullous dermatitis, IgA pemphigus, and Henoch-Schonlein purpura (also known as IgA vasculitis).</w:t>
      </w:r>
    </w:p>
    <w:p>
      <w:pPr>
        <w:spacing w:after="0" w:line="63"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Upon execution of the IGAN Agreement, we paid IGAN a one-time up-front payment of $500,000 and we would owe additional payments to IGAN if we were to opt-in to an exclusive license agreement, as well as upon the achievement of certain development and sales milestones.</w:t>
      </w:r>
    </w:p>
    <w:p>
      <w:pPr>
        <w:spacing w:after="0" w:line="3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During the Option Term, we may terminate the IGAN Agreement immediately for any reason upon written notice to IGAN. If we opt-in to an exclusive license agreement, we may terminate the IGAN Agreement upon 120 days’ written notice.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Sarepta Therapeutics</w:t>
      </w:r>
    </w:p>
    <w:p>
      <w:pPr>
        <w:spacing w:after="0" w:line="11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If Sarepta opts-in to an exclusive license agreement, we could receive option exercise payments per indication, we would be entitled to significant development and commercial milestone payments and tiered royalties ranging from the mid-to-high single digits based on net sales.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AskBio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August 2019, we entered into a feasibility study and license agreement with AskBio, or the AskBio Collaboration Agreement.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and will leverage that previous work within the collaboration. We expect to commence a Phase 1 clinical trial in MMA-101 in the first half of 2021, with initial proof of concept data expected by the end of 2021. The initial proof-of-concept data will potentially validate the use of our ImmTOR platform to mitigate the formation of neutralizing anti-AAV capsid antibodies, which currently precludes re-dosing. If the proof-of-concept studies are successful, we will proceed with a collaboration to pursue the development and commercialization of AAV gene therapy product candidates utilizing ImmTOR for the treatment of certain agreed serious rare and orphan genetic diseases.</w:t>
      </w:r>
    </w:p>
    <w:p>
      <w:pPr>
        <w:spacing w:after="0" w:line="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the SEL-399 program in collaboration with AskBio, combines an empty AAV capsid (EMC-101), which is an AAV capsid containing no transgene, with ImmTOR. We commenced the trial in healthy adult volunteers in December 2020, with the goal to demonstrate the appropriate dose of ImmTOR in humans to mitigate the formation of antibodies to AAV capsids used in gene therapies. Topline results are expected in the fourth quarter of 2021.</w:t>
      </w:r>
    </w:p>
    <w:p>
      <w:pPr>
        <w:spacing w:after="0" w:line="7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we are responsible for manufacturing ImmTOR.</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December 2019, we entered into the AskBio License Agreement which provides AskBio with exclusive worldwide rights to our ImmTOR platform to research, develop and commercialize certain AAV-gene therapy products targeting the GAA gene, or derivatives thereof, to treat Pompe Disease. Pursuant to the AskBio License Agreement, AskBio paid us upfront fees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 aggregate of $7.0 million. Also pursuant to the AskBio License Agreement, AskBio agreed to make additional payments to us based on the achievement of certain development and commercial milestones of up to an aggregate of $237.0 million. AskBio will also be obligated to make tiered royalty payments, at percentages in the mid-to-high single digits, to us based on achievement of certain sales milestones.</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will supply AskBio with our ImmTOR platform and AskBio will be responsible for all preclinical, clinical and commercial manufacture and supply of products licensed under the AskBio License Agreement (other than ImmTOR) and carry out all other activities related to the research, development, and commercialization of such products at its sole expense, including all regulatory activities related thereto. The AskBio License Agreement contains other customary terms and conditions, including representations and warranties, covenants, termination, and indemnification obligations in favor of each party.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Spark Therapeutics</w:t>
      </w:r>
    </w:p>
    <w:p>
      <w:pPr>
        <w:spacing w:after="0" w:line="11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2016, we entered into a license and option agreement with Spark, or the Spark License Agreement, which provides Spark with exclusive worldwide rights to our ImmTOR platform to research, develop and commercialize gene therapies for Factor VIII, an essential blood clotting protein relevant to the treatment of hemophilia A.</w:t>
      </w:r>
    </w:p>
    <w:p>
      <w:pPr>
        <w:spacing w:after="0" w:line="7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Pursuant to the Spark License Agreement, Spark paid us an upfront payment of $15.0 million. We will be eligible to receive up to an aggregate of $430.0 million in milestone payments, with up to $65.0 million being based on Spark’s achievement of specified development and regulatory milestones and up to $365.0 million for commercial milestones, as well as tiered royalties on global net sales at percentages ranging from mid-single to low-double digits.</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Each party is responsible for its own costs and expenses incurred in connection with its respective activities under the Spark License, except that Spark has agreed to reimburse us for the full-time equivalent and out-of-pocket costs incurred in performing certain tasks or assistance specifically requested by Spark. We retain the responsibility to manufacture Spark’s preclinical, clinical and commercial requirements for the ImmTOR platform, subject to the terms of the Spark License Agreement.</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Spark License Agreement will continue on a country-by-country and product-by-product basis until the expiration of Spark’s royalty payment obligations with respect to such product in such country unless earlier terminated by the parties. The Spark License Agreement may be terminated by Spark for convenience upon ninety days’ notice. Either party may terminate the Spark License Agreement on a target-by-target basis for the material breach of the other party with respect to such target.</w:t>
      </w:r>
    </w:p>
    <w:p>
      <w:pPr>
        <w:spacing w:after="0" w:line="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Spark License Agreement, we also entered into a stock purchase agreement with Spark, pursuant to which Spark purchased in the aggregate $15.0 million of shares of our common stock.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Institute of Technology</w:t>
      </w:r>
    </w:p>
    <w:p>
      <w:pPr>
        <w:spacing w:after="0" w:line="11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2008, we entered into a license agreement with the Massachusetts Institute of Technology, or MIT, which we refer to in its amended form as the MIT License. We amended the MIT License in January 2010, August 2013, November 2016, December 2019 and June 2020.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and Women’s Hospital, or Brigham, the President and Fellows of Harvard College, the Immune Disease Institute and the Children’s Medical Center Corporation. Our exclusivity is subject to certain retained rights of these institutions and other third parties.</w:t>
      </w:r>
    </w:p>
    <w:p>
      <w:pPr>
        <w:spacing w:after="0" w:line="6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creditable annual maintenance fees, low-single-digit running royalty on annual net sales, developmental milestones up to an aggregate of $1.5 million, a mid-single digit percentage of certain payments we receive from corporate partners and a specified percentage of certain income received from sublicensees after 2009 between 10% and 30%. 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June 2020, we entered into a Fifth Amendment to the MIT License, or the MIT Amendment, which was effective as of May 15, 2020. Pursuant to the MIT Amendment, certain of our diligence obligations were extended to the second quarter of 2021, including a diligence obligation to commence a Phase 3 trial for a licensed product by a specific date in the second quarter of 2021. Additionally, certain of our development and regulatory milestones and payments upon achievement of such milestones were adjusted.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Shenyang Sunshine Pharmaceutical Co., Ltd.</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2014, we entered into a license agreement with 3SBio, as amended in 2017, which we refer to as the 3SBio License. Pursuant to the 3SBio License, we were granted an exclusive license to certain pegadricase-related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ImmTOR platform with pegadricase or related compounds supplied by 3SBio (or otherwise supplied if our rights to manufacture are in effect) for human therapeutic, diagnostic and prophylactic use. We were also granted a co-exclusive license to manufacture and have manufactured pegadricase and related compounds for our preclinical and clinical use or, if the 3SBio License is terminated for 3SBio’s material breach, for any use under the 3SBio License. In addition, the 3SBio License, as amended, permits us to utilize one or more third parties to provide up to 20% of our commercial supply of pegadricase. Otherwise, except in the case of a supply shortage on the part of 3SBio, we are obligated to obtain at least 80% of our supply of such compounds for Phase 3 clinical trials and commercial use from 3SBio under the terms of our separate Commercial Supply Agreement with 3SBio dated August 1, 2019.</w:t>
      </w:r>
    </w:p>
    <w:p>
      <w:pPr>
        <w:spacing w:after="0" w:line="7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3SBio License we have paid to 3SBio an aggregate of $7.0 million in upfront and milestone-based payments. We are required to make future payments to 3SBio contingent upon the occurrence of events related to the achievement of clinical and regulatory approval milestones of up to an aggregate of $15.0 million for products containing our ImmTOR platform. We are also required to pay 3SBio tiered royalties on annual worldwide net sales related to the pegadricase component of products at percentages ranging from the low-to-mid single digits for products containing our ImmTOR platform, subject to specified reductions. These royalties are payable,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5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3SBio License expires on the date of expiration of all of our royalty payment obligations unless earlier terminated by either party for an uncured material default of the other party or for the other party’s bankruptcy.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manufacture ImmTOR using a scalable, self-assembly nanoemulsion process with well-defined, pharmaceutical unit operations. This proprietary, highly specialized and precisely controlled manufacturing process enables us to reproducibly manufacture ImmTOR across many production scales, from milligram-scale at the laboratory bench to hundreds of grams to multi-kilogram scale for commercial production. We have also developed and executed the required detailed analytic characterization of our products.</w:t>
      </w:r>
    </w:p>
    <w:p>
      <w:pPr>
        <w:spacing w:after="0" w:line="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For our most advanced product candidate, SEL-212, we are producing ImmTOR at an approximately 400-gram scale process, which, at the doses being tested in the Phase 3 DISSOLVE program, we believe will be suitable for commercialization. The process is designed such that this same equipment is capable of potentially producing up to a one kilogram batch size scale. As our nanoparticle manufacturing process is compact, and therefore also portable, our strategy is to transfer our custom designed process skids to a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8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pegadricase enzyme for SEL-212 is produced by fermentation in E. coli and is sourced from 3SBio in China. Through a licensing arrangement, we own exclusive worldwide rights to pegadricase outside of China, with co-ownership of rights in Japan and with 3SBio owning all rights in China. Under this arrangement, 3SBio has agreed to supply us with pegadricase. We also have a second supplier for pegadricase in the United States.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ImmTOR platform is designed to deliver precise instructions to the immune system as a result of the natural predisposition of the immune system to interrogate nanoparticles such as viruses. In connection with our founding, we licensed multiple patent families, including a patent family based in part on the pioneering research performed by our co-founders at Harvard University, MIT and Brigham. We have also conducted extensive research in-house to further research this area, leading to key discoveries regarding and uses for our ImmTOR technology. We have aggressively sought to extend and protect the proprietary intellectual property underlying the composition and use of ImmTOR for antigen-specific immunotolerance.</w:t>
      </w:r>
    </w:p>
    <w:p>
      <w:pPr>
        <w:spacing w:after="0" w:line="5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endeavor to protect our nanoparticle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nanoparticle-based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6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developed and in-licensed numerous patents and patent applications and possess substantial know-how and trade secrets relating to our nanoparticle-based immunotherapy technology, program and product candidates. Our patent portfolio contains a number of issued patents in the United States and certain foreign jurisdictions. We also own a number of pending patent applications in the United States and certain foreign jurisdictions. These patents and patent applications include claims related to:</w:t>
      </w:r>
    </w:p>
    <w:p>
      <w:pPr>
        <w:spacing w:after="0" w:line="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tolerance immunotherapy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methods and compositions related to our proprietary nanoparticles in a variety of applications, including tolerance applications, such as:</w:t>
      </w:r>
    </w:p>
    <w:p>
      <w:pPr>
        <w:spacing w:after="0" w:line="128" w:lineRule="exact"/>
        <w:rPr>
          <w:rFonts w:ascii="Arial" w:cs="Arial" w:eastAsia="Arial" w:hAnsi="Arial"/>
          <w:sz w:val="17"/>
          <w:szCs w:val="17"/>
          <w:color w:val="auto"/>
        </w:rPr>
      </w:pPr>
    </w:p>
    <w:p>
      <w:pPr>
        <w:ind w:left="1300" w:right="120" w:hanging="320"/>
        <w:spacing w:after="0" w:line="342" w:lineRule="auto"/>
        <w:tabs>
          <w:tab w:leader="none" w:pos="1296" w:val="left"/>
        </w:tabs>
        <w:numPr>
          <w:ilvl w:val="1"/>
          <w:numId w:val="9"/>
        </w:numPr>
        <w:rPr>
          <w:rFonts w:ascii="Arial" w:cs="Arial" w:eastAsia="Arial" w:hAnsi="Arial"/>
          <w:sz w:val="16"/>
          <w:szCs w:val="16"/>
          <w:color w:val="auto"/>
        </w:rPr>
      </w:pPr>
      <w:r>
        <w:rPr>
          <w:rFonts w:ascii="Arial" w:cs="Arial" w:eastAsia="Arial" w:hAnsi="Arial"/>
          <w:sz w:val="16"/>
          <w:szCs w:val="16"/>
          <w:color w:val="auto"/>
        </w:rPr>
        <w:t>mitigating anti-drug antibodies and/or their effects associated with protein drugs, such as for chronic refractory gout, including coverage for ImmTOR co-administered with pegadricase, which related patents are expected to expire between 2032 and 2040, and</w:t>
      </w:r>
    </w:p>
    <w:p>
      <w:pPr>
        <w:spacing w:after="0" w:line="15" w:lineRule="exact"/>
        <w:rPr>
          <w:rFonts w:ascii="Arial" w:cs="Arial" w:eastAsia="Arial" w:hAnsi="Arial"/>
          <w:sz w:val="16"/>
          <w:szCs w:val="16"/>
          <w:color w:val="auto"/>
        </w:rPr>
      </w:pPr>
    </w:p>
    <w:p>
      <w:pPr>
        <w:ind w:left="1300" w:right="120" w:hanging="320"/>
        <w:spacing w:after="0" w:line="277"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genetic therapies (such as viral vector gene therapy), including coverage for ImmTOR co-administered with a viral vector, which related patents are expected to expire between 2032 and 2040; and</w:t>
      </w:r>
    </w:p>
    <w:p>
      <w:pPr>
        <w:spacing w:after="0" w:line="62"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development and commercialization of SEL-212, including both composition of matter and method of treatment claims (there are multiple patent families with claims that cover the SEL-212 product, one of which is a licensed, issued U.S. patent that expires in August 2021).</w:t>
      </w:r>
    </w:p>
    <w:p>
      <w:pPr>
        <w:spacing w:after="0" w:line="3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we have exclusively or non-exclusively licensed intellectual property, including U.S. issued patents, foreign issued patents, and pending applications in both the U.S. and foreign jurisdictions.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2029.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Europe, South Korea, Mexico, India, Israel and/or Japan.</w:t>
      </w:r>
    </w:p>
    <w:p>
      <w:pPr>
        <w:spacing w:after="0" w:line="5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Currently, we own or license patents and patent applications with expected material expiration dates ranging from 2021 to 2040.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6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62"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key competitive factors affecting the success of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7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63" w:lineRule="exact"/>
        <w:rPr>
          <w:sz w:val="20"/>
          <w:szCs w:val="20"/>
          <w:color w:val="auto"/>
        </w:rPr>
      </w:pPr>
    </w:p>
    <w:p>
      <w:pPr>
        <w:ind w:right="400" w:firstLine="324"/>
        <w:spacing w:after="0" w:line="243" w:lineRule="auto"/>
        <w:rPr>
          <w:sz w:val="20"/>
          <w:szCs w:val="20"/>
          <w:color w:val="auto"/>
        </w:rPr>
      </w:pPr>
      <w:r>
        <w:rPr>
          <w:rFonts w:ascii="Arial" w:cs="Arial" w:eastAsia="Arial" w:hAnsi="Arial"/>
          <w:sz w:val="18"/>
          <w:szCs w:val="18"/>
          <w:color w:val="auto"/>
        </w:rPr>
        <w:t>SEL-212 may compete with others in the gout market, including KRYSTEXXA, which contains a pegylated uricase similar to the pegadricase component of SEL-212 and is indicated for the treatment of refractory gout. Horizon Pharma plc, whose affiliates own KRYSTEXXA, may find other approaches to eliminate undesired immunogenicity to KRYSTEXXA. Long-term treatment with global immunosuppressive products may increase the susceptibility to contract infections, tumors and may lead to organ failure.</w:t>
      </w:r>
    </w:p>
    <w:p>
      <w:pPr>
        <w:spacing w:after="0" w:line="80"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Large companies with active research to prevent the formation of ADAs and treat allergies or autoimmune diseases include Sanofi S.A., Pfizer Inc., and Merck &amp; Co., Inc. Small, early-stage biopharmaceutical companies active in the research for new technologies to induce antigen-specific immune tolerance include Anokion SA, Apitope International NV, Caladrius Biosciences, Cour Pharmaceutical Development Company, Inc., Dendright International, Inc., Parvus Therapeutics, REGiMMUNE Corporation, Rubius Therapeutics, Inc., Tolerion, Inc., Topas Therapeutics GmbH, SQZ Biotechnologies and Txcell SA. Biopharmaceutical companies active in the research for ornithine transcarbamylase include Ultragenyx, Poseida, TranslateBio, Arcturus, and Kaleido. Biopharmaceutical companies active in the research for MMA include LogicBio, Poseida, and Moderna. Biopharmaceutical companies active in the research for IgA nephropathy include Calliditas, Omeros, Travere, EMD Serono, Novartis, Ionis, Visterra, Reata, and Alnylam. Biopharmaceutical companies active in the research for PBC include Intercept Pharmaceuticals, Genfit, GenKyoTex, GSK, Eli Lily, and CymaBay.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5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We expect to seek approval of SEL-212 through a single BLA reviewed by CDER, and we do not expect that the FDA will require a separate marketing authorization for each constituent of SEL-212.</w:t>
      </w:r>
    </w:p>
    <w:p>
      <w:pPr>
        <w:spacing w:after="0" w:line="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biological products development process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process required by the FDA before a biologic, including a gene therapy, may be marketed in the United States is summarized below.</w:t>
      </w:r>
    </w:p>
    <w:p>
      <w:pPr>
        <w:spacing w:after="0" w:line="129"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4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In addition to the submission of an IND to the FDA, supervision of certain human gene transfer trials may also require evaluation and assessment by an institutional biosafety committee, or IBC, a local institutional committee that reviews and oversees research utilizing recombinant or synthetic nucleic acid molecules at that institution.</w:t>
      </w:r>
    </w:p>
    <w:p>
      <w:pPr>
        <w:spacing w:after="0" w:line="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Clinical trials are conducted under protocols detailing, among other things, the objectives of the clinical study, dosing procedures, patient selection and exclusion criteria, and the parameters to be used to monitor patient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study must be reviewed and approved by an independent institutional review board, or IRB, at or servicing each institution at which the clinical study will be conducted. Human clinical trials are typically conducted in three sequential phases that may overlap or be combined:</w:t>
      </w:r>
    </w:p>
    <w:p>
      <w:pPr>
        <w:spacing w:after="0" w:line="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biological product candidate is initially introduced into healthy human patients and tested for safety.</w:t>
      </w:r>
    </w:p>
    <w:p>
      <w:pPr>
        <w:spacing w:after="0" w:line="117"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biological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trials are intended to establish the overall risk/benefit ratio of the product and provide an adequate basis for product labeling.</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38"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7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Sponsors of clinical trials of FDA-regulated products, including biologics, are also required to register and disclose certain clinical trial information, which is publicly available at www.clinicaltrials.gov. Concurrent with clinical trials, companies must also finalize a process for manufacturing the product in commercial quantities in accordance with GMP requirements.</w:t>
      </w:r>
    </w:p>
    <w:p>
      <w:pPr>
        <w:spacing w:after="0" w:line="7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 Type C meeting or as may be agreed between the sponsor and FDA. Unless otherwise required by regulation, PREA does not apply to any biological product for an indication for which orphan designation has been granted.</w:t>
      </w:r>
    </w:p>
    <w:p>
      <w:pPr>
        <w:spacing w:after="0" w:line="58"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the submission is accepted for filing, the FDA begins an in-depth substantive review of the BLA to determine, among other things, whether the proposed product is safe, pure and potent for its intended use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7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Before approving a BLA, the FDA will inspect the facilities at which the product is manufactured to determine that the manufacturing processes and facilities are in compliance with cGMP requirements and are adequate to assure consistent production of the product within required specifications.</w:t>
      </w:r>
    </w:p>
    <w:p>
      <w:pPr>
        <w:spacing w:after="0" w:line="1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7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Designation</w:t>
      </w:r>
    </w:p>
    <w:p>
      <w:pPr>
        <w:spacing w:after="0" w:line="11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5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11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Rare Pediatric Disease designation program allows for a sponsor who receives an approval for a product to potentially qualify for a voucher that can be redeemed to receive a priority review of a subsequent marketing application for a different product.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FDA may consider for review sections of the marketing application for a Fast Track product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eligible for priority review if it treats a serious condition and, if approved, would provide a significant improvement in safety or effectiveness compared to marketed products.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6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7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8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certain biosimilars approved as interchangeable products. At this juncture, it is unclear whether products deemed “interchangeable” by the FDA will, in fact, be readily substituted by pharmacies, which are governed by state pharmacy law.</w:t>
      </w:r>
    </w:p>
    <w:p>
      <w:pPr>
        <w:spacing w:after="0" w:line="62" w:lineRule="exact"/>
        <w:rPr>
          <w:sz w:val="20"/>
          <w:szCs w:val="20"/>
          <w:color w:val="auto"/>
        </w:rPr>
      </w:pPr>
    </w:p>
    <w:p>
      <w:pPr>
        <w:jc w:val="both"/>
        <w:ind w:right="280" w:firstLine="324"/>
        <w:spacing w:after="0" w:line="270"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BPCIA is complex and continues to be interpreted and implemented by the FDA. As a result, the ultimate impact, implementation and meaning of the BPCIA is subject to significant uncertainty.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w:t>
      </w:r>
    </w:p>
    <w:p>
      <w:pPr>
        <w:spacing w:after="0" w:line="6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the European Economic Area, or EEA, which is composed of the 27 member states of the European Union plus Norway, Iceland and Liechtenstein medicinal products can only be commercialized after obtaining a Marketing Authorization, or MA.</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two types of MAs.</w:t>
      </w:r>
    </w:p>
    <w:p>
      <w:pPr>
        <w:spacing w:after="0" w:line="117" w:lineRule="exact"/>
        <w:rPr>
          <w:sz w:val="20"/>
          <w:szCs w:val="20"/>
          <w:color w:val="auto"/>
        </w:rPr>
      </w:pPr>
    </w:p>
    <w:p>
      <w:pPr>
        <w:ind w:left="660" w:right="20" w:hanging="328"/>
        <w:spacing w:after="0" w:line="269"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advanced therapy medicinal products (such as gene therapy, somatic cell therapy and tissue engineered products), and medicinal products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70" w:lineRule="exact"/>
        <w:rPr>
          <w:rFonts w:ascii="Arial" w:cs="Arial" w:eastAsia="Arial" w:hAnsi="Arial"/>
          <w:sz w:val="17"/>
          <w:szCs w:val="17"/>
          <w:color w:val="auto"/>
        </w:rPr>
      </w:pPr>
    </w:p>
    <w:p>
      <w:pPr>
        <w:ind w:left="660" w:right="30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8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6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7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second applicant can establish that its product, although similar, is safer, more effective or otherwise clinically superior;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applicant consents to a second orphan medicinal product application;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applicant cannot supply enough orphan medicinal product.</w:t>
      </w:r>
    </w:p>
    <w:p>
      <w:pPr>
        <w:spacing w:after="0" w:line="11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4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When conducting clinical trials in the EU,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European Union, the EU Clinical Trials Regulation was passed as a regulation that is directly applicable in all EU member states. All clinical trials performed in the European Union are required to be conducted in accordance with the Clinical Trials Directive until the Clinical Trials Regulation becomes applicable. According to the current plans of the EMA, the Clinical Trials Regulation is expected to become applicable in 2020.</w:t>
      </w:r>
    </w:p>
    <w:p>
      <w:pPr>
        <w:spacing w:after="0" w:line="5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We are also subject to E.U. rules with respect to cross-border transfers of personal data out of the E.U. and EEA. We are subject to the supervision of local data protection authorities in those E.U. jurisdictions where we are established or otherwise subject to the GDPR. Fines for certain breaches of the GDPR are significant: up to the greater of EUR 20 million or 4% of total global annual turnover. In addition to the foregoing, a breach of the GDPR could result in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In addition,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70"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Violation of the federal Anti-Kickback Statute may also constitute a false or fraudulent claim for purposes of the federal civil False Claims Act. Actions under the civil False Claims Act may be brought by the Attorney General or as a qui tam action by a private individual in the name of the government. Violations of the civil False Claims Act can result in very significant monetary penalties and treble damages.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7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84"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(defined to include doctors, dentists, optometrists, podiatrists and chiropractors), certain other health care professionals beginning in 2022, and teaching hospitals, as well as ownership and investment interests held by physicians and their immediate family members.</w:t>
      </w:r>
    </w:p>
    <w:p>
      <w:pPr>
        <w:spacing w:after="0" w:line="8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Moreover, for drugs and biologics administered under the supervision of a physician, obtaining coverage and adequate reimbursement may be particularly difficult because of the higher prices often associated with such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subjected drug manufacturers to new annual fees based on pharmaceutical companies’ share of sales to federal healthcare programs; and created a new Patient Centered Outcomes Research Institute to oversee, identify priorities in, and conduct comparative clinical effectiveness research, along with funding for such research.</w:t>
      </w:r>
    </w:p>
    <w:p>
      <w:pPr>
        <w:spacing w:after="0" w:line="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By way of example, the Tax Cuts and Jobs Acts of 2017, or the TCJA, was enacted, which, among other things, removes penalties for not complying with the individual mandate to carry health insurance. Further, in 2018, a U.S. District Court Judge in the Northern District of Texas, ruled that the individual mandate is a critical and inseverable feature of the ACA, and therefore, because it was repealed as part of the TCJA, the remaining provisions of the ACA are invalid as well. In December 2019, the U.S. Court of Appeals for the Fifth Circuit ruled that the individual mandate was unconstitutional and remanded the case back to the District Court to determine whether the remaining provisions of the ACA are invalid as well. It is unclear how these decisions, subsequent appeals, if any, and other efforts to challenge, repeal or replace the ACA will impact the law.</w:t>
      </w:r>
    </w:p>
    <w:p>
      <w:pPr>
        <w:spacing w:after="0" w:line="69"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11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of December 31, 2020, we had 43 full-time employees and one part-time employee, 30 of whom are primarily engaged in research and development activities and five of whom are officers of Selecta Biosciences, Inc. As of December 31, 2020, we also had one full-time consultant. Twenty-three of our employees have either one or both of an M.S. or Ph.D. degree. We consider the intellectual capital of our employees to be an essential driver of our business and key to future prospects. To attract and retain a high-quality, experienced workforce, we offer a competitive mix of compensation and insurance benefits for our employees, as well as participation in our equity programs. Employees working 30 hours or more a week are eligible to participate in our medical, prescription, dental, vision, Flexible Spending Account and life insurance and disability plans. To</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assist employees with costs associated with rising healthcare costs, we pay 100% of an employee’s deductible and co-insurance payments. We also offer employees an annual bonus plan and a 401(k)-retirement plan with a company match. All employees are awarded new hire equity and annual equity as well as the opportunity to participate in our Employee Stock Purchase Plan. Our 2020 annualized voluntary turnover rate was 4.93%. None of our employees are represented by a labor union and we consider our employee relations to be good.</w:t>
      </w:r>
    </w:p>
    <w:p>
      <w:pPr>
        <w:spacing w:after="0" w:line="7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response to the COVID-19 pandemic, we implemented changes in our business in March 2020 in an effort to protect our employees, and to support appropriate health and safety protocols. In particular, we closed our principal executive office with our administrative employees continuing their work remotely and limited the number of staff in any given research and development laboratory.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proxy statements and other information. Our SEC filings are available to the public over the Internet at the SEC's website at http://www.sec.gov. We make available on our website at www.selectabio.com, free of charge, copies of these reports as soon as reasonably practicable after filing or furnishing these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00" w:lineRule="exact"/>
        <w:rPr>
          <w:sz w:val="20"/>
          <w:szCs w:val="20"/>
          <w:color w:val="auto"/>
        </w:rPr>
      </w:pPr>
    </w:p>
    <w:p>
      <w:pPr>
        <w:spacing w:after="0" w:line="27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Investing in our common stock involves various risks. You should carefully read and consider the matters discussed in this Annual Report under the heading “Risk Factors,” which include the following risks:</w:t>
      </w:r>
    </w:p>
    <w:p>
      <w:pPr>
        <w:spacing w:after="0" w:line="62" w:lineRule="exact"/>
        <w:rPr>
          <w:sz w:val="20"/>
          <w:szCs w:val="20"/>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development-stage company and have incurred significant losses since our inception. We expect to incur losses for the foreseeable future and may never achieve or maintain profitability.</w:t>
      </w:r>
    </w:p>
    <w:p>
      <w:pPr>
        <w:spacing w:after="0" w:line="62"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need substantial additional funding in order to complete development of our product candidates and commercialize our products, if approved.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credit facility place restrictions on our operating and financial flexibility.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are based on our ImmTOR platform, which is an unproven approach designed to induce antigen-specific immune tolerance to biologic drugs.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Regulatory authorities in the United States and European Union have limited experience in reviewing and approving gene therapy products.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outbreak of COVID-19 may continue to adversely impact our business, including sourcing raw materials and supplies to produce our product candidates, our preclinical studies and clinical trials.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3SBio in China as our primary supplier of pegadricase and on other third parties for the manufacture of our product candidates for preclinical and clinical testing, and expect to continue to do so for the foreseeable future.</w:t>
      </w:r>
    </w:p>
    <w:p>
      <w:pPr>
        <w:spacing w:after="0" w:line="6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by failing to meet deadlines for the completion of such trials.</w:t>
      </w:r>
    </w:p>
    <w:p>
      <w:pPr>
        <w:spacing w:after="0" w:line="62"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have the funds necessary to fulfill our obligation to repurchase certain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involved in two securities class action lawsuits.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on Form 10-K.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Since inception, we have incurred significant operating losses in every year. Our net losses were $68.9 million for the year ended December 31, 2020, and $55.4 million and $65.3 million for each of the years ended December 31, 2019 and 2018, respectively. As of December 31, 2020, we had an accumulated deficit of $404.6 million. To date, we have financed our operations primarily through public offerings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platform, identifying potential product candidates and conducting preclinical studies and our clinical trials. We are in the early stages of development of most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7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maintain and enter into collaboration, licensing and other agreements, including, but not limited to research and development, and/or commercialization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6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6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to develop our gene therapy program, including our collaboration with AskBio, research and develop our autoimmune program,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believe that our existing cash, cash equivalents and restricted cash as of December 31, 2020 will enable us to fund our operating expenses and capital expenditure requirements into the second quarter of 2023. We have based this estimate on assumptions that may prove to be wrong, and we could use our capital resources sooner than we currently expect.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preclinical development, and laboratory testing;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from commercial sales of our product candidates for which we receive marketing approval;</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COVID-19 pandemic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60" w:firstLine="324"/>
        <w:spacing w:after="0" w:line="255" w:lineRule="auto"/>
        <w:rPr>
          <w:sz w:val="20"/>
          <w:szCs w:val="20"/>
          <w:color w:val="auto"/>
        </w:rPr>
      </w:pPr>
      <w:r>
        <w:rPr>
          <w:rFonts w:ascii="Arial" w:cs="Arial" w:eastAsia="Arial" w:hAnsi="Arial"/>
          <w:sz w:val="17"/>
          <w:szCs w:val="17"/>
          <w:color w:val="auto"/>
        </w:rPr>
        <w:t>On August 31, 2020, we entered into a term loan, or the 2020 Term Loan, of up to $35.0 million,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The Term B Loan will be available, subject to Oxford’s discretion and customary terms and conditions, during the period commencing on the date we have delivered to Oxford and SVB evidence: (i) we or one of our collaboration partners has enrolled its first randomized patient for a Phase 1 clinical trial evaluating the treatment of MMA and (ii) we have enrolled the</w:t>
      </w:r>
    </w:p>
    <w:p>
      <w:pPr>
        <w:sectPr>
          <w:pgSz w:w="11900" w:h="16838" w:orient="portrait"/>
          <w:cols w:equalWidth="0" w:num="1">
            <w:col w:w="11240"/>
          </w:cols>
          <w:pgMar w:left="320" w:top="125"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first patient in each of two Phase 3 pivotal trials evaluating SEL-212, or the Second Draw Period Milestone, and ending on the earliest of (i) the date which is 30 days following the date the Second Draw Period Milestone is achieved, (ii) September 30, 2021 (iii) and the occurrence of an event of default, other than an event of default that has been waived in writing by Oxford and SVB in their sole discretion. Because we have enrolled the first patient in each of our two Phase 3 trials for SEL-212, the Second Draw Period Milestone has been achieved, and we expect the Term B Loan will be available to be drawn, once we or AskBio enroll the first randomized patient in our planned Phase 1 clinical trial evaluating the treatment of MMA.</w:t>
      </w:r>
    </w:p>
    <w:p>
      <w:pPr>
        <w:spacing w:after="0" w:line="6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Failure to satisfy our current and future debt obligations, including covenants to take or avoid specific actions, under the 2020 Term Loan could result in an event of default, our lenders could accelerate all of the amounts due. If we raise any additional debt financing, the terms of such additional debt could further restrict our operating and financial flexibility.</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6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the TCJA, although the treatment of NOLs arising on or before December 31, 2017 has generally not changed, NOLs arising on or after January 1, 2018 will generally only be able to offset 80% of taxable income. Subsequently, in March 2020, the Coronavirus Aid, Relief, and Economic Security Act, or the CARES Act, removed the 80% limitation rule for tax years 2018 through 2020, and as of taxable years beginning on or after January 1, 2021, the 80% limitation has been reinstated. This change may require us to pay federal income taxes in future years despite generating a loss for federal income tax purposes in prior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product candidates are based on our ImmTOR platform, which is an unproven approach designed to induce antigen-specific immune tolerance to biologic drugs. We are very early in most of our clinical development efforts and may not be successful in our efforts to use our ImmTOR platform to build a pipeline of product candidates and develop marketable drugs.</w:t>
      </w:r>
    </w:p>
    <w:p>
      <w:pPr>
        <w:spacing w:after="0" w:line="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All of our product candidates are derived from our ImmTOR platform, which is an unproven approach to induce antigen-specific immune tolerance and to mitigate the immunogenicity of biologic therapies currently being implemented to treat patients. We are primarily developing our ImmTOR platform to improve and enable activity in biologics that are designed to treat rare and serious diseases.</w:t>
      </w:r>
    </w:p>
    <w:p>
      <w:pPr>
        <w:spacing w:after="0" w:line="7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While we have completed our early development clinical trials and a Phase 2 clinical trial for SEL-212, we have not completed a clinical trial for any other product candidate, nor have we demonstrated our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5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initiation and completion of preclinical studies and clinical trials with positive results;</w:t>
      </w:r>
    </w:p>
    <w:p>
      <w:pPr>
        <w:spacing w:after="0" w:line="117"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reliance on third parties (including but not limited to collaborators, licensees, clinical research organizations and contract manufacturing organizations);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 not infringing or violating patents or other intellectual property of third parties;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growing an organization of scientists and business people who can develop and commercialize our product candidates and technology.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We are applying our ImmTOR platform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4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our ImmTOR platform. We may experience problems or delays in developing such product candidates and any such problems or delays (i) may result in unanticipated costs and time to develop our product candidates and/or (ii) may not be resolved in a satisfactory manner.</w:t>
      </w:r>
    </w:p>
    <w:p>
      <w:pPr>
        <w:spacing w:after="0" w:line="7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clinical trial requirements of the FDA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European Medicines Agency, or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6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Additionally, under the National Institutes of Health, or NIH, Guidelines for Research Involving Recombinant DNA Molecules, or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7"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A similar framework is in place in the EU.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5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the clinical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Additionally, adverse developments in clinical trials conducted by others of gene therapy products or products created using genome editing technology, or adverse public perception of the field of genome editing, may cause the FDA and other regulatory bodies to revise the requirements for approval of any product candidates we may develop or limit the use of products utilizing genome editing technologies, either of which could materially harm our business. Delay or failure to obtain, or unexpected costs in obtaining, the regulatory approval necessary to bring a potential product to market would materially and adversely affect our business, financial condition, results of operations and prospects.</w:t>
      </w:r>
    </w:p>
    <w:p>
      <w:pPr>
        <w:spacing w:after="0" w:line="6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Aside from SEL-212, our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topline clinical trial results we reported from our Phase 2 head-to-head COMPARE study of SEL-212 may not be predictive of future results. Moreover, we may not be able to complete, or may be required to deviate from the current clinical trial protocol for a variety of reasons.</w:t>
      </w:r>
    </w:p>
    <w:p>
      <w:pPr>
        <w:spacing w:after="0" w:line="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us to abandon development of SEL-403. In the SEL-212 Phase 1/2 clinical program, multiple SAEs have occurred, and future SAEs may occur causing us to incur additional costs or experience delays in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completing, or causing us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53"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 We expect that we and Sobi will need to conduct more than one Phase 3 trial for SEL-212 for a chronic refractory gout indication in order to gain approval from the FDA. Even if we and Sobi conduct more than one Phase 3 trial for SEL-212, the FDA may not accept the data, and may delay, limit or deny approval of SEL-212, which could have an impact on the timing of development milestone payments owed to us by Sobi.</w:t>
      </w:r>
    </w:p>
    <w:p>
      <w:pPr>
        <w:spacing w:after="0" w:line="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62"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128" w:lineRule="exact"/>
        <w:rPr>
          <w:rFonts w:ascii="Arial" w:cs="Arial" w:eastAsia="Arial" w:hAnsi="Arial"/>
          <w:sz w:val="17"/>
          <w:szCs w:val="17"/>
          <w:color w:val="auto"/>
        </w:rPr>
      </w:pPr>
    </w:p>
    <w:p>
      <w:pPr>
        <w:ind w:left="660" w:right="3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117"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7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79" w:lineRule="exact"/>
        <w:rPr>
          <w:sz w:val="20"/>
          <w:szCs w:val="20"/>
          <w:color w:val="auto"/>
        </w:rPr>
      </w:pPr>
    </w:p>
    <w:p>
      <w:pPr>
        <w:ind w:left="5540" w:right="4860" w:hanging="5208"/>
        <w:spacing w:after="0" w:line="903"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11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8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For example, SEL-212 is being developed for the treatment of chronic refractory gout, which affects a small patient population in the United States. Accordingly, there is a limited number of patients who could enroll in our clinical studies for SEL-212. Additionally, the COVID-19 pandemic could affect our ability to enroll or sustain patients in our clinical trials.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may continue to adversely impact our business, including our preclinical studies and clinical trials.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ongoing COVID-19 pandemic has impacted our business and we expect it to continue to do so. In response to the spread of COVID-19, we closed our principal executive office with our administrative employees continuing their work outside of our office and limited the number of staff in any given research and development laboratory. As COVID-19 continues to spread in the United States and elsewhere, we may experience disruptions that could severely impact our business, preclinical studies and clinical trials, including:</w:t>
      </w:r>
    </w:p>
    <w:p>
      <w:pPr>
        <w:spacing w:after="0" w:line="7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or sustaining patients in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such as ImmTOR including interruption in global shipping that may affect the transport of clinical trial materials;</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and clinics serving as our clinical trial sites and hospital and clinic staff supporting the conduct of our clinical trials;</w:t>
      </w:r>
    </w:p>
    <w:p>
      <w:pPr>
        <w:spacing w:after="0" w:line="6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or the closing of clinical trial sites due to the virus, the occurrence of which could affect the integrity of clinical trial data;</w:t>
      </w:r>
    </w:p>
    <w:p>
      <w:pPr>
        <w:spacing w:after="0" w:line="75"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interruptions or delays in preclinical studies due to restricted or limited operations at our research and development laboratory facility;</w:t>
      </w:r>
    </w:p>
    <w:p>
      <w:pPr>
        <w:spacing w:after="0" w:line="128" w:lineRule="exact"/>
        <w:rPr>
          <w:rFonts w:ascii="Arial" w:cs="Arial" w:eastAsia="Arial" w:hAnsi="Arial"/>
          <w:sz w:val="17"/>
          <w:szCs w:val="17"/>
          <w:color w:val="auto"/>
        </w:rPr>
      </w:pPr>
    </w:p>
    <w:p>
      <w:pPr>
        <w:ind w:left="660" w:right="6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660" w:right="8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the clinical endpoints, statistical analysis plan, or enrollment plans for ongoing clinical trials due to limitations in patients, resources, or sites due to COVID-19;</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increased cybersecurity risks and strains on our business continuity plans.</w:t>
      </w:r>
    </w:p>
    <w:p>
      <w:pPr>
        <w:spacing w:after="0" w:line="1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extent to which the COVID-19 pandemic impacts our business, preclinical studies and clinical trials will depend on future developments, which are highly uncertain and cannot be predicted with confidence.</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risks inherent in conducting international clinical trials include:</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7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we and AskBio received orphan drug designation for MMA-101 in November 2020. We expect to seek one or more of these designations for our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Further, there can be no assurance that any of our product candidates that are granted such designations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6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For example, we and Sobi announced top-line data from the Phase 2 COMPARE trial for SEL-212 in September 2020.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preliminary and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7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interim, top-line, or preliminary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5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5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w:t>
      </w:r>
    </w:p>
    <w:p>
      <w:pPr>
        <w:spacing w:after="0" w:line="7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We terminated the license of LMB-100, a component of SEL-403, from NCI in April 9, 2019 and are no longer pursuing this product candidate.</w:t>
      </w:r>
    </w:p>
    <w:p>
      <w:pPr>
        <w:spacing w:after="0" w:line="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the clinical development of SEL-212 over many years has required multiple clinical trials and resulted in the use of different formulations of ImmTOR. While we do not believe that such differences in formulation will affect the safety or the efficacy of SEL-212, we cannot guarantee that any such formulation changes will not negatively impact the results of any clinical trials related to SEL-212, or result in a significant difference in the safety and efficacy of SEL-212.</w:t>
      </w:r>
    </w:p>
    <w:p>
      <w:pPr>
        <w:spacing w:after="0" w:line="79"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7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impose additional restrictions on the marketing of, or the manufacturing processes for, the particular product;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 become subject to fines, injunctions or the imposition of civil or criminal penalties;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required to develop a risk evaluation and mitigation strategy (REMS) plan to prevent, monitor and/or manage a specific serious risk by informing, educating and/or reinforcing actions to reduce the frequency and/or severity of the event.</w:t>
      </w:r>
    </w:p>
    <w:p>
      <w:pPr>
        <w:spacing w:after="0" w:line="6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6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12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We obtain the biologic pegadricase, a component of SEL-212, primarily from 3SBio in China. Under the 3SBio License,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7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Any disruption in production or inability of 3SBio in China to produce adequate quantities of pegadricase to meet our needs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7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Moreover, as a result of the COVID-19 pandemic, certain of our suppliers and CMOs in the United States, China and other countries may be affected, which could disrupt their activities. We could face difficulty sourcing key components necessary to produce supply of SEL-212, which may negatively affect our clinical development activities and our agreement with Sobi. If COVID-19 continues to impact U.S. business operations, including those of our CMOs and suppliers, we could face additional disruptions to our supply chain that could affect the supply of drug product for our preclinical studies and clinical trials. Additionally, as our CMOs are producers of drug substances and drug products, including vaccines and therapeutics, they could be compelled by a national government, or choose themselves, to shift their resources to the production of a COVID-19 vaccine and/or therapeutics for COVID-19, which could disrupt any scheduled drug substance or drug product batches we may have and may prevent us from obtaining supplies for our programs in a timely manner to meet our development timelines.</w:t>
      </w:r>
    </w:p>
    <w:p>
      <w:pPr>
        <w:spacing w:after="0" w:line="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These factors and increasing wage rates due to increased demand for skilled laborers and the declining availability of skilled labor in China could cause our labor costs to rise.</w:t>
      </w:r>
    </w:p>
    <w:p>
      <w:pPr>
        <w:spacing w:after="0" w:line="8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rely, and expect to continue to rely, in addition to 3SBio, on other third parties for the manufacture of our product candidates for supply in preclinical studies and clinical trials,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8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and even if we do rely on third-party manufacturers entails additional risks, including the:</w:t>
      </w:r>
    </w:p>
    <w:p>
      <w:pPr>
        <w:spacing w:after="0" w:line="62" w:lineRule="exact"/>
        <w:rPr>
          <w:sz w:val="20"/>
          <w:szCs w:val="20"/>
          <w:color w:val="auto"/>
        </w:rPr>
      </w:pPr>
    </w:p>
    <w:p>
      <w:pPr>
        <w:ind w:left="660" w:right="48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failure or unwillingness of third-party manufacturers to comply with regulatory requirements, maintain quality assurance, meet our needs, specifications or schedules or continue to supply products to us;</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third-party manufacturers,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 of manufacturing agreements by the third-party manufacturers;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w:t>
      </w:r>
    </w:p>
    <w:p>
      <w:pPr>
        <w:spacing w:after="0" w:line="117"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5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platform.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any of our existing collaborations, or if these arrangements are not successful, or we are unable to enter into future licenses, our business could be adversely affected.</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entered into collaborations with other parties, including pharmaceutical companies and universities, to develop products based on our ImmTOR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us, and certain collaborations, licenses and agreements may result in increased expenditures by us. Our existing collaborations, and any future collaborations, may pose a number of risks, including the following:</w:t>
      </w:r>
    </w:p>
    <w:p>
      <w:pPr>
        <w:spacing w:after="0" w:line="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660" w:right="8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40" w:lineRule="exact"/>
        <w:rPr>
          <w:rFonts w:ascii="Arial" w:cs="Arial" w:eastAsia="Arial" w:hAnsi="Arial"/>
          <w:sz w:val="16"/>
          <w:szCs w:val="16"/>
          <w:color w:val="auto"/>
        </w:rPr>
      </w:pPr>
    </w:p>
    <w:p>
      <w:pPr>
        <w:ind w:left="660" w:right="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which may cause collaborators to cease to devote resources to the commercialization of our product candidates;</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46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collaborations may be terminated and we would potentially lose the right to pursue further development or commercialization of the applicable product candidates as well as have difficulty entering into a similar collaboration where the potential collaborator is aware of the prior termination;</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62" w:lineRule="exact"/>
        <w:rPr>
          <w:sz w:val="20"/>
          <w:szCs w:val="20"/>
          <w:color w:val="auto"/>
        </w:rPr>
      </w:pPr>
    </w:p>
    <w:p>
      <w:pPr>
        <w:ind w:right="140" w:firstLine="324"/>
        <w:spacing w:after="0" w:line="243" w:lineRule="auto"/>
        <w:rPr>
          <w:sz w:val="20"/>
          <w:szCs w:val="20"/>
          <w:color w:val="auto"/>
        </w:rPr>
      </w:pPr>
      <w:r>
        <w:rPr>
          <w:rFonts w:ascii="Arial" w:cs="Arial" w:eastAsia="Arial" w:hAnsi="Arial"/>
          <w:sz w:val="18"/>
          <w:szCs w:val="18"/>
          <w:color w:val="auto"/>
        </w:rPr>
        <w:t>We rely, and expect to continue to rely, on third parties, such as CROs, clinical data management organizations, medical institutions and clinical investigators, to conduct and manage our clinical trials, including our ongoing Phase 3 DISSOLVE clinical program for SEL-212, consisting of the DISSOLVE I and DISSOLVE II trials, which we have agreed to continue to run on behalf of Sobi, and for our other product candidates. We also expect to rely on other third parties to store and distribute drug supplies for our clinical trials.</w:t>
      </w:r>
    </w:p>
    <w:p>
      <w:pPr>
        <w:spacing w:after="0" w:line="80"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 xml:space="preserve">Our reliance on these third parties for research and development activities will reduce our control over these activities but does not relieve us of our responsibilities.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t>
      </w:r>
      <w:r>
        <w:rPr>
          <w:rFonts w:ascii="Arial" w:cs="Arial" w:eastAsia="Arial" w:hAnsi="Arial"/>
          <w:sz w:val="17"/>
          <w:szCs w:val="17"/>
          <w:i w:val="1"/>
          <w:iCs w:val="1"/>
          <w:color w:val="auto"/>
        </w:rPr>
        <w:t>www.ClinicalTrials.gov</w:t>
      </w:r>
      <w:r>
        <w:rPr>
          <w:rFonts w:ascii="Arial" w:cs="Arial" w:eastAsia="Arial" w:hAnsi="Arial"/>
          <w:sz w:val="17"/>
          <w:szCs w:val="17"/>
          <w:color w:val="auto"/>
        </w:rPr>
        <w:t>, within specified timeframes. Failure to do so can result in fines, adverse publicity and civil and criminal sanctions.</w:t>
      </w:r>
    </w:p>
    <w:p>
      <w:pPr>
        <w:spacing w:after="0" w:line="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commercial manufacturing facility, we cannot assure you that we can manufacture our product candidates in compliance with regulations at a cost or in quantities necessary to make them commercially viable.</w:t>
      </w:r>
    </w:p>
    <w:p>
      <w:pPr>
        <w:spacing w:after="0" w:line="7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a pilot manufacturing facility at our Watertown, Massachusetts location where we conduct process development, scale-up activities and the manufacture of ImmTOR product candidates for preclinical use. We rely on our scaled equipment installed at our CMOs for the manufacture of the clinical supply of all of our product candidates. If our facility, or our CMOs’ facilities, were damaged or destroyed, or otherwise subject to disruption, it would require substantial lead-time to replace our manufacturing 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5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commercial-scale manufacturing of our product candidates and this activity will require substantial additional funds and qualified employees. We may not be able to develop commercial-scale manufacturing facilities that are adequate to produce materials for additional later-stage clinical trials or commercial use.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Legal Compliance Matters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 once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6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including Horizon Pharma plc,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6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49"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third-party payors seeking to encourage the use of generic or biosimilar products.</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4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4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or third-party coverage or reimbursement policies, any of which would have a material adverse effect on our business.</w:t>
      </w:r>
    </w:p>
    <w:p>
      <w:pPr>
        <w:spacing w:after="0" w:line="38"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70"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limit commercialization of any products that we may develop.</w:t>
      </w:r>
    </w:p>
    <w:p>
      <w:pPr>
        <w:spacing w:after="0" w:line="1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 and</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3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660" w:right="2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9" w:lineRule="exact"/>
        <w:rPr>
          <w:rFonts w:ascii="Arial" w:cs="Arial" w:eastAsia="Arial" w:hAnsi="Arial"/>
          <w:sz w:val="18"/>
          <w:szCs w:val="18"/>
          <w:color w:val="auto"/>
        </w:rPr>
      </w:pPr>
    </w:p>
    <w:p>
      <w:pPr>
        <w:ind w:left="660" w:right="120" w:hanging="328"/>
        <w:spacing w:after="0" w:line="279"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63"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75"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right="40" w:hanging="328"/>
        <w:spacing w:after="0" w:line="30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49" w:lineRule="exact"/>
        <w:rPr>
          <w:rFonts w:ascii="Arial" w:cs="Arial" w:eastAsia="Arial" w:hAnsi="Arial"/>
          <w:sz w:val="16"/>
          <w:szCs w:val="16"/>
          <w:color w:val="auto"/>
        </w:rPr>
      </w:pPr>
    </w:p>
    <w:p>
      <w:pPr>
        <w:ind w:left="660" w:right="14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75" w:lineRule="exact"/>
        <w:rPr>
          <w:rFonts w:ascii="Arial" w:cs="Arial" w:eastAsia="Arial" w:hAnsi="Arial"/>
          <w:sz w:val="18"/>
          <w:szCs w:val="18"/>
          <w:color w:val="auto"/>
        </w:rPr>
      </w:pPr>
    </w:p>
    <w:p>
      <w:pPr>
        <w:ind w:left="660" w:right="20" w:hanging="328"/>
        <w:spacing w:after="0" w:line="272"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69"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similar healthcare laws and regulations in the European Union and other jurisdictions, including reporting requirements detailing interactions with and payments to healthcare providers and laws governing the privacy and</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8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example,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By way of example, the TCJA was enacted, which, among other things, removes penalties for not complying with the individual mandate to carry health insurance. In 2018, a U.S. District Court Judge in the Northern District of Texas, ruled that the individual mandate is a critical and inseverable feature of the ACA, and therefore, because it was repealed as part of the TCJA, the remaining provisions of the ACA are invalid as well. In December 2019, the U.S. Court of Appeals for the Fifth Circuit ruled that the individual mandate was unconstitutional and remanded the case back to the District Court to determine whether the remaining provisions of the ACA are invalid as well. It is unclear how these decisions, subsequent appeals, if any, and other efforts to challenge, repeal or replace the ACA will impact the ACA or our business. We cannot predict the ultimate content, timing or effect of any healthcare reform legislation or the impact of potential legislation on us.</w:t>
      </w:r>
    </w:p>
    <w:p>
      <w:pPr>
        <w:spacing w:after="0" w:line="8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Separately, in response to the COVID-19 pandemic, the FDA has periodically modified its regular practices with respect to inspection of manufacturing facilities. The FDA intends to use this risk-based assessment system to identify the categories of</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6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41" w:lineRule="exact"/>
        <w:rPr>
          <w:sz w:val="20"/>
          <w:szCs w:val="20"/>
          <w:color w:val="auto"/>
        </w:rPr>
      </w:pPr>
    </w:p>
    <w:p>
      <w:pPr>
        <w:jc w:val="both"/>
        <w:ind w:right="420" w:firstLine="324"/>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Department of State, the U.S. Foreign Corrupt Practices Act of 1977, as amended, or FCPA, the U.S. domestic bribery statute contained in 18 U.S.C. § 201, the U.S. Travel Act, the USA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6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68"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w:t>
      </w:r>
    </w:p>
    <w:p>
      <w:pPr>
        <w:spacing w:after="0" w:line="4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6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5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7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would be harmed.</w:t>
      </w:r>
    </w:p>
    <w:p>
      <w:pPr>
        <w:spacing w:after="0" w:line="12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or the Leahy-Smith Act, included a number of significant changes to U.S. patent law. These include provisions that affect the way patent applications are prosecuted and may also affect patent litigation. The USPTO recently developed new regulations and procedures to govern administration of the Leahy-Smith Act, including its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8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76"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8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7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7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risks coming to fruition could have a material adverse impact on our business.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3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84"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6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may also be unable to maintain third-party intellectual property rights. For example, MIT may terminate the MIT License if we fail to meet our diligence obligations under the agreement.</w:t>
      </w:r>
    </w:p>
    <w:p>
      <w:pPr>
        <w:spacing w:after="0" w:line="6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6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6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62"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4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strategy may not be successful.</w:t>
      </w:r>
    </w:p>
    <w:p>
      <w:pPr>
        <w:spacing w:after="0" w:line="11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January 3, 2019, following a strategic business review, we announced a strategy to focus on the development of SEL-212 for the treatment of chronic refractory gout and advancement of our ImmTOR platform in the area of gene therapy, specifically ImmTOR in combination with AAV gene therapy for the treatment of CN and MMA, as well as the deprioritization of our oncology development program. The success of this strategic shift depends on our ability to successfully develop our product candidates, hire and retain senior management or other highly qualified personnel, prioritize competing projects and efforts and obtain sufficient resources, including additional capital, as well as our ability to enter into collaborations with third parties.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6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The Sarbanes-Oxley Act of 2002,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bring with them significant legal and financial compliance costs and made some activities more time-consuming and costly.</w:t>
      </w:r>
    </w:p>
    <w:p>
      <w:pPr>
        <w:spacing w:after="0" w:line="8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maintaining our subsidiary in Russia or expanding operations internationally could adversely affect our business.</w:t>
      </w:r>
    </w:p>
    <w:p>
      <w:pPr>
        <w:spacing w:after="0" w:line="14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addition to our U.S. operations, we maintain a wholly owned subsidiary in Russia, Selecta (RUS).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3" w:lineRule="exact"/>
        <w:rPr>
          <w:sz w:val="20"/>
          <w:szCs w:val="20"/>
          <w:color w:val="auto"/>
        </w:rPr>
      </w:pPr>
    </w:p>
    <w:p>
      <w:pPr>
        <w:ind w:left="660" w:right="2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complexities associated with managing multiple-payor reimbursement regimes, government payors or patient self-pay systems;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660" w:right="42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75" w:lineRule="exact"/>
        <w:rPr>
          <w:rFonts w:ascii="Arial" w:cs="Arial" w:eastAsia="Arial" w:hAnsi="Arial"/>
          <w:sz w:val="18"/>
          <w:szCs w:val="18"/>
          <w:color w:val="auto"/>
        </w:rPr>
      </w:pPr>
    </w:p>
    <w:p>
      <w:pPr>
        <w:ind w:left="660" w:right="40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natural disasters, political and economic instability, including wars, events of terrorism and political unrest, outbreak of disease, including the COVID-19 coronavirus, boycotts, curtailment of trade and other business restrictions and economic weakness, including inflation;</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 on cross-border investment, including enhanced oversight by the Committee on Foreign Investment in the United States and substantial restrictions on investment from China;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 or unauthorized or inappropriate use of or access to our systems.</w:t>
      </w:r>
    </w:p>
    <w:p>
      <w:pPr>
        <w:spacing w:after="0" w:line="14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5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117"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3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write-offs of goodwill, any of which could harm our financial condition. We cannot predict the number, timing or size of future joint ventures or acquisitions, or the effect that any such transactions might have on our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62"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4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to meet or exceed financial estimates, projections or development timelines of the investment community or that we provide to the public;</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62"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30.9% of our outstanding voting stock as of December 31, 2020.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reduce. As of December 31, 2020, we had 108,071,249 shares of common stock outstanding. In addition, as of December 31, 2020, 7,775,249 and 87,500 shares of common stock that are subject to outstanding options or restricted stock unit awards, respectively, under our outstanding equity plans are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necessary to fulfill our obligation to repurchase certain warrants.</w:t>
      </w:r>
    </w:p>
    <w:p>
      <w:pPr>
        <w:spacing w:after="0" w:line="11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Under certain circumstances, holders of certain warrants issued in December 2019 may require us to repurchase the remaining unexercised portion of such warrants for an amount of cash equal to the value of the warrant as determined in accordance with the Black-Scholes option pricing model and the terms of the warrants. Our ability to repurchase the warrants depends on our ability to generate cash flow in the future. To some extent, this is subject to general economic, financial, competitive, legislative and regulatory factors and other factors that are beyond our control. We cannot be certain that we will maintain sufficient cash reserves or that our business will generate cash flow from operations at levels sufficient to permit us to repurchase the warrants.</w:t>
      </w:r>
    </w:p>
    <w:p>
      <w:pPr>
        <w:spacing w:after="0" w:line="5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6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may remain an emerging growth company until December 31, 2021, the last day of the fiscal year following the fifth anniversary of the closing of the initial public offering of our common stock. However, if certain events occur prior to the end of such five-year period, including if we become a “large accelerated filer,” our annual gross revenues exceed $1.07 billion or we issue more than $1.07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historically, relied on these exemptions, and we may continue to do so until they are no longer available to us.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80"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two securities class action lawsuits.</w:t>
      </w:r>
    </w:p>
    <w:p>
      <w:pPr>
        <w:spacing w:after="0" w:line="11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 On August 4, 2020, a putative stockholder of Selecta filed a stockholder derivative action purportedly on behalf of Selecta and against certain current and former members of our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the private placement transaction, announced on December 19, 2019, at a price allegedly below fair value. On September 25, 2020, the defendants filed a motion to dismiss. On November 6, 2020, the plaintiff filed an amended complaint, and the defendants filed a second motion to dismiss on January 8, 2021.</w:t>
      </w:r>
    </w:p>
    <w:p>
      <w:pPr>
        <w:spacing w:after="0" w:line="5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 December 31, 2020, we received a stockholder litigation demand from other shareholders, relating to the same private placement transaction. While we intend to vigorously defend against this demand, which we believe to be without merit, there can be no assurance as to the outcome of any stockholder litigation. Unfavorable outcomes in securities class action litigation could require us to pay extensive damages, which could delay or prevent our ability to develop our product candidates and harm our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corporate headquarters are currently located at 65 Grove Street, Watertown, Massachusetts and consist of 25,078 total square feet of leased office and laboratory space under a lease that expires in May 2028.</w:t>
      </w:r>
    </w:p>
    <w:p>
      <w:pPr>
        <w:spacing w:after="0" w:line="62" w:lineRule="exact"/>
        <w:rPr>
          <w:sz w:val="20"/>
          <w:szCs w:val="20"/>
          <w:color w:val="auto"/>
        </w:rPr>
      </w:pPr>
    </w:p>
    <w:p>
      <w:pPr>
        <w:ind w:right="1940" w:firstLine="324"/>
        <w:spacing w:after="0" w:line="375" w:lineRule="auto"/>
        <w:rPr>
          <w:sz w:val="20"/>
          <w:szCs w:val="20"/>
          <w:color w:val="auto"/>
        </w:rPr>
      </w:pPr>
      <w:r>
        <w:rPr>
          <w:rFonts w:ascii="Arial" w:cs="Arial" w:eastAsia="Arial" w:hAnsi="Arial"/>
          <w:sz w:val="18"/>
          <w:szCs w:val="18"/>
          <w:color w:val="auto"/>
        </w:rPr>
        <w:t xml:space="preserve">We also lease approximately 2,500 square feet of office and laboratory space in Moscow, Russia on a month-to-month basis.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publicly traded on The Nasdaq Stock Market under the symbol “SELB.”</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March 5, 2021, there were approximately 112,373,199 shares of our common stock outstanding held by approximately 33 holders of record. The actual number of stockholders is greater than this number of record holders, and includes stockholders who are beneficial owners, but whose shares are held in street name by brokers and other nominees.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loan and security agreement with Oxford and SVB currently prohibits us from paying dividends on our equity securities, and any future debt agreements may likewise preclude us from paying dividends. See “Management’s Discussion and Analysis of Financial Condition and Results of Operations 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June 21, 2016 (the date of our initial public offering) and December 31, 2020, with the cumulative total return of (a) the Nasdaq Composite Index and (b) the Nasdaq Biotechnology Index, over the same period. This graph assumes the investment of $100 at the market close on June 21, 2016 in our common stock, the Nasdaq Composite Index and the Nasdaq Biotechnology Index and assumes the reinvestment of dividends, if any. The stock price performance of the following graph is not necessarily indicative of future stock price performance.</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Cumulative Total Return Selecta Biosciences,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863590" cy="2160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359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or the Exchange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of our equity securities during the quarter ended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June 11, 2020, we entered into a stock purchase agreement, or the Sobi Purchase Agreement, with Swedish Orphan Biovitrum AB (Publ) pursuant to which we sold an aggregate of 5,416,390 shares of our common stock at a purchase price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equal to $4.6156 per share, which represented 120% of the 10-day volume-weighted average price of our common stock prior to signing, for aggregate gross proceeds of $25 million, or the Sobi Private Placement. The closing of the Sobi Private Placement occurred on July 31, 2020. The shares of common stock acquired in the Sobi Private Placement are subject to a one-year lock-up from closing, during which time Sobi is prohibited from selling or otherwise disposing of such shares.</w:t>
      </w:r>
    </w:p>
    <w:p>
      <w:pPr>
        <w:spacing w:after="0" w:line="79" w:lineRule="exact"/>
        <w:rPr>
          <w:sz w:val="20"/>
          <w:szCs w:val="20"/>
          <w:color w:val="auto"/>
        </w:rPr>
      </w:pPr>
    </w:p>
    <w:p>
      <w:pPr>
        <w:ind w:right="200" w:firstLine="324"/>
        <w:spacing w:after="0" w:line="287" w:lineRule="auto"/>
        <w:rPr>
          <w:sz w:val="20"/>
          <w:szCs w:val="20"/>
          <w:color w:val="auto"/>
        </w:rPr>
      </w:pPr>
      <w:r>
        <w:rPr>
          <w:rFonts w:ascii="Arial" w:cs="Arial" w:eastAsia="Arial" w:hAnsi="Arial"/>
          <w:sz w:val="16"/>
          <w:szCs w:val="16"/>
          <w:color w:val="auto"/>
        </w:rPr>
        <w:t>On December 18, 2019, we entered into a Securities Purchase Agreement, or the 2019 Purchase Agreement, with purchasers including certain members of our board of directors. Pursuant to the 2019 Purchase Agreement, we sold (i) an aggregate of 37,634,883 shares of our common stock at a purchase price of $1.46 per share, which was equal to the most recent consolidated closing bid price on the Nasdaq Stock Market on December 18, 2019,</w:t>
      </w:r>
    </w:p>
    <w:p>
      <w:pPr>
        <w:spacing w:after="0" w:line="2"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warrants to purchase an aggregate of 22,988,501 shares of common stock at a purchase price equal to $0.125 per share underlying each warrant, and</w:t>
      </w:r>
    </w:p>
    <w:p>
      <w:pPr>
        <w:spacing w:after="0" w:line="32" w:lineRule="exact"/>
        <w:rPr>
          <w:rFonts w:ascii="Arial" w:cs="Arial" w:eastAsia="Arial" w:hAnsi="Arial"/>
          <w:sz w:val="16"/>
          <w:szCs w:val="16"/>
          <w:color w:val="auto"/>
        </w:rPr>
      </w:pPr>
    </w:p>
    <w:p>
      <w:pPr>
        <w:ind w:right="200" w:firstLine="8"/>
        <w:spacing w:after="0" w:line="295" w:lineRule="auto"/>
        <w:tabs>
          <w:tab w:leader="none" w:pos="3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pre-funded warrants to purchase an aggregate of 8,342,128 shares of common stock at a purchase price equal to $1.46 per share underlying each pre-funded warrant, for aggregate net proceeds of approximately $65.6 million, after deducting approximately $4.4 million in placement agent commissions and other transaction costs. Each warrant has an exercise price per share of common stock equal to $1.46 per share. Each pre-funded warrant has an exercise price per share of common stock equal to $0.0001 per share. The closing of the offering occurred on December 23, 2019.</w:t>
      </w:r>
    </w:p>
    <w:p>
      <w:pPr>
        <w:spacing w:after="0" w:line="5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August 19, 2019, we sold 3,178,174 shares of our common stock pursuant to a stock purchase agreement, or the 2019 Private Placement, to individual investors, including certain executive officers and members of the board of directors of Selecta for aggregate net proceeds of approximately $5.7 million, after deducting transaction costs, at a purchase price equal to $1.81 per share, which was equal to the most recent consolidated closing bid price on the Nasdaq Stock Market on August 19, 2019. The shares in the 2019 Private Placement were issued as “restricted securities” (as defined in Rule 144 of the Securities Act) and carry no registration rights that require or permit the filing of any registration statement.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Item 1A. “Risk Factors.” A discussion of the year ended December 31, 2019 compared to the year ended December 31, 2018 has been reported previously in our Annual Report on Form 10-K for the year ended December 31, 2019, filed with the SEC on March 12, 2020, under the heading “Management’s Discussion and Analysis of Financial Condition and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We are a clinical-stage biopharmaceutical company leveraging our ImmTOR</w:t>
      </w:r>
      <w:r>
        <w:rPr>
          <w:rFonts w:ascii="Arial" w:cs="Arial" w:eastAsia="Arial" w:hAnsi="Arial"/>
          <w:sz w:val="19"/>
          <w:szCs w:val="19"/>
          <w:color w:val="auto"/>
        </w:rPr>
        <w:t>™</w:t>
      </w:r>
      <w:r>
        <w:rPr>
          <w:rFonts w:ascii="Arial" w:cs="Arial" w:eastAsia="Arial" w:hAnsi="Arial"/>
          <w:sz w:val="18"/>
          <w:szCs w:val="18"/>
          <w:color w:val="auto"/>
        </w:rPr>
        <w:t xml:space="preserve"> immune tolerance platform with the goals of amplifying the efficacy of biologics, including enabling the re-dosing of life-saving gene therapies, and restoring self-tolerance in autoimmune diseases. Our ImmTOR platform encapsulates rapamycin, also known as sirolimus, an immunomodulator, in biodegradable nanoparticles and is designed to induce antigen-specific immune tolerance.</w:t>
      </w:r>
    </w:p>
    <w:p>
      <w:pPr>
        <w:spacing w:after="0" w:line="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ImmTOR has the potential to enhance the efficacy without compromising the safety of biologic therapies, improve product candidates under development, and enable novel therapeutic modalities. We have developed a portfolio of proprietary and collaboration-driven applications of ImmTOR, and we plan to continue to develop proprietary compounds and pursue collaboration-driven development in certain disease areas, which could include strategic collaborations, out-licensing, and in-licensing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closely monitoring how COVID-19 is affecting our employees, business, preclinical studies and clinical trials. In response to the spread of COVID-19, we have closed our executive offices with our administrative employees continuing their work outside of our offices and limited the number of staff in any given research and development laboratory. Disruptions caused by the COVID-19 pandemic may result in difficulties or delays in initiating, enrolling, conducting or completing our planned and ongoing clinical trials, and the incurrence of unforeseen costs as a result of preclinical study or clinical trial delays. While the COVID-19 pandemic has not had a material impact on our clinical programs as of the date of this Annual Report on Form 10-K, it could have an impact on our ability to complete the Phase 3 DISSOLVE clinical program of SEL-212, and our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ability to commence preclinical and clinical studies of our IgA nephropathy, gene therapy, and autoimmune disease programs, and our ability to obtain supply of both active drug substances and finished drug product as well as efficient execution of the overall supply chain for SEL-212 and our other programs. We have been proactively working with our CRO, clinical sites, and principal investigators to provide patients with more convenient locations to have their SUA measured for the primary endpoint of the study, such as at local laboratories or their homes, as well as alternative sites to receive infusions of study drug. We are also working with our primary and back-up suppliers for SEL-037 (pegadricase) and SEL-110 (ImmTOR) to ensure that we have adequate supply of our materials for both our clinical and preclinical programs. As of the date of this Annual Report on Form 10-K, we believe we will have adequate supply of all material necessary to conduct our Phase 3 DISSOLVE clinical program of SEL-212 in chronic refractory gout and to begin our clinical trial in gene therapy under our collaboration with AskBio.</w:t>
      </w:r>
    </w:p>
    <w:p>
      <w:pPr>
        <w:spacing w:after="0" w:line="70"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At this time, there is significant uncertainty relating to the trajectory of the COVID-19 pandemic and the impact of related responses. Any impact of COVID-19 on our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See “Risk Factors The outbreak of COVID-19 may continue to adversely impact our business, including our preclinical studies and clinical trials.” in Part I, Item 1A of this Annual Report on Form 10-K.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To date, we have financed our operations primarily through public offerings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$68.9 million and $55.4 million for the years ended December 31, 2020 and 2019, respectively. As of December 31, 2020, we had an accumulated deficit of $404.6 million. We expect to continue to incur significant expenses and operating losses for at least the next several years as we:</w:t>
      </w:r>
    </w:p>
    <w:p>
      <w:pPr>
        <w:spacing w:after="0" w:line="76" w:lineRule="exact"/>
        <w:rPr>
          <w:sz w:val="20"/>
          <w:szCs w:val="20"/>
          <w:color w:val="auto"/>
        </w:rPr>
      </w:pPr>
    </w:p>
    <w:p>
      <w:pPr>
        <w:ind w:left="660" w:right="4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117" w:lineRule="exact"/>
        <w:rPr>
          <w:rFonts w:ascii="Arial" w:cs="Arial" w:eastAsia="Arial" w:hAnsi="Arial"/>
          <w:sz w:val="18"/>
          <w:szCs w:val="18"/>
          <w:color w:val="auto"/>
        </w:rPr>
      </w:pPr>
    </w:p>
    <w:p>
      <w:pPr>
        <w:ind w:left="660" w:right="380" w:hanging="328"/>
        <w:spacing w:after="0" w:line="30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38"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believe that our existing cash, cash equivalents, short term investments, and restricted cash as of December 31, 2020 will enable us to fund our operating expenses and capital expenditure requirements into the second quarter of 2023. We have based this estimate on assumptions that may prove to be wrong, and we could use our capital resources sooner than we currently expect.</w:t>
      </w:r>
    </w:p>
    <w:p>
      <w:pPr>
        <w:spacing w:after="0" w:line="7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grant revenue</w:t>
      </w:r>
    </w:p>
    <w:p>
      <w:pPr>
        <w:spacing w:after="0" w:line="12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To date, we have not generated any product sales. Our revenue consists of collaboration and grant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consolidated financial statements included elsewhere in this Annual Report on Form 10-K.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6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have incurred a total of $295.3 million in research and development expenses from inception through December 31, 2020, with a majority of the expenses being spent on the development of SEL-212 and a prior nicotine vaccine candidate, and the remainder being spent on our various discovery and preclinical stage product candidate programs and the general expansion of our technology.</w:t>
      </w:r>
    </w:p>
    <w:p>
      <w:pPr>
        <w:spacing w:after="0" w:line="76"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In connection with our intention to focus on advancing our ImmTOR platform, we have ceased ongoing work on our immune stimulation programs SELA-070 and SEL-701, and currently do not have plans to move these programs forward or to perform any additional work on either of these programs.</w:t>
      </w:r>
    </w:p>
    <w:p>
      <w:pPr>
        <w:spacing w:after="0" w:line="16"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7"/>
        </w:trPr>
        <w:tc>
          <w:tcPr>
            <w:tcW w:w="54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0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2018</w:t>
            </w:r>
          </w:p>
        </w:tc>
      </w:tr>
      <w:tr>
        <w:trPr>
          <w:trHeight w:val="17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 (key projects and initiatives):</w:t>
            </w:r>
          </w:p>
        </w:tc>
        <w:tc>
          <w:tcPr>
            <w:tcW w:w="1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6"/>
        </w:trPr>
        <w:tc>
          <w:tcPr>
            <w:tcW w:w="5460" w:type="dxa"/>
            <w:vAlign w:val="bottom"/>
          </w:tcPr>
          <w:p>
            <w:pPr>
              <w:ind w:left="220"/>
              <w:spacing w:after="0"/>
              <w:rPr>
                <w:sz w:val="20"/>
                <w:szCs w:val="20"/>
                <w:color w:val="auto"/>
              </w:rPr>
            </w:pPr>
            <w:r>
              <w:rPr>
                <w:rFonts w:ascii="Arial" w:cs="Arial" w:eastAsia="Arial" w:hAnsi="Arial"/>
                <w:sz w:val="14"/>
                <w:szCs w:val="14"/>
                <w:color w:val="auto"/>
              </w:rPr>
              <w:t>SEL-212</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32,288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25,489</w:t>
            </w:r>
          </w:p>
        </w:tc>
        <w:tc>
          <w:tcPr>
            <w:tcW w:w="12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22,770</w:t>
            </w:r>
          </w:p>
        </w:tc>
      </w:tr>
      <w:tr>
        <w:trPr>
          <w:trHeight w:val="233"/>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AskBio collaboration</w:t>
            </w:r>
          </w:p>
        </w:tc>
        <w:tc>
          <w:tcPr>
            <w:tcW w:w="12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r>
      <w:tr>
        <w:trPr>
          <w:trHeight w:val="186"/>
        </w:trPr>
        <w:tc>
          <w:tcPr>
            <w:tcW w:w="5460" w:type="dxa"/>
            <w:vAlign w:val="bottom"/>
          </w:tcPr>
          <w:p>
            <w:pPr>
              <w:ind w:left="220"/>
              <w:spacing w:after="0"/>
              <w:rPr>
                <w:sz w:val="20"/>
                <w:szCs w:val="20"/>
                <w:color w:val="auto"/>
              </w:rPr>
            </w:pPr>
            <w:r>
              <w:rPr>
                <w:rFonts w:ascii="Arial" w:cs="Arial" w:eastAsia="Arial" w:hAnsi="Arial"/>
                <w:sz w:val="14"/>
                <w:szCs w:val="14"/>
                <w:color w:val="auto"/>
              </w:rPr>
              <w:t>SELA-070</w:t>
            </w:r>
          </w:p>
        </w:tc>
        <w:tc>
          <w:tcPr>
            <w:tcW w:w="12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1,602</w:t>
            </w:r>
          </w:p>
        </w:tc>
      </w:tr>
      <w:tr>
        <w:trPr>
          <w:trHeight w:val="192"/>
        </w:trPr>
        <w:tc>
          <w:tcPr>
            <w:tcW w:w="5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1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w:t>
            </w:r>
          </w:p>
        </w:tc>
      </w:tr>
      <w:tr>
        <w:trPr>
          <w:trHeight w:val="186"/>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1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17,693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20,692</w:t>
            </w:r>
          </w:p>
        </w:tc>
      </w:tr>
      <w:tr>
        <w:trPr>
          <w:trHeight w:val="208"/>
        </w:trPr>
        <w:tc>
          <w:tcPr>
            <w:tcW w:w="5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research and development expenses</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54,505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42,743</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47,687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80" w:firstLine="324"/>
        <w:spacing w:after="0" w:line="301" w:lineRule="auto"/>
        <w:rPr>
          <w:sz w:val="20"/>
          <w:szCs w:val="20"/>
          <w:color w:val="auto"/>
        </w:rPr>
      </w:pPr>
      <w:r>
        <w:rPr>
          <w:rFonts w:ascii="Arial" w:cs="Arial" w:eastAsia="Arial" w:hAnsi="Arial"/>
          <w:sz w:val="16"/>
          <w:szCs w:val="16"/>
          <w:color w:val="auto"/>
        </w:rPr>
        <w:t>On June 11,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Footnote 12. The reimbursable costs exclude any costs of additional development activities required that are related to ImmTOR and that are unrelated to SEL-212.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personnel and professional fees for auditing, tax and corporate legal services, including intellectual property-related legal services.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Other income (expense) was de minimis during each the years ended December 31, 2020, and 2018, and for the year ended December 31, 2019 it consists primarily of issuance fees associated with warrant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December 31, 2020 and 2019, we maintained cash of $0.3 million and $0.4 million, respectively,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comparison of revenue for the years ended December 31, 2020 and 2019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6"/>
                <w:szCs w:val="16"/>
                <w:color w:val="auto"/>
              </w:rPr>
            </w:pPr>
          </w:p>
        </w:tc>
        <w:tc>
          <w:tcPr>
            <w:tcW w:w="16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Increase</w:t>
            </w:r>
          </w:p>
        </w:tc>
        <w:tc>
          <w:tcPr>
            <w:tcW w:w="780" w:type="dxa"/>
            <w:vAlign w:val="bottom"/>
          </w:tcPr>
          <w:p>
            <w:pPr>
              <w:spacing w:after="0"/>
              <w:rPr>
                <w:sz w:val="16"/>
                <w:szCs w:val="16"/>
                <w:color w:val="auto"/>
              </w:rPr>
            </w:pPr>
          </w:p>
        </w:tc>
      </w:tr>
      <w:tr>
        <w:trPr>
          <w:trHeight w:val="188"/>
        </w:trPr>
        <w:tc>
          <w:tcPr>
            <w:tcW w:w="52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780" w:type="dxa"/>
            <w:vAlign w:val="bottom"/>
            <w:tcBorders>
              <w:bottom w:val="single" w:sz="8" w:color="auto"/>
            </w:tcBorders>
          </w:tcPr>
          <w:p>
            <w:pPr>
              <w:spacing w:after="0"/>
              <w:rPr>
                <w:sz w:val="16"/>
                <w:szCs w:val="16"/>
                <w:color w:val="auto"/>
              </w:rPr>
            </w:pPr>
          </w:p>
        </w:tc>
      </w:tr>
      <w:tr>
        <w:trPr>
          <w:trHeight w:val="184"/>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9,920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149 %</w:t>
            </w:r>
          </w:p>
        </w:tc>
      </w:tr>
    </w:tbl>
    <w:p>
      <w:pPr>
        <w:spacing w:after="0" w:line="9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During the year ended December 31, 2020, collaboration revenue increased by $9.9 million, or 149%, from collaboration revenue generated in 2019. During the year ended December 31, 2020 we recognized $16.6 million under the license agreement with Sobi resulting from the shipment of clinical supply and the reimbursement of costs incurred for the Phase 3 DISSOLVE clinical program and a de minimis amount recognized for shipments under the collaboration agreement with Sarepta. During the year ended December 31, 2019, we recognized $6.7 million in revenue upon expiration of the term for Spark to exercise additional target options that represented material rights and less than $0.1 million of revenue for two shipments to Spark under our collaboration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years ended December 31, 2020 and 2019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17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6"/>
                <w:szCs w:val="16"/>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6"/>
                <w:szCs w:val="16"/>
                <w:color w:val="auto"/>
              </w:rPr>
            </w:pPr>
          </w:p>
        </w:tc>
      </w:tr>
      <w:tr>
        <w:trPr>
          <w:trHeight w:val="184"/>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11,762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r>
    </w:tbl>
    <w:p>
      <w:pPr>
        <w:spacing w:after="0" w:line="17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During the year ended December 31, 2020</w:t>
      </w:r>
      <w:r>
        <w:rPr>
          <w:rFonts w:ascii="Arial" w:cs="Arial" w:eastAsia="Arial" w:hAnsi="Arial"/>
          <w:sz w:val="18"/>
          <w:szCs w:val="18"/>
          <w:color w:val="2C2C2C"/>
        </w:rPr>
        <w:t>, our research and development expenses increased by $11.8 million, or 28%, as com</w:t>
      </w:r>
      <w:r>
        <w:rPr>
          <w:rFonts w:ascii="Arial" w:cs="Arial" w:eastAsia="Arial" w:hAnsi="Arial"/>
          <w:sz w:val="18"/>
          <w:szCs w:val="18"/>
          <w:color w:val="auto"/>
        </w:rPr>
        <w:t>pared to 2019. The increase in cost was primarily the result of expenses incurred for the Phase 3 DISSOLVE clinical program for SEL-212, the Phase 2 COMPARE trial for SEL-212 and for the AskBio Collaboration.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years ended December 31, 2020 and 2019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6"/>
                <w:szCs w:val="16"/>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16"/>
                <w:szCs w:val="16"/>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18,913</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16,389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2,524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bl>
    <w:p>
      <w:pPr>
        <w:spacing w:after="0" w:line="17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During the year ended December 31, 2020, our general and administrative expenses increased by $2.5 million, or 15%, as compared to 2019. The increase in costs was the result of expenses for patent and professional fees offset by reduced consulting fees and travel expenses.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Investment income was $0.3 million and $0.8 million for the years ended December 31, 2020 and 2019, respectively. The decrease reflects reduced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we recognized a $0.5 million loss on extinguishment of the 2017 Term Loan (see Note 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recognized minimal foreign currency gains of less than $0.1 million and minimal losses of less than $0.1 million during the years ended December 31,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Interest expense was $1.6 million and $1.5 million for the years ended December 31, 2020 and 2019, respectively,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year ended December 31, 2020, we recognized a $10.4 million charge for the increase in the fair value of warrant liabilities utilizing the Black-Scholes valuation methodology. The increase in value was primarily driven by an increase in the share price and volatility (see Note 5). For the year ended December 31, 2019, we recognized $0.9 million as a change in the fair value of warrant liabilities primarily driven by an increase in the share price from issuance.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Other income (expense) was $0.1 million and ($1.3 million) for the years ended December 31, 2020 and 2019, respectively. The other expense during 2019 was the result of fees incurred as a result of the issuance of liability classified common warrants in our December 2019 private placement.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 for the year ended December 31, 2020 was $68.9 million compared to $55.4 million for the year ended December 31, 2019.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79"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From our inception through December 31, 2020, we have raised an aggregate of $549.1 million to fund our operations, which includes $118.5 million from the sale of preferred stock, $11.1 million in government grant funding, $36.7 million from borrowings under our credit facility, $165.9 million from our collaborations and license agreements, $64.5 million in combined net proceeds from our initial public offering, $149.3 million in combined net proceeds from private placements and follow-on offerings of our common stock, and $3.1 million in aggregate net proceeds from “at-the-market” offerings of our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October 8, 2020, we entered into the IGAN Agreement, and paid IGAN a $0.5 million one-time up-front payment.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13, 2020, we entered into the Sarepta Agreement. We received a $2.0 million upfront payment.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June 11, 2020, we entered into the Sobi License. Sobi paid us a one-time, up-front payment of $75 million, and upon the closing of the Sobi Private Placement, we received an additional $25 million from Sobi in consideration for Sobi’s purchase of our common stock at $4.6156 per share.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Additionally, Sobi has agreed to fund the Phase 3 clinical program of SEL-212, which commenced in September 2020. We expect this to substantially reduce our annual operating expenses.</w:t>
      </w:r>
    </w:p>
    <w:p>
      <w:pPr>
        <w:spacing w:after="0" w:line="77"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On December 17, 2019, we entered into the AskBio License Agreement. Pursuant to the AskBio License Agreement, AskBio has exercised its option to exclusively license intellectual property rights covering ImmTOR to research, develop, and commercialize certain AAV gene therapy products utilizing ImmTOR, and targeting the GAA gene, or derivatives thereof, to treat Pompe Disease. We received $7.0 million of upfront fees pursuant to the AskBio License Agreement and are eligible to receive $237 million in milestone payments, and royalties on net sales ranging from the mid-to-high single digits.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117"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In August 2017, we entered into a sales agreement, or the 2017 Sales Agreement, with Jefferies LLC, as sales agent, to sell shares of our common stock with an aggregate value of up to $50 million in an “at-the-market” offering. In August 2020, concurrent with the filing of a new shelf registration statement, we entered into a new sales agreement, or the 2020 Sales Agreement, with Jefferies LLC, as sales agent, pursuant to which we may, from time to time, issue and sell common stock with an aggregate value of up to $50 million in an “at-the-market” offering. The 2017 Sales Agreement terminated pursuant to its terms in August 2020.</w:t>
      </w:r>
    </w:p>
    <w:p>
      <w:pPr>
        <w:spacing w:after="0" w:line="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Sales of common stock, if any, pursuant to the 2020 Sales Agreement, may be made in sales deemed to be an “at the market offering” as defined in Rule 415(a) of the Securities Act, including sales made directly through the Nasdaq Stock Market or on any other existing trading market for our common stock. We intend to use the proceeds from the offering for working capital and other general corporate purposes. We may suspend or terminate the 2020 Sales Agreement at any time.</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August 11, 2017, the date we entered into the 2017 Sales Agreement, to December 31, 2019, we sold 615,453 shares of our common stock pursuant to the 2017 Sales Agreement at an average price of approximately $1.84 per share for aggregate net proceeds of $1.0 million, after deducting commissions and other transaction costs. During the year ended December 31, 2020, we sold 1,069,486 shares of our common stock pursuant to the 2017 Sales Agreement and 2020 Sales Agreement, as applicable, at an average price of approximately $2.16 per share for aggregate net proceeds of $2.1 million, after deducting commissions and other transaction costs.</w:t>
      </w:r>
    </w:p>
    <w:p>
      <w:pPr>
        <w:spacing w:after="0" w:line="80"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As of December 31, 2020, our cash, cash equivalents, and restricted cash were $140.1 million, of which $1.4 million was restricted cash related to lease commitments and $0.3 million was held by our Russian subsidiary designated solely for use in its operations. Our Russian subsidiary cash is consolidated for financial reporting purposes.</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On August 31, 2020, we entered into a term loan of up to $35.0 million, consisting of term loans in an aggregate amount of $25.0 million, or the Term A Loan, and term loans in an aggregate amount of $10.0 million, or the Term B Loan, governed by a loan and security agreement among us and Oxford, as collateral agent and a lender, and SVB, as a lender. The Term A Loan was funded in full on August 31, 2020, the proceeds of which were used to repay our previously existing 2017 Term Loan and for general corporate and working capital purposes. The Term B Loan will be available, subject to the collateral agent’s discretion and customary terms and conditions, during the period commencing on the date we have delivered to Oxford and SVB evidence: (i) we or one of the our collaboration partners has enrolled its first randomized patient for a Phase 1 clinical trial evaluating the treatment of MMA, and (ii) we have enrolled the first patient in each of two Phase 3 pivotal trials evaluating SEL-212, or the Second Draw Period Milestone, and ending on the earliest of</w:t>
      </w:r>
    </w:p>
    <w:p>
      <w:pPr>
        <w:spacing w:after="0" w:line="2" w:lineRule="exact"/>
        <w:rPr>
          <w:sz w:val="20"/>
          <w:szCs w:val="20"/>
          <w:color w:val="auto"/>
        </w:rPr>
      </w:pPr>
    </w:p>
    <w:p>
      <w:pPr>
        <w:ind w:right="20" w:firstLine="8"/>
        <w:spacing w:after="0" w:line="295" w:lineRule="auto"/>
        <w:tabs>
          <w:tab w:leader="none" w:pos="2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which is thirty (30) days following the date the Second Draw Period Milestone is achieved, (ii) September 30, 2021 (iii) and the occurrence of an event of default, other than an event of default that has been waived in writing by Oxford and SVB in their sole discretion. Because we have enrolled the first patient in each of our two Phase 3 trials for SEL-212, the Second Draw Period Milestone has been achieved, and we expect the Term B Loan will be available to be drawn, once we or AskBio enroll the first randomized patient in our planned Phase 1 clinical trial evaluating the treatment of MMA.</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and SVB are entitled to take enforcement action, including acceleration of amounts due under the 2020 Term Loan. If we raise any additional debt financing, the terms of such additional debt could further restrict our operating and financial flexibility.</w:t>
      </w:r>
    </w:p>
    <w:p>
      <w:pPr>
        <w:spacing w:after="0" w:line="6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a further description of the 2020 Term Loan, see Note 9 to our consolidated financial statements included elsewhere in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of the date of this Annual Report on Form 10-K,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December 31, 2020, we had an accumulated deficit of $404.6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8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our existing cash, cash equivalents, and restricted cash as of December 31, 2020 will enable us to fund our operating expenses and capital expenditure requirements into the second quarter of 2023.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noted above, the magnitude and duration of the COVID-19 pandemic and its impact on our liquidity future funding requirements is uncertain as of the filing date of this Annual Report on Form 10-K as this continues to evolve globally.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6"/>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r>
      <w:tr>
        <w:trPr>
          <w:trHeight w:val="167"/>
        </w:trPr>
        <w:tc>
          <w:tcPr>
            <w:tcW w:w="5940" w:type="dxa"/>
            <w:vAlign w:val="bottom"/>
          </w:tcPr>
          <w:p>
            <w:pPr>
              <w:ind w:left="20"/>
              <w:spacing w:after="0"/>
              <w:rPr>
                <w:sz w:val="20"/>
                <w:szCs w:val="20"/>
                <w:color w:val="auto"/>
              </w:rPr>
            </w:pPr>
            <w:r>
              <w:rPr>
                <w:rFonts w:ascii="Arial" w:cs="Arial" w:eastAsia="Arial" w:hAnsi="Arial"/>
                <w:sz w:val="14"/>
                <w:szCs w:val="14"/>
                <w:color w:val="auto"/>
              </w:rPr>
              <w:t>Cash provided by (used in):</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4"/>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(59,161)</w:t>
            </w:r>
          </w:p>
        </w:tc>
      </w:tr>
      <w:tr>
        <w:trPr>
          <w:trHeight w:val="186"/>
        </w:trPr>
        <w:tc>
          <w:tcPr>
            <w:tcW w:w="594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25,272</w:t>
            </w:r>
          </w:p>
        </w:tc>
      </w:tr>
      <w:tr>
        <w:trPr>
          <w:trHeight w:val="192"/>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105,041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r>
      <w:tr>
        <w:trPr>
          <w:trHeight w:val="18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19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48,513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53,869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Net cash provided by operating activities for the year ended December 31, 2020 was $34.9 million compared to $51.4 million used in the same period in 2019. The increase in net cash provided by operating activities was primarily due to the recognition of $94.1 million in deferred revenue, and a $2.8 million change in accounts receivable, offset by a $0.4 million change in accrued expenses and other liabilities, and $7.1 million changes in prepaid expenses, deposits and other assets and accounts payable when compared to the prior year and a $3.2 million increase in recorded net loss after adjusting for non-cash items.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Net cash used in investing activities for the year ended December 31, 2020 was $0.7 million compared to net cash provided by investing activities of $0.2 million in the same period in 2019. The net cash used in investing activities in 2020 was to purchase property and equipment.</w:t>
      </w:r>
    </w:p>
    <w:p>
      <w:pPr>
        <w:spacing w:after="0" w:line="3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net cash provided by investing activities in 2019 was the result of purchases of short-term investments of $18.2 million, offset by $16.4 million of maturities and $2.0 million of sales of short term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Net cash provided by financing activities for the year ended December 31, 2020 was $14.4 million compared to net cash provided by financing activities of $105.0 million in the same period in 2019. The net cash provided by financing activities in 2020 was the result of $10.3 million from the Sobi Private Placement, $24.7 million from the Term A Loan, $2.1 million net proceeds from “at-the-market” offerings, and $1.0 million proceeds from warrant exercises, offset by $4.4 million of issuance costs paid for December 2019 financing and $19.3 million principal payment on outstanding debt.</w:t>
      </w:r>
    </w:p>
    <w:p>
      <w:pPr>
        <w:spacing w:after="0" w:line="4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net cash provided by financing activities in 2019 was the result of $30.9 million net proceeds from an underwritten follow-on offering of our common stock in January, $75.7 million net proceeds from private placement offerings in August and December and $1.0 million net proceeds from “at-the-market” offerings, offset by $2.8 million principal payment on outstanding debt.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obligations</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Under our license agreement with MIT, milestone payments are due upon the occurrence of certain events and royalty payments commence upon our commercialization of a product. As of December 31, 2020, contractual obligations were $0.4 million. We have assumed license payments are fully offset by royalty payments in 2028.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consolidated financial statements included elsewhere in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121"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The historical clinical accrual estimates made by us have not been materially different from the actual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w:t>
      </w:r>
    </w:p>
    <w:p>
      <w:pPr>
        <w:spacing w:after="0" w:line="2" w:lineRule="exact"/>
        <w:rPr>
          <w:sz w:val="20"/>
          <w:szCs w:val="20"/>
          <w:color w:val="auto"/>
        </w:rPr>
      </w:pPr>
    </w:p>
    <w:p>
      <w:pPr>
        <w:ind w:right="20" w:firstLine="8"/>
        <w:spacing w:after="0" w:line="286" w:lineRule="auto"/>
        <w:tabs>
          <w:tab w:leader="none" w:pos="3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Sobi, AskBio, and Sarepta (see Note 12 to our consolidated financial statements included elsewhere in this Annual Report on Form 10-K) will be satisfied over time, and revenue will be recognized using the output method, based on the proportion of actual deliveries to the total expected deliveries over the initial term.</w:t>
      </w:r>
    </w:p>
    <w:p>
      <w:pPr>
        <w:spacing w:after="0" w:line="6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 xml:space="preserve">Collaboration and Grant Revenue: </w:t>
      </w:r>
      <w:r>
        <w:rPr>
          <w:rFonts w:ascii="Arial" w:cs="Arial" w:eastAsia="Arial" w:hAnsi="Arial"/>
          <w:sz w:val="18"/>
          <w:szCs w:val="18"/>
          <w:color w:val="auto"/>
        </w:rPr>
        <w:t>We currently generate our revenue through grants, collaboration and license agreements with strategic collaborators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development and commercialization of product candidates. Grants and license agreements with customers are accounted for in accordance with ASC 606. We analyze collaboration arrangements by first assessing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whether they are within the scope of ASC Topic 808, </w:t>
      </w:r>
      <w:r>
        <w:rPr>
          <w:rFonts w:ascii="Arial" w:cs="Arial" w:eastAsia="Arial" w:hAnsi="Arial"/>
          <w:sz w:val="17"/>
          <w:szCs w:val="17"/>
          <w:i w:val="1"/>
          <w:iCs w:val="1"/>
          <w:color w:val="auto"/>
        </w:rPr>
        <w:t>Collaborative Arrangements (ASC 808)</w:t>
      </w:r>
      <w:r>
        <w:rPr>
          <w:rFonts w:ascii="Arial" w:cs="Arial" w:eastAsia="Arial" w:hAnsi="Arial"/>
          <w:sz w:val="17"/>
          <w:szCs w:val="17"/>
          <w:color w:val="auto"/>
        </w:rPr>
        <w:t xml:space="preserve">, and evaluate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We early adopted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Interaction between Topic 808 and Topic 606</w:t>
      </w:r>
      <w:r>
        <w:rPr>
          <w:rFonts w:ascii="Arial" w:cs="Arial" w:eastAsia="Arial" w:hAnsi="Arial"/>
          <w:sz w:val="17"/>
          <w:szCs w:val="17"/>
          <w:color w:val="auto"/>
        </w:rPr>
        <w:t>, which provides guidance on evaluating certain transactions between collaborative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participants.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730, </w:t>
      </w:r>
      <w:r>
        <w:rPr>
          <w:rFonts w:ascii="Arial" w:cs="Arial" w:eastAsia="Arial" w:hAnsi="Arial"/>
          <w:sz w:val="17"/>
          <w:szCs w:val="17"/>
          <w:i w:val="1"/>
          <w:iCs w:val="1"/>
          <w:color w:val="auto"/>
        </w:rPr>
        <w:t>Research and Development (ASC 730)</w:t>
      </w:r>
      <w:r>
        <w:rPr>
          <w:rFonts w:ascii="Arial" w:cs="Arial" w:eastAsia="Arial" w:hAnsi="Arial"/>
          <w:sz w:val="17"/>
          <w:szCs w:val="17"/>
          <w:color w:val="auto"/>
        </w:rPr>
        <w:t>, and record reimbursements from counterparties as an offset to the related costs. In determining the appropriate amount of revenue to be recognized as we fulfill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7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7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our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84"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w:t>
      </w:r>
    </w:p>
    <w:p>
      <w:pPr>
        <w:spacing w:after="0" w:line="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8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December 2019, we issued common warrants in connection with a securities purchase agreement between us and a group of institutional investors and certain members of our board of directors. Pursuant to the terms of these common warrants,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could be required to settle the common warrants in cash in the event of certain acquisitions of us and, as a result, the common warrants are required to be measured at fair value and reported as a liability on the balance sheet. We recorded the fair value of the common warrants of $40.7 million upon issuance using the Black-Scholes valuation model, and are required to revalue the common warrants at each reporting date with any changes in fair value recorded on our statement of operations. 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As of December 31, 2020, the fair value of the common warrants of $28.7 million was recorded as a long-term liability on our balance sheet, which resulted in a change in fair value of $10.4 million for the year ended December 31,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account for all stock-based compensation granted to employees and non-employees using a fair value method. Stock-based compensation is measured at the grant date fair value using the Black-Scholes option pricing model and is recognized over the requisite service period of the awards, usually the vesting period, on a straight-line basis, net of estimated forfeitures. To the extent that actual forfeitures differ from management’s estimates, the differences are recorded as a cumulative adjustment in the period the estimates were adjusted. Stock-based compensation expense recognized in the consolidated financial statements is based on awards that ultimately vest.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will remain an emerging growth company until December 31, 2021, the last day of the fiscal year following the fifth anniversary of the closing of the initial public offering of our common stock. However, if certain events occur prior to the end of such five-year period, including if we become a “large accelerated filer,” our annual gross revenues exceed $1.07 billion or we issue more than $1.07 billion of non-convertible debt in any three-year period, we will cease to be an emerging growth company prior to the end of such five-year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2020 and 2019, we had cash, cash equivalents, restricted cash and investments of $140.1 million and $91.6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As of December 31, 2020, we held cash and cash equivalents totaling $0.3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7"/>
          <w:szCs w:val="17"/>
          <w:b w:val="1"/>
          <w:bCs w:val="1"/>
          <w:color w:val="auto"/>
        </w:rPr>
        <w:t>tem 8. Financial Statements and Supplementary Data</w:t>
      </w:r>
    </w:p>
    <w:p>
      <w:pPr>
        <w:spacing w:after="0" w:line="11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consolidated financial statements together with the report of our independent registered public company accounting firm, required to be filed pursuant to this Item 7 are appended to this Annual Report on Form 10-K. An index of those consolidated financial statements is found in Item 15 of this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Exchange Act.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62" w:lineRule="exact"/>
        <w:rPr>
          <w:sz w:val="20"/>
          <w:szCs w:val="20"/>
          <w:color w:val="auto"/>
        </w:rPr>
      </w:pPr>
    </w:p>
    <w:p>
      <w:pPr>
        <w:ind w:right="540" w:firstLine="324"/>
        <w:spacing w:after="0" w:line="375" w:lineRule="auto"/>
        <w:rPr>
          <w:sz w:val="20"/>
          <w:szCs w:val="20"/>
          <w:color w:val="auto"/>
        </w:rPr>
      </w:pPr>
      <w:r>
        <w:rPr>
          <w:rFonts w:ascii="Arial" w:cs="Arial" w:eastAsia="Arial" w:hAnsi="Arial"/>
          <w:sz w:val="18"/>
          <w:szCs w:val="18"/>
          <w:color w:val="auto"/>
        </w:rPr>
        <w:t xml:space="preserve">Based on this assessment, our management concluded that, as of December 31, 2020, our internal control over financial reporting was effective. </w:t>
      </w:r>
      <w:r>
        <w:rPr>
          <w:rFonts w:ascii="Arial" w:cs="Arial" w:eastAsia="Arial" w:hAnsi="Arial"/>
          <w:sz w:val="18"/>
          <w:szCs w:val="18"/>
          <w:b w:val="1"/>
          <w:bCs w:val="1"/>
          <w:color w:val="auto"/>
        </w:rPr>
        <w:t>Attestation Report of the Registered Public Accounting Firm</w:t>
      </w:r>
    </w:p>
    <w:p>
      <w:pPr>
        <w:spacing w:after="0" w:line="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www.selectabio.com in the “Investors &amp; Media” section under “Corporate Governance.” We intend to satisfy the disclosure requirement under Item 5.05 of Form 8-K regarding amendment to, or waiver from, a provision of our Code of Business Conduct and Ethics, as well as the Nasdaq Stock Market LLC’s requirement to disclose waivers with respect to directors and executive officers, by posting such information on our website at the address and location specified above. The information contained on our website is not incorporated by reference into this Annual Report on Form 10-K.</w:t>
      </w:r>
    </w:p>
    <w:p>
      <w:pPr>
        <w:spacing w:after="0" w:line="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information required by this Item is contained in part under the caption “Information about our Executive Officers” at the end of Part I of this Annual Report on Form 10-K. The remainder of the response to this item will be included in our definitive Proxy Statement for the 2021 Annual Meeting of Stockholders under the headings “Proposal 1 Election of Directors,” “Delinquent Section 16(a) Reports,” and “Committees of the Board” and is incorporated herein by reference.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information required by this Item regarding executive compensation will be included in our definitive Proxy Statement for the 2021 Annual Meeting of Stockholders under the headings “Executive and Director Compensation” and “Compensation Committee Interlocks and Insider Participation”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under the headings “Security Ownership of Certain Beneficial Owners and Management” and “Executive and Director Compensation Equity Compensation Plan Information”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Stockholders under the headings “Corporate Governance,” “Committees of the Board” and “Certain Relationships” and is incorporated herein by reference.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information required by this Item regarding principal accountant fees and services will be included in our definitive Proxy Statement for the 2021 Annual Meeting of Stockholders under the heading “Independent Registered Public Accounting Firm Fees and Other Matters”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1038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60" w:type="dxa"/>
            <w:vAlign w:val="bottom"/>
          </w:tcPr>
          <w:p>
            <w:pPr>
              <w:spacing w:after="0"/>
              <w:rPr>
                <w:sz w:val="20"/>
                <w:szCs w:val="20"/>
                <w:color w:val="auto"/>
              </w:rPr>
            </w:pPr>
          </w:p>
        </w:tc>
      </w:tr>
      <w:tr>
        <w:trPr>
          <w:trHeight w:val="756"/>
        </w:trPr>
        <w:tc>
          <w:tcPr>
            <w:tcW w:w="1038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4"/>
                <w:szCs w:val="24"/>
                <w:color w:val="auto"/>
              </w:rPr>
            </w:pPr>
          </w:p>
        </w:tc>
      </w:tr>
      <w:tr>
        <w:trPr>
          <w:trHeight w:val="675"/>
        </w:trPr>
        <w:tc>
          <w:tcPr>
            <w:tcW w:w="1038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60" w:type="dxa"/>
            <w:vAlign w:val="bottom"/>
          </w:tcPr>
          <w:p>
            <w:pPr>
              <w:spacing w:after="0"/>
              <w:rPr>
                <w:sz w:val="24"/>
                <w:szCs w:val="24"/>
                <w:color w:val="auto"/>
              </w:rPr>
            </w:pPr>
          </w:p>
        </w:tc>
      </w:tr>
      <w:tr>
        <w:trPr>
          <w:trHeight w:val="324"/>
        </w:trPr>
        <w:tc>
          <w:tcPr>
            <w:tcW w:w="10380" w:type="dxa"/>
            <w:vAlign w:val="bottom"/>
          </w:tcPr>
          <w:p>
            <w:pPr>
              <w:spacing w:after="0"/>
              <w:rPr>
                <w:sz w:val="20"/>
                <w:szCs w:val="20"/>
                <w:color w:val="auto"/>
              </w:rPr>
            </w:pPr>
            <w:r>
              <w:rPr>
                <w:rFonts w:ascii="Arial" w:cs="Arial" w:eastAsia="Arial" w:hAnsi="Arial"/>
                <w:sz w:val="18"/>
                <w:szCs w:val="18"/>
                <w:b w:val="1"/>
                <w:bCs w:val="1"/>
                <w:color w:val="auto"/>
              </w:rPr>
              <w:t>(a)(1) Financial Statements</w:t>
            </w:r>
          </w:p>
        </w:tc>
        <w:tc>
          <w:tcPr>
            <w:tcW w:w="260" w:type="dxa"/>
            <w:vAlign w:val="bottom"/>
          </w:tcPr>
          <w:p>
            <w:pPr>
              <w:spacing w:after="0"/>
              <w:rPr>
                <w:sz w:val="24"/>
                <w:szCs w:val="24"/>
                <w:color w:val="auto"/>
              </w:rPr>
            </w:pPr>
          </w:p>
        </w:tc>
      </w:tr>
      <w:tr>
        <w:trPr>
          <w:trHeight w:val="324"/>
        </w:trPr>
        <w:tc>
          <w:tcPr>
            <w:tcW w:w="10380" w:type="dxa"/>
            <w:vAlign w:val="bottom"/>
          </w:tcPr>
          <w:p>
            <w:pPr>
              <w:ind w:left="340"/>
              <w:spacing w:after="0"/>
              <w:rPr>
                <w:sz w:val="20"/>
                <w:szCs w:val="20"/>
                <w:color w:val="auto"/>
              </w:rPr>
            </w:pPr>
            <w:r>
              <w:rPr>
                <w:rFonts w:ascii="Arial" w:cs="Arial" w:eastAsia="Arial" w:hAnsi="Arial"/>
                <w:sz w:val="18"/>
                <w:szCs w:val="18"/>
                <w:color w:val="auto"/>
              </w:rPr>
              <w:t>The financial statements listed below are filed as part of this Annual Report on Form 10-K.</w:t>
            </w:r>
          </w:p>
        </w:tc>
        <w:tc>
          <w:tcPr>
            <w:tcW w:w="260" w:type="dxa"/>
            <w:vAlign w:val="bottom"/>
          </w:tcPr>
          <w:p>
            <w:pPr>
              <w:spacing w:after="0"/>
              <w:rPr>
                <w:sz w:val="24"/>
                <w:szCs w:val="24"/>
                <w:color w:val="auto"/>
              </w:rPr>
            </w:pPr>
          </w:p>
        </w:tc>
      </w:tr>
      <w:tr>
        <w:trPr>
          <w:trHeight w:val="675"/>
        </w:trPr>
        <w:tc>
          <w:tcPr>
            <w:tcW w:w="10380" w:type="dxa"/>
            <w:vAlign w:val="bottom"/>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60" w:type="dxa"/>
            <w:vAlign w:val="bottom"/>
          </w:tcPr>
          <w:p>
            <w:pPr>
              <w:spacing w:after="0"/>
              <w:rPr>
                <w:sz w:val="24"/>
                <w:szCs w:val="24"/>
                <w:color w:val="auto"/>
              </w:rPr>
            </w:pPr>
          </w:p>
        </w:tc>
      </w:tr>
      <w:tr>
        <w:trPr>
          <w:trHeight w:val="324"/>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75">
              <w:r>
                <w:rPr>
                  <w:rFonts w:ascii="Arial" w:cs="Arial" w:eastAsia="Arial" w:hAnsi="Arial"/>
                  <w:sz w:val="18"/>
                  <w:szCs w:val="18"/>
                  <w:b w:val="1"/>
                  <w:bCs w:val="1"/>
                  <w:u w:val="single" w:color="auto"/>
                  <w:color w:val="0000FF"/>
                </w:rPr>
                <w:t>Report of Independent Registered Public Accounting Firm</w:t>
              </w:r>
            </w:hyperlink>
          </w:p>
        </w:tc>
        <w:tc>
          <w:tcPr>
            <w:tcW w:w="260" w:type="dxa"/>
            <w:vAlign w:val="bottom"/>
            <w:tcBorders>
              <w:bottom w:val="single" w:sz="8" w:color="0000FF"/>
            </w:tcBorders>
          </w:tcPr>
          <w:p>
            <w:pPr>
              <w:spacing w:after="0"/>
              <w:rPr>
                <w:rFonts w:ascii="Arial" w:cs="Arial" w:eastAsia="Arial" w:hAnsi="Arial"/>
                <w:sz w:val="18"/>
                <w:szCs w:val="18"/>
                <w:b w:val="1"/>
                <w:bCs w:val="1"/>
                <w:color w:val="0000FF"/>
                <w:w w:val="88"/>
              </w:rPr>
            </w:pPr>
            <w:r>
              <w:rPr>
                <w:rFonts w:ascii="Arial" w:cs="Arial" w:eastAsia="Arial" w:hAnsi="Arial"/>
                <w:sz w:val="18"/>
                <w:szCs w:val="18"/>
                <w:b w:val="1"/>
                <w:bCs w:val="1"/>
                <w:color w:val="0000FF"/>
                <w:w w:val="88"/>
              </w:rPr>
              <w:t>F-</w:t>
            </w:r>
            <w:hyperlink w:anchor="page75">
              <w:r>
                <w:rPr>
                  <w:rFonts w:ascii="Arial" w:cs="Arial" w:eastAsia="Arial" w:hAnsi="Arial"/>
                  <w:sz w:val="18"/>
                  <w:szCs w:val="18"/>
                  <w:b w:val="1"/>
                  <w:bCs w:val="1"/>
                  <w:color w:val="0000FF"/>
                  <w:w w:val="88"/>
                </w:rPr>
                <w:t>1</w:t>
              </w:r>
            </w:hyperlink>
          </w:p>
        </w:tc>
      </w:tr>
      <w:tr>
        <w:trPr>
          <w:trHeight w:val="263"/>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76">
              <w:r>
                <w:rPr>
                  <w:rFonts w:ascii="Arial" w:cs="Arial" w:eastAsia="Arial" w:hAnsi="Arial"/>
                  <w:sz w:val="18"/>
                  <w:szCs w:val="18"/>
                  <w:b w:val="1"/>
                  <w:bCs w:val="1"/>
                  <w:u w:val="single" w:color="auto"/>
                  <w:color w:val="0000FF"/>
                </w:rPr>
                <w:t>Consolidated Balance Sheets at December 31, 2020 and 2019</w:t>
              </w:r>
            </w:hyperlink>
          </w:p>
        </w:tc>
        <w:tc>
          <w:tcPr>
            <w:tcW w:w="260" w:type="dxa"/>
            <w:vAlign w:val="bottom"/>
            <w:tcBorders>
              <w:bottom w:val="single" w:sz="8" w:color="0000FF"/>
            </w:tcBorders>
          </w:tcPr>
          <w:p>
            <w:pPr>
              <w:spacing w:after="0"/>
              <w:rPr>
                <w:rFonts w:ascii="Arial" w:cs="Arial" w:eastAsia="Arial" w:hAnsi="Arial"/>
                <w:sz w:val="18"/>
                <w:szCs w:val="18"/>
                <w:b w:val="1"/>
                <w:bCs w:val="1"/>
                <w:color w:val="0000FF"/>
                <w:w w:val="88"/>
              </w:rPr>
            </w:pPr>
            <w:hyperlink w:anchor="page76">
              <w:r>
                <w:rPr>
                  <w:rFonts w:ascii="Arial" w:cs="Arial" w:eastAsia="Arial" w:hAnsi="Arial"/>
                  <w:sz w:val="18"/>
                  <w:szCs w:val="18"/>
                  <w:b w:val="1"/>
                  <w:bCs w:val="1"/>
                  <w:color w:val="0000FF"/>
                  <w:w w:val="88"/>
                </w:rPr>
                <w:t>F-2</w:t>
              </w:r>
            </w:hyperlink>
          </w:p>
        </w:tc>
      </w:tr>
      <w:tr>
        <w:trPr>
          <w:trHeight w:val="263"/>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77">
              <w:r>
                <w:rPr>
                  <w:rFonts w:ascii="Arial" w:cs="Arial" w:eastAsia="Arial" w:hAnsi="Arial"/>
                  <w:sz w:val="18"/>
                  <w:szCs w:val="18"/>
                  <w:b w:val="1"/>
                  <w:bCs w:val="1"/>
                  <w:u w:val="single" w:color="auto"/>
                  <w:color w:val="0000FF"/>
                </w:rPr>
                <w:t>Consolidated Statements of Operations and Comprehensive Loss for the years ended December 31, 2020, 2019 and 2018</w:t>
              </w:r>
            </w:hyperlink>
          </w:p>
        </w:tc>
        <w:tc>
          <w:tcPr>
            <w:tcW w:w="260" w:type="dxa"/>
            <w:vAlign w:val="bottom"/>
            <w:tcBorders>
              <w:bottom w:val="single" w:sz="8" w:color="0000FF"/>
            </w:tcBorders>
          </w:tcPr>
          <w:p>
            <w:pPr>
              <w:spacing w:after="0"/>
              <w:rPr>
                <w:rFonts w:ascii="Arial" w:cs="Arial" w:eastAsia="Arial" w:hAnsi="Arial"/>
                <w:sz w:val="18"/>
                <w:szCs w:val="18"/>
                <w:b w:val="1"/>
                <w:bCs w:val="1"/>
                <w:color w:val="0000FF"/>
                <w:w w:val="88"/>
              </w:rPr>
            </w:pPr>
            <w:hyperlink w:anchor="page77">
              <w:r>
                <w:rPr>
                  <w:rFonts w:ascii="Arial" w:cs="Arial" w:eastAsia="Arial" w:hAnsi="Arial"/>
                  <w:sz w:val="18"/>
                  <w:szCs w:val="18"/>
                  <w:b w:val="1"/>
                  <w:bCs w:val="1"/>
                  <w:color w:val="0000FF"/>
                  <w:w w:val="88"/>
                </w:rPr>
                <w:t>F-3</w:t>
              </w:r>
            </w:hyperlink>
          </w:p>
        </w:tc>
      </w:tr>
      <w:tr>
        <w:trPr>
          <w:trHeight w:val="263"/>
        </w:trPr>
        <w:tc>
          <w:tcPr>
            <w:tcW w:w="10380" w:type="dxa"/>
            <w:vAlign w:val="bottom"/>
          </w:tcPr>
          <w:p>
            <w:pPr>
              <w:ind w:left="20"/>
              <w:spacing w:after="0"/>
              <w:rPr>
                <w:rFonts w:ascii="Arial" w:cs="Arial" w:eastAsia="Arial" w:hAnsi="Arial"/>
                <w:sz w:val="18"/>
                <w:szCs w:val="18"/>
                <w:b w:val="1"/>
                <w:bCs w:val="1"/>
                <w:u w:val="single" w:color="auto"/>
                <w:color w:val="0000FF"/>
                <w:w w:val="97"/>
              </w:rPr>
            </w:pPr>
            <w:hyperlink w:anchor="page78">
              <w:r>
                <w:rPr>
                  <w:rFonts w:ascii="Arial" w:cs="Arial" w:eastAsia="Arial" w:hAnsi="Arial"/>
                  <w:sz w:val="18"/>
                  <w:szCs w:val="18"/>
                  <w:b w:val="1"/>
                  <w:bCs w:val="1"/>
                  <w:u w:val="single" w:color="auto"/>
                  <w:color w:val="0000FF"/>
                  <w:w w:val="97"/>
                </w:rPr>
                <w:t>Consolidated Statements of Changes in Stockholders' (Deficit) Equity for the years ended December 31, 2020, 2019 and 2018</w:t>
              </w:r>
            </w:hyperlink>
          </w:p>
        </w:tc>
        <w:tc>
          <w:tcPr>
            <w:tcW w:w="260" w:type="dxa"/>
            <w:vAlign w:val="bottom"/>
            <w:tcBorders>
              <w:bottom w:val="single" w:sz="8" w:color="0000FF"/>
            </w:tcBorders>
          </w:tcPr>
          <w:p>
            <w:pPr>
              <w:spacing w:after="0"/>
              <w:rPr>
                <w:rFonts w:ascii="Arial" w:cs="Arial" w:eastAsia="Arial" w:hAnsi="Arial"/>
                <w:sz w:val="18"/>
                <w:szCs w:val="18"/>
                <w:b w:val="1"/>
                <w:bCs w:val="1"/>
                <w:color w:val="0000FF"/>
                <w:w w:val="88"/>
              </w:rPr>
            </w:pPr>
            <w:hyperlink w:anchor="page78">
              <w:r>
                <w:rPr>
                  <w:rFonts w:ascii="Arial" w:cs="Arial" w:eastAsia="Arial" w:hAnsi="Arial"/>
                  <w:sz w:val="18"/>
                  <w:szCs w:val="18"/>
                  <w:b w:val="1"/>
                  <w:bCs w:val="1"/>
                  <w:color w:val="0000FF"/>
                  <w:w w:val="88"/>
                </w:rPr>
                <w:t>F-4</w:t>
              </w:r>
            </w:hyperlink>
          </w:p>
        </w:tc>
      </w:tr>
      <w:tr>
        <w:trPr>
          <w:trHeight w:val="263"/>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79">
              <w:r>
                <w:rPr>
                  <w:rFonts w:ascii="Arial" w:cs="Arial" w:eastAsia="Arial" w:hAnsi="Arial"/>
                  <w:sz w:val="18"/>
                  <w:szCs w:val="18"/>
                  <w:b w:val="1"/>
                  <w:bCs w:val="1"/>
                  <w:u w:val="single" w:color="auto"/>
                  <w:color w:val="0000FF"/>
                </w:rPr>
                <w:t>Consolidated Statements of Cash Flows for the years ended December 31, 2020, 2019 and 2018</w:t>
              </w:r>
            </w:hyperlink>
          </w:p>
        </w:tc>
        <w:tc>
          <w:tcPr>
            <w:tcW w:w="260" w:type="dxa"/>
            <w:vAlign w:val="bottom"/>
            <w:tcBorders>
              <w:bottom w:val="single" w:sz="8" w:color="0000FF"/>
            </w:tcBorders>
          </w:tcPr>
          <w:p>
            <w:pPr>
              <w:spacing w:after="0"/>
              <w:rPr>
                <w:rFonts w:ascii="Arial" w:cs="Arial" w:eastAsia="Arial" w:hAnsi="Arial"/>
                <w:sz w:val="18"/>
                <w:szCs w:val="18"/>
                <w:b w:val="1"/>
                <w:bCs w:val="1"/>
                <w:color w:val="0000FF"/>
                <w:w w:val="88"/>
              </w:rPr>
            </w:pPr>
            <w:hyperlink w:anchor="page79">
              <w:r>
                <w:rPr>
                  <w:rFonts w:ascii="Arial" w:cs="Arial" w:eastAsia="Arial" w:hAnsi="Arial"/>
                  <w:sz w:val="18"/>
                  <w:szCs w:val="18"/>
                  <w:b w:val="1"/>
                  <w:bCs w:val="1"/>
                  <w:color w:val="0000FF"/>
                  <w:w w:val="88"/>
                </w:rPr>
                <w:t>F-5</w:t>
              </w:r>
            </w:hyperlink>
          </w:p>
        </w:tc>
      </w:tr>
      <w:tr>
        <w:trPr>
          <w:trHeight w:val="264"/>
        </w:trPr>
        <w:tc>
          <w:tcPr>
            <w:tcW w:w="10380" w:type="dxa"/>
            <w:vAlign w:val="bottom"/>
          </w:tcPr>
          <w:p>
            <w:pPr>
              <w:ind w:left="20"/>
              <w:spacing w:after="0"/>
              <w:rPr>
                <w:rFonts w:ascii="Arial" w:cs="Arial" w:eastAsia="Arial" w:hAnsi="Arial"/>
                <w:sz w:val="18"/>
                <w:szCs w:val="18"/>
                <w:b w:val="1"/>
                <w:bCs w:val="1"/>
                <w:u w:val="single" w:color="auto"/>
                <w:color w:val="0000FF"/>
              </w:rPr>
            </w:pPr>
            <w:hyperlink w:anchor="page80">
              <w:r>
                <w:rPr>
                  <w:rFonts w:ascii="Arial" w:cs="Arial" w:eastAsia="Arial" w:hAnsi="Arial"/>
                  <w:sz w:val="18"/>
                  <w:szCs w:val="18"/>
                  <w:b w:val="1"/>
                  <w:bCs w:val="1"/>
                  <w:u w:val="single" w:color="auto"/>
                  <w:color w:val="0000FF"/>
                </w:rPr>
                <w:t>Notes to Consolidated Financial Statements</w:t>
              </w:r>
            </w:hyperlink>
          </w:p>
        </w:tc>
        <w:tc>
          <w:tcPr>
            <w:tcW w:w="260" w:type="dxa"/>
            <w:vAlign w:val="bottom"/>
            <w:tcBorders>
              <w:bottom w:val="single" w:sz="8" w:color="0000FF"/>
            </w:tcBorders>
          </w:tcPr>
          <w:p>
            <w:pPr>
              <w:spacing w:after="0"/>
              <w:rPr>
                <w:rFonts w:ascii="Arial" w:cs="Arial" w:eastAsia="Arial" w:hAnsi="Arial"/>
                <w:sz w:val="18"/>
                <w:szCs w:val="18"/>
                <w:b w:val="1"/>
                <w:bCs w:val="1"/>
                <w:color w:val="0000FF"/>
                <w:w w:val="88"/>
              </w:rPr>
            </w:pPr>
            <w:hyperlink w:anchor="page80">
              <w:r>
                <w:rPr>
                  <w:rFonts w:ascii="Arial" w:cs="Arial" w:eastAsia="Arial" w:hAnsi="Arial"/>
                  <w:sz w:val="18"/>
                  <w:szCs w:val="18"/>
                  <w:b w:val="1"/>
                  <w:bCs w:val="1"/>
                  <w:color w:val="0000FF"/>
                  <w:w w:val="88"/>
                </w:rPr>
                <w:t>F-6</w:t>
              </w:r>
            </w:hyperlink>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1"/>
                <w:szCs w:val="11"/>
                <w:color w:val="auto"/>
              </w:rPr>
            </w:pPr>
          </w:p>
        </w:tc>
        <w:tc>
          <w:tcPr>
            <w:tcW w:w="3540" w:type="dxa"/>
            <w:vAlign w:val="bottom"/>
            <w:gridSpan w:val="15"/>
            <w:vMerge w:val="restart"/>
          </w:tcPr>
          <w:p>
            <w:pPr>
              <w:ind w:left="1100"/>
              <w:spacing w:after="0"/>
              <w:rPr>
                <w:sz w:val="20"/>
                <w:szCs w:val="20"/>
                <w:color w:val="auto"/>
              </w:rPr>
            </w:pPr>
            <w:r>
              <w:rPr>
                <w:rFonts w:ascii="Arial" w:cs="Arial" w:eastAsia="Arial" w:hAnsi="Arial"/>
                <w:sz w:val="14"/>
                <w:szCs w:val="14"/>
                <w:b w:val="1"/>
                <w:bCs w:val="1"/>
                <w:color w:val="auto"/>
              </w:rPr>
              <w:t>Exhibit Description</w:t>
            </w: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Form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8"/>
        </w:trPr>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540" w:type="dxa"/>
            <w:vAlign w:val="bottom"/>
            <w:gridSpan w:val="15"/>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4"/>
        </w:trPr>
        <w:tc>
          <w:tcPr>
            <w:tcW w:w="1460" w:type="dxa"/>
            <w:vAlign w:val="bottom"/>
            <w:tcBorders>
              <w:top w:val="single" w:sz="8" w:color="auto"/>
            </w:tcBorders>
          </w:tcPr>
          <w:p>
            <w:pPr>
              <w:jc w:val="center"/>
              <w:spacing w:after="0" w:line="184" w:lineRule="exact"/>
              <w:rPr>
                <w:rFonts w:ascii="Arial" w:cs="Arial" w:eastAsia="Arial" w:hAnsi="Arial"/>
                <w:sz w:val="18"/>
                <w:szCs w:val="18"/>
                <w:u w:val="single" w:color="auto"/>
                <w:color w:val="0000FF"/>
                <w:w w:val="87"/>
              </w:rPr>
            </w:pPr>
            <w:hyperlink r:id="rId85">
              <w:r>
                <w:rPr>
                  <w:rFonts w:ascii="Arial" w:cs="Arial" w:eastAsia="Arial" w:hAnsi="Arial"/>
                  <w:sz w:val="18"/>
                  <w:szCs w:val="18"/>
                  <w:u w:val="single" w:color="auto"/>
                  <w:color w:val="0000FF"/>
                  <w:w w:val="87"/>
                </w:rPr>
                <w:t>3.1</w:t>
              </w:r>
            </w:hyperlink>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gridSpan w:val="14"/>
          </w:tcPr>
          <w:p>
            <w:pPr>
              <w:spacing w:after="0" w:line="184"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Restated Certificate of Incorporation of Selecta</w:t>
              </w:r>
            </w:hyperlink>
          </w:p>
        </w:tc>
        <w:tc>
          <w:tcPr>
            <w:tcW w:w="120" w:type="dxa"/>
            <w:vAlign w:val="bottom"/>
          </w:tcPr>
          <w:p>
            <w:pPr>
              <w:spacing w:after="0"/>
              <w:rPr>
                <w:sz w:val="15"/>
                <w:szCs w:val="15"/>
                <w:color w:val="auto"/>
              </w:rPr>
            </w:pPr>
          </w:p>
        </w:tc>
        <w:tc>
          <w:tcPr>
            <w:tcW w:w="38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8-K</w:t>
            </w: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5"/>
                <w:szCs w:val="15"/>
                <w:color w:val="auto"/>
              </w:rPr>
            </w:pPr>
          </w:p>
        </w:tc>
        <w:tc>
          <w:tcPr>
            <w:tcW w:w="9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2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85">
              <w:r>
                <w:rPr>
                  <w:rFonts w:ascii="Arial" w:cs="Arial" w:eastAsia="Arial" w:hAnsi="Arial"/>
                  <w:sz w:val="18"/>
                  <w:szCs w:val="18"/>
                  <w:color w:val="0000FF"/>
                  <w:w w:val="88"/>
                </w:rPr>
                <w:t>Biosciences, Inc.</w:t>
              </w:r>
            </w:hyperlink>
          </w:p>
        </w:tc>
        <w:tc>
          <w:tcPr>
            <w:tcW w:w="2180" w:type="dxa"/>
            <w:vAlign w:val="bottom"/>
            <w:tcBorders>
              <w:top w:val="single" w:sz="8" w:color="0000FF"/>
            </w:tcBorders>
            <w:gridSpan w:val="12"/>
          </w:tcPr>
          <w:p>
            <w:pPr>
              <w:spacing w:after="0"/>
              <w:rPr>
                <w:sz w:val="13"/>
                <w:szCs w:val="13"/>
                <w:color w:val="auto"/>
              </w:rPr>
            </w:pPr>
          </w:p>
        </w:tc>
        <w:tc>
          <w:tcPr>
            <w:tcW w:w="14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rPr>
                <w:rFonts w:ascii="Arial" w:cs="Arial" w:eastAsia="Arial" w:hAnsi="Arial"/>
                <w:sz w:val="18"/>
                <w:szCs w:val="18"/>
                <w:u w:val="single" w:color="auto"/>
                <w:color w:val="0000FF"/>
                <w:w w:val="87"/>
              </w:rPr>
            </w:pPr>
            <w:hyperlink r:id="rId86">
              <w:r>
                <w:rPr>
                  <w:rFonts w:ascii="Arial" w:cs="Arial" w:eastAsia="Arial" w:hAnsi="Arial"/>
                  <w:sz w:val="18"/>
                  <w:szCs w:val="18"/>
                  <w:u w:val="single" w:color="auto"/>
                  <w:color w:val="0000FF"/>
                  <w:w w:val="87"/>
                </w:rPr>
                <w:t>3.2</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15"/>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Amended and Restated By-laws of Selecta</w:t>
              </w:r>
            </w:hyperlink>
          </w:p>
        </w:tc>
        <w:tc>
          <w:tcPr>
            <w:tcW w:w="380" w:type="dxa"/>
            <w:vAlign w:val="bottom"/>
          </w:tcPr>
          <w:p>
            <w:pPr>
              <w:ind w:left="20"/>
              <w:spacing w:after="0"/>
              <w:rPr>
                <w:sz w:val="20"/>
                <w:szCs w:val="20"/>
                <w:color w:val="auto"/>
              </w:rPr>
            </w:pPr>
            <w:r>
              <w:rPr>
                <w:rFonts w:ascii="Arial" w:cs="Arial" w:eastAsia="Arial" w:hAnsi="Arial"/>
                <w:sz w:val="18"/>
                <w:szCs w:val="18"/>
                <w:color w:val="auto"/>
              </w:rPr>
              <w:t>8-K</w:t>
            </w:r>
          </w:p>
        </w:tc>
        <w:tc>
          <w:tcPr>
            <w:tcW w:w="2080" w:type="dxa"/>
            <w:vAlign w:val="bottom"/>
            <w:gridSpan w:val="3"/>
          </w:tcPr>
          <w:p>
            <w:pPr>
              <w:ind w:left="60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Biosciences, Inc.</w:t>
              </w:r>
            </w:hyperlink>
          </w:p>
        </w:tc>
        <w:tc>
          <w:tcPr>
            <w:tcW w:w="18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rPr>
                <w:rFonts w:ascii="Arial" w:cs="Arial" w:eastAsia="Arial" w:hAnsi="Arial"/>
                <w:sz w:val="18"/>
                <w:szCs w:val="18"/>
                <w:u w:val="single" w:color="auto"/>
                <w:color w:val="0000FF"/>
                <w:w w:val="87"/>
              </w:rPr>
            </w:pPr>
            <w:hyperlink r:id="rId87">
              <w:r>
                <w:rPr>
                  <w:rFonts w:ascii="Arial" w:cs="Arial" w:eastAsia="Arial" w:hAnsi="Arial"/>
                  <w:sz w:val="18"/>
                  <w:szCs w:val="18"/>
                  <w:u w:val="single" w:color="auto"/>
                  <w:color w:val="0000FF"/>
                  <w:w w:val="87"/>
                </w:rPr>
                <w:t>4.1</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15"/>
          </w:tcPr>
          <w:p>
            <w:pPr>
              <w:spacing w:after="0"/>
              <w:rPr>
                <w:rFonts w:ascii="Arial" w:cs="Arial" w:eastAsia="Arial" w:hAnsi="Arial"/>
                <w:sz w:val="18"/>
                <w:szCs w:val="18"/>
                <w:color w:val="0000FF"/>
              </w:rPr>
            </w:pPr>
            <w:hyperlink r:id="rId87">
              <w:r>
                <w:rPr>
                  <w:rFonts w:ascii="Arial" w:cs="Arial" w:eastAsia="Arial" w:hAnsi="Arial"/>
                  <w:sz w:val="18"/>
                  <w:szCs w:val="18"/>
                  <w:color w:val="0000FF"/>
                </w:rPr>
                <w:t>Specimen Stock Certificate evidencing the</w:t>
              </w:r>
            </w:hyperlink>
          </w:p>
        </w:tc>
        <w:tc>
          <w:tcPr>
            <w:tcW w:w="380" w:type="dxa"/>
            <w:vAlign w:val="bottom"/>
          </w:tcPr>
          <w:p>
            <w:pPr>
              <w:ind w:left="20"/>
              <w:spacing w:after="0"/>
              <w:rPr>
                <w:sz w:val="20"/>
                <w:szCs w:val="20"/>
                <w:color w:val="auto"/>
              </w:rPr>
            </w:pPr>
            <w:r>
              <w:rPr>
                <w:rFonts w:ascii="Arial" w:cs="Arial" w:eastAsia="Arial" w:hAnsi="Arial"/>
                <w:sz w:val="18"/>
                <w:szCs w:val="18"/>
                <w:color w:val="auto"/>
              </w:rPr>
              <w:t>S-1</w:t>
            </w:r>
          </w:p>
        </w:tc>
        <w:tc>
          <w:tcPr>
            <w:tcW w:w="2080" w:type="dxa"/>
            <w:vAlign w:val="bottom"/>
            <w:gridSpan w:val="3"/>
          </w:tcPr>
          <w:p>
            <w:pPr>
              <w:ind w:left="60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87">
              <w:r>
                <w:rPr>
                  <w:rFonts w:ascii="Arial" w:cs="Arial" w:eastAsia="Arial" w:hAnsi="Arial"/>
                  <w:sz w:val="18"/>
                  <w:szCs w:val="18"/>
                  <w:color w:val="0000FF"/>
                  <w:w w:val="88"/>
                </w:rPr>
                <w:t>shares of common stock</w:t>
              </w:r>
            </w:hyperlink>
          </w:p>
        </w:tc>
        <w:tc>
          <w:tcPr>
            <w:tcW w:w="132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rPr>
                <w:rFonts w:ascii="Arial" w:cs="Arial" w:eastAsia="Arial" w:hAnsi="Arial"/>
                <w:sz w:val="18"/>
                <w:szCs w:val="18"/>
                <w:u w:val="single" w:color="auto"/>
                <w:color w:val="0000FF"/>
                <w:w w:val="87"/>
              </w:rPr>
            </w:pPr>
            <w:hyperlink r:id="rId88">
              <w:r>
                <w:rPr>
                  <w:rFonts w:ascii="Arial" w:cs="Arial" w:eastAsia="Arial" w:hAnsi="Arial"/>
                  <w:sz w:val="18"/>
                  <w:szCs w:val="18"/>
                  <w:u w:val="single" w:color="auto"/>
                  <w:color w:val="0000FF"/>
                  <w:w w:val="87"/>
                </w:rPr>
                <w:t>4.2</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15"/>
          </w:tcPr>
          <w:p>
            <w:pPr>
              <w:spacing w:after="0"/>
              <w:rPr>
                <w:rFonts w:ascii="Arial" w:cs="Arial" w:eastAsia="Arial" w:hAnsi="Arial"/>
                <w:sz w:val="18"/>
                <w:szCs w:val="18"/>
                <w:color w:val="0000FF"/>
                <w:w w:val="95"/>
              </w:rPr>
            </w:pPr>
            <w:hyperlink r:id="rId88">
              <w:r>
                <w:rPr>
                  <w:rFonts w:ascii="Arial" w:cs="Arial" w:eastAsia="Arial" w:hAnsi="Arial"/>
                  <w:sz w:val="18"/>
                  <w:szCs w:val="18"/>
                  <w:color w:val="0000FF"/>
                  <w:w w:val="95"/>
                </w:rPr>
                <w:t>Form of Warrant to Purchase Shares of Series</w:t>
              </w:r>
            </w:hyperlink>
          </w:p>
        </w:tc>
        <w:tc>
          <w:tcPr>
            <w:tcW w:w="380" w:type="dxa"/>
            <w:vAlign w:val="bottom"/>
          </w:tcPr>
          <w:p>
            <w:pPr>
              <w:ind w:left="20"/>
              <w:spacing w:after="0"/>
              <w:rPr>
                <w:sz w:val="20"/>
                <w:szCs w:val="20"/>
                <w:color w:val="auto"/>
              </w:rPr>
            </w:pPr>
            <w:r>
              <w:rPr>
                <w:rFonts w:ascii="Arial" w:cs="Arial" w:eastAsia="Arial" w:hAnsi="Arial"/>
                <w:sz w:val="18"/>
                <w:szCs w:val="18"/>
                <w:color w:val="auto"/>
              </w:rPr>
              <w:t>S-1</w:t>
            </w:r>
          </w:p>
        </w:tc>
        <w:tc>
          <w:tcPr>
            <w:tcW w:w="2080" w:type="dxa"/>
            <w:vAlign w:val="bottom"/>
            <w:gridSpan w:val="3"/>
          </w:tcPr>
          <w:p>
            <w:pPr>
              <w:ind w:left="60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tcBorders>
            <w:gridSpan w:val="11"/>
          </w:tcPr>
          <w:p>
            <w:pPr>
              <w:spacing w:after="0" w:line="15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D Preferred Stock, dated August 9, 2013 or</w:t>
              </w:r>
            </w:hyperlink>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tcBorders>
            <w:gridSpan w:val="8"/>
          </w:tcPr>
          <w:p>
            <w:pPr>
              <w:spacing w:after="0" w:line="15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July 25, 2014, issued by the Registrant to</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15"/>
          </w:tcPr>
          <w:p>
            <w:pPr>
              <w:spacing w:after="0" w:line="142" w:lineRule="exact"/>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Oxford Finance LLC and Square One Bank,</w:t>
              </w:r>
            </w:hyperlink>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gridSpan w:val="15"/>
          </w:tcPr>
          <w:p>
            <w:pPr>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together with a schedule of warrant holders</w:t>
              </w:r>
            </w:hyperlink>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jc w:val="center"/>
              <w:spacing w:after="0" w:line="190" w:lineRule="exact"/>
              <w:rPr>
                <w:rFonts w:ascii="Arial" w:cs="Arial" w:eastAsia="Arial" w:hAnsi="Arial"/>
                <w:sz w:val="18"/>
                <w:szCs w:val="18"/>
                <w:u w:val="single" w:color="auto"/>
                <w:color w:val="0000FF"/>
                <w:w w:val="87"/>
              </w:rPr>
            </w:pPr>
            <w:hyperlink r:id="rId89">
              <w:r>
                <w:rPr>
                  <w:rFonts w:ascii="Arial" w:cs="Arial" w:eastAsia="Arial" w:hAnsi="Arial"/>
                  <w:sz w:val="18"/>
                  <w:szCs w:val="18"/>
                  <w:u w:val="single" w:color="auto"/>
                  <w:color w:val="0000FF"/>
                  <w:w w:val="87"/>
                </w:rPr>
                <w:t>4.3</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gridSpan w:val="15"/>
          </w:tcPr>
          <w:p>
            <w:pPr>
              <w:spacing w:after="0" w:line="190" w:lineRule="exact"/>
              <w:rPr>
                <w:rFonts w:ascii="Arial" w:cs="Arial" w:eastAsia="Arial" w:hAnsi="Arial"/>
                <w:sz w:val="18"/>
                <w:szCs w:val="18"/>
                <w:color w:val="0000FF"/>
                <w:w w:val="95"/>
              </w:rPr>
            </w:pPr>
            <w:hyperlink r:id="rId89">
              <w:r>
                <w:rPr>
                  <w:rFonts w:ascii="Arial" w:cs="Arial" w:eastAsia="Arial" w:hAnsi="Arial"/>
                  <w:sz w:val="18"/>
                  <w:szCs w:val="18"/>
                  <w:color w:val="0000FF"/>
                  <w:w w:val="95"/>
                </w:rPr>
                <w:t>Form of Warrant to Purchase Shares of Series</w:t>
              </w:r>
            </w:hyperlink>
          </w:p>
        </w:tc>
        <w:tc>
          <w:tcPr>
            <w:tcW w:w="380" w:type="dxa"/>
            <w:vAlign w:val="bottom"/>
          </w:tcPr>
          <w:p>
            <w:pPr>
              <w:ind w:left="20"/>
              <w:spacing w:after="0" w:line="190" w:lineRule="exact"/>
              <w:rPr>
                <w:sz w:val="20"/>
                <w:szCs w:val="20"/>
                <w:color w:val="auto"/>
              </w:rPr>
            </w:pPr>
            <w:r>
              <w:rPr>
                <w:rFonts w:ascii="Arial" w:cs="Arial" w:eastAsia="Arial" w:hAnsi="Arial"/>
                <w:sz w:val="18"/>
                <w:szCs w:val="18"/>
                <w:color w:val="auto"/>
              </w:rPr>
              <w:t>S-1</w:t>
            </w:r>
          </w:p>
        </w:tc>
        <w:tc>
          <w:tcPr>
            <w:tcW w:w="2080" w:type="dxa"/>
            <w:vAlign w:val="bottom"/>
            <w:gridSpan w:val="3"/>
          </w:tcPr>
          <w:p>
            <w:pPr>
              <w:ind w:left="600"/>
              <w:spacing w:after="0" w:line="190" w:lineRule="exact"/>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16"/>
                <w:szCs w:val="16"/>
                <w:color w:val="auto"/>
              </w:rPr>
            </w:pPr>
          </w:p>
        </w:tc>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6"/>
                <w:szCs w:val="16"/>
                <w:color w:val="auto"/>
              </w:rPr>
            </w:pPr>
          </w:p>
        </w:tc>
        <w:tc>
          <w:tcPr>
            <w:tcW w:w="1260" w:type="dxa"/>
            <w:vAlign w:val="bottom"/>
          </w:tcPr>
          <w:p>
            <w:pPr>
              <w:ind w:left="20"/>
              <w:spacing w:after="0" w:line="190" w:lineRule="exact"/>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tcBorders>
            <w:gridSpan w:val="11"/>
          </w:tcPr>
          <w:p>
            <w:pPr>
              <w:spacing w:after="0" w:line="156"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E Preferred Stock, dated December 31, 2015,</w:t>
              </w:r>
            </w:hyperlink>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issued by the Registrant to Oxford Finance</w:t>
              </w:r>
            </w:hyperlink>
          </w:p>
        </w:tc>
        <w:tc>
          <w:tcPr>
            <w:tcW w:w="1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15"/>
          </w:tcPr>
          <w:p>
            <w:pPr>
              <w:spacing w:after="0" w:line="142" w:lineRule="exact"/>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LLC and Square One Bank, together with a</w:t>
              </w:r>
            </w:hyperlink>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gridSpan w:val="15"/>
          </w:tcPr>
          <w:p>
            <w:pPr>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schedule of warrant holders</w:t>
              </w:r>
            </w:hyperlink>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jc w:val="center"/>
              <w:spacing w:after="0" w:line="190" w:lineRule="exact"/>
              <w:rPr>
                <w:rFonts w:ascii="Arial" w:cs="Arial" w:eastAsia="Arial" w:hAnsi="Arial"/>
                <w:sz w:val="18"/>
                <w:szCs w:val="18"/>
                <w:u w:val="single" w:color="auto"/>
                <w:color w:val="0000FF"/>
                <w:w w:val="87"/>
              </w:rPr>
            </w:pPr>
            <w:hyperlink r:id="rId90">
              <w:r>
                <w:rPr>
                  <w:rFonts w:ascii="Arial" w:cs="Arial" w:eastAsia="Arial" w:hAnsi="Arial"/>
                  <w:sz w:val="18"/>
                  <w:szCs w:val="18"/>
                  <w:u w:val="single" w:color="auto"/>
                  <w:color w:val="0000FF"/>
                  <w:w w:val="87"/>
                </w:rPr>
                <w:t>4.4</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gridSpan w:val="15"/>
          </w:tcPr>
          <w:p>
            <w:pPr>
              <w:spacing w:after="0" w:line="190"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Common Stock Purchase Warrant, dated June</w:t>
              </w:r>
            </w:hyperlink>
          </w:p>
        </w:tc>
        <w:tc>
          <w:tcPr>
            <w:tcW w:w="380" w:type="dxa"/>
            <w:vAlign w:val="bottom"/>
          </w:tcPr>
          <w:p>
            <w:pPr>
              <w:ind w:left="20"/>
              <w:spacing w:after="0" w:line="190" w:lineRule="exact"/>
              <w:rPr>
                <w:sz w:val="20"/>
                <w:szCs w:val="20"/>
                <w:color w:val="auto"/>
              </w:rPr>
            </w:pPr>
            <w:r>
              <w:rPr>
                <w:rFonts w:ascii="Arial" w:cs="Arial" w:eastAsia="Arial" w:hAnsi="Arial"/>
                <w:sz w:val="18"/>
                <w:szCs w:val="18"/>
                <w:color w:val="auto"/>
              </w:rPr>
              <w:t>8-K</w:t>
            </w:r>
          </w:p>
        </w:tc>
        <w:tc>
          <w:tcPr>
            <w:tcW w:w="2080" w:type="dxa"/>
            <w:vAlign w:val="bottom"/>
            <w:gridSpan w:val="3"/>
          </w:tcPr>
          <w:p>
            <w:pPr>
              <w:ind w:left="600"/>
              <w:spacing w:after="0" w:line="190"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6"/>
                <w:szCs w:val="16"/>
                <w:color w:val="auto"/>
              </w:rPr>
            </w:pPr>
          </w:p>
        </w:tc>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6"/>
                <w:szCs w:val="16"/>
                <w:color w:val="auto"/>
              </w:rPr>
            </w:pPr>
          </w:p>
        </w:tc>
        <w:tc>
          <w:tcPr>
            <w:tcW w:w="1260" w:type="dxa"/>
            <w:vAlign w:val="bottom"/>
          </w:tcPr>
          <w:p>
            <w:pPr>
              <w:ind w:left="20"/>
              <w:spacing w:after="0" w:line="190" w:lineRule="exact"/>
              <w:rPr>
                <w:sz w:val="20"/>
                <w:szCs w:val="20"/>
                <w:color w:val="auto"/>
              </w:rPr>
            </w:pPr>
            <w:r>
              <w:rPr>
                <w:rFonts w:ascii="Arial" w:cs="Arial" w:eastAsia="Arial" w:hAnsi="Arial"/>
                <w:sz w:val="18"/>
                <w:szCs w:val="18"/>
                <w:color w:val="auto"/>
              </w:rPr>
              <w:t>6/28/2017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27, 2017, by and between the Registrant and</w:t>
              </w:r>
            </w:hyperlink>
          </w:p>
        </w:tc>
        <w:tc>
          <w:tcPr>
            <w:tcW w:w="2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Timothy Springer, Ph.D.</w:t>
              </w:r>
            </w:hyperlink>
          </w:p>
        </w:tc>
        <w:tc>
          <w:tcPr>
            <w:tcW w:w="340" w:type="dxa"/>
            <w:vAlign w:val="bottom"/>
            <w:gridSpan w:val="6"/>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7"/>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850"/>
        </w:trPr>
        <w:tc>
          <w:tcPr>
            <w:tcW w:w="1620" w:type="dxa"/>
            <w:vAlign w:val="bottom"/>
            <w:gridSpan w:val="3"/>
          </w:tcPr>
          <w:p>
            <w:pPr>
              <w:jc w:val="center"/>
              <w:ind w:right="120"/>
              <w:spacing w:after="0"/>
              <w:rPr>
                <w:rFonts w:ascii="Arial" w:cs="Arial" w:eastAsia="Arial" w:hAnsi="Arial"/>
                <w:sz w:val="18"/>
                <w:szCs w:val="18"/>
                <w:u w:val="single" w:color="auto"/>
                <w:color w:val="0000FF"/>
                <w:w w:val="87"/>
              </w:rPr>
            </w:pPr>
            <w:hyperlink r:id="rId93">
              <w:r>
                <w:rPr>
                  <w:rFonts w:ascii="Arial" w:cs="Arial" w:eastAsia="Arial" w:hAnsi="Arial"/>
                  <w:sz w:val="18"/>
                  <w:szCs w:val="18"/>
                  <w:u w:val="single" w:color="auto"/>
                  <w:color w:val="0000FF"/>
                  <w:w w:val="87"/>
                </w:rPr>
                <w:t>4.5</w:t>
              </w:r>
            </w:hyperlink>
          </w:p>
        </w:tc>
        <w:tc>
          <w:tcPr>
            <w:tcW w:w="3440" w:type="dxa"/>
            <w:vAlign w:val="bottom"/>
            <w:gridSpan w:val="35"/>
          </w:tcPr>
          <w:p>
            <w:pPr>
              <w:spacing w:after="0"/>
              <w:rPr>
                <w:rFonts w:ascii="Arial" w:cs="Arial" w:eastAsia="Arial" w:hAnsi="Arial"/>
                <w:sz w:val="18"/>
                <w:szCs w:val="18"/>
                <w:color w:val="0000FF"/>
              </w:rPr>
            </w:pPr>
            <w:hyperlink r:id="rId93">
              <w:r>
                <w:rPr>
                  <w:rFonts w:ascii="Arial" w:cs="Arial" w:eastAsia="Arial" w:hAnsi="Arial"/>
                  <w:sz w:val="18"/>
                  <w:szCs w:val="18"/>
                  <w:color w:val="0000FF"/>
                </w:rPr>
                <w:t>Registration Rights Agreement, dated</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8-K</w:t>
            </w:r>
          </w:p>
        </w:tc>
        <w:tc>
          <w:tcPr>
            <w:tcW w:w="1500" w:type="dxa"/>
            <w:vAlign w:val="bottom"/>
          </w:tcPr>
          <w:p>
            <w:pPr>
              <w:ind w:left="26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10.2</w:t>
            </w:r>
          </w:p>
        </w:tc>
        <w:tc>
          <w:tcPr>
            <w:tcW w:w="2640" w:type="dxa"/>
            <w:vAlign w:val="bottom"/>
          </w:tcPr>
          <w:p>
            <w:pPr>
              <w:ind w:left="280"/>
              <w:spacing w:after="0"/>
              <w:rPr>
                <w:sz w:val="20"/>
                <w:szCs w:val="20"/>
                <w:color w:val="auto"/>
              </w:rPr>
            </w:pPr>
            <w:r>
              <w:rPr>
                <w:rFonts w:ascii="Arial" w:cs="Arial" w:eastAsia="Arial" w:hAnsi="Arial"/>
                <w:sz w:val="18"/>
                <w:szCs w:val="18"/>
                <w:color w:val="auto"/>
              </w:rPr>
              <w:t>12/26/2019</w:t>
            </w: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80" w:type="dxa"/>
            <w:vAlign w:val="bottom"/>
            <w:tcBorders>
              <w:bottom w:val="single" w:sz="8" w:color="0000FF"/>
            </w:tcBorders>
            <w:gridSpan w:val="12"/>
          </w:tcPr>
          <w:p>
            <w:pPr>
              <w:spacing w:after="0" w:line="156" w:lineRule="exact"/>
              <w:rPr>
                <w:rFonts w:ascii="Arial" w:cs="Arial" w:eastAsia="Arial" w:hAnsi="Arial"/>
                <w:sz w:val="18"/>
                <w:szCs w:val="18"/>
                <w:color w:val="0000FF"/>
                <w:w w:val="88"/>
              </w:rPr>
            </w:pPr>
            <w:hyperlink r:id="rId93">
              <w:r>
                <w:rPr>
                  <w:rFonts w:ascii="Arial" w:cs="Arial" w:eastAsia="Arial" w:hAnsi="Arial"/>
                  <w:sz w:val="18"/>
                  <w:szCs w:val="18"/>
                  <w:color w:val="0000FF"/>
                  <w:w w:val="88"/>
                </w:rPr>
                <w:t>December 23, 2019, by and among the</w:t>
              </w:r>
            </w:hyperlink>
          </w:p>
        </w:tc>
        <w:tc>
          <w:tcPr>
            <w:tcW w:w="660" w:type="dxa"/>
            <w:vAlign w:val="bottom"/>
            <w:gridSpan w:val="23"/>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95"/>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40" w:type="dxa"/>
            <w:vAlign w:val="bottom"/>
            <w:gridSpan w:val="35"/>
          </w:tcPr>
          <w:p>
            <w:pPr>
              <w:spacing w:after="0" w:line="195" w:lineRule="exact"/>
              <w:rPr>
                <w:rFonts w:ascii="Arial" w:cs="Arial" w:eastAsia="Arial" w:hAnsi="Arial"/>
                <w:sz w:val="18"/>
                <w:szCs w:val="18"/>
                <w:u w:val="single" w:color="auto"/>
                <w:color w:val="0000FF"/>
                <w:w w:val="99"/>
              </w:rPr>
            </w:pPr>
            <w:hyperlink r:id="rId93">
              <w:r>
                <w:rPr>
                  <w:rFonts w:ascii="Arial" w:cs="Arial" w:eastAsia="Arial" w:hAnsi="Arial"/>
                  <w:sz w:val="18"/>
                  <w:szCs w:val="18"/>
                  <w:u w:val="single" w:color="auto"/>
                  <w:color w:val="0000FF"/>
                  <w:w w:val="99"/>
                </w:rPr>
                <w:t>Registrant and the Investors named therein</w:t>
              </w:r>
            </w:hyperlink>
          </w:p>
        </w:tc>
        <w:tc>
          <w:tcPr>
            <w:tcW w:w="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0"/>
        </w:trPr>
        <w:tc>
          <w:tcPr>
            <w:tcW w:w="1620" w:type="dxa"/>
            <w:vAlign w:val="bottom"/>
            <w:gridSpan w:val="3"/>
          </w:tcPr>
          <w:p>
            <w:pPr>
              <w:jc w:val="center"/>
              <w:ind w:right="120"/>
              <w:spacing w:after="0" w:line="190" w:lineRule="exact"/>
              <w:rPr>
                <w:rFonts w:ascii="Arial" w:cs="Arial" w:eastAsia="Arial" w:hAnsi="Arial"/>
                <w:sz w:val="18"/>
                <w:szCs w:val="18"/>
                <w:u w:val="single" w:color="auto"/>
                <w:color w:val="0000FF"/>
                <w:w w:val="87"/>
              </w:rPr>
            </w:pPr>
            <w:hyperlink r:id="rId94">
              <w:r>
                <w:rPr>
                  <w:rFonts w:ascii="Arial" w:cs="Arial" w:eastAsia="Arial" w:hAnsi="Arial"/>
                  <w:sz w:val="18"/>
                  <w:szCs w:val="18"/>
                  <w:u w:val="single" w:color="auto"/>
                  <w:color w:val="0000FF"/>
                  <w:w w:val="87"/>
                </w:rPr>
                <w:t>4.6</w:t>
              </w:r>
            </w:hyperlink>
          </w:p>
        </w:tc>
        <w:tc>
          <w:tcPr>
            <w:tcW w:w="3440" w:type="dxa"/>
            <w:vAlign w:val="bottom"/>
            <w:gridSpan w:val="35"/>
          </w:tcPr>
          <w:p>
            <w:pPr>
              <w:spacing w:after="0" w:line="190"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Registration Rights Agreement, dated as of</w:t>
              </w:r>
            </w:hyperlink>
          </w:p>
        </w:tc>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10-Q</w:t>
            </w:r>
          </w:p>
        </w:tc>
        <w:tc>
          <w:tcPr>
            <w:tcW w:w="1500" w:type="dxa"/>
            <w:vAlign w:val="bottom"/>
          </w:tcPr>
          <w:p>
            <w:pPr>
              <w:ind w:left="260"/>
              <w:spacing w:after="0" w:line="190" w:lineRule="exact"/>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line="190" w:lineRule="exact"/>
              <w:rPr>
                <w:sz w:val="20"/>
                <w:szCs w:val="20"/>
                <w:color w:val="auto"/>
              </w:rPr>
            </w:pPr>
            <w:r>
              <w:rPr>
                <w:rFonts w:ascii="Arial" w:cs="Arial" w:eastAsia="Arial" w:hAnsi="Arial"/>
                <w:sz w:val="18"/>
                <w:szCs w:val="18"/>
                <w:color w:val="auto"/>
              </w:rPr>
              <w:t>4.1</w:t>
            </w:r>
          </w:p>
        </w:tc>
        <w:tc>
          <w:tcPr>
            <w:tcW w:w="2640" w:type="dxa"/>
            <w:vAlign w:val="bottom"/>
          </w:tcPr>
          <w:p>
            <w:pPr>
              <w:ind w:left="280"/>
              <w:spacing w:after="0" w:line="190" w:lineRule="exact"/>
              <w:rPr>
                <w:sz w:val="20"/>
                <w:szCs w:val="20"/>
                <w:color w:val="auto"/>
              </w:rPr>
            </w:pPr>
            <w:r>
              <w:rPr>
                <w:rFonts w:ascii="Arial" w:cs="Arial" w:eastAsia="Arial" w:hAnsi="Arial"/>
                <w:sz w:val="18"/>
                <w:szCs w:val="18"/>
                <w:color w:val="auto"/>
              </w:rPr>
              <w:t>8/6/2020</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3"/>
              </w:rPr>
            </w:pPr>
            <w:hyperlink r:id="rId94">
              <w:r>
                <w:rPr>
                  <w:rFonts w:ascii="Arial" w:cs="Arial" w:eastAsia="Arial" w:hAnsi="Arial"/>
                  <w:sz w:val="18"/>
                  <w:szCs w:val="18"/>
                  <w:color w:val="0000FF"/>
                  <w:w w:val="83"/>
                </w:rPr>
                <w:t>June 11, 2020, by and between the Registrant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95"/>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60" w:type="dxa"/>
            <w:vAlign w:val="bottom"/>
            <w:gridSpan w:val="26"/>
          </w:tcPr>
          <w:p>
            <w:pPr>
              <w:spacing w:after="0" w:line="195" w:lineRule="exact"/>
              <w:rPr>
                <w:rFonts w:ascii="Arial" w:cs="Arial" w:eastAsia="Arial" w:hAnsi="Arial"/>
                <w:sz w:val="18"/>
                <w:szCs w:val="18"/>
                <w:u w:val="single" w:color="auto"/>
                <w:color w:val="0000FF"/>
                <w:w w:val="98"/>
              </w:rPr>
            </w:pPr>
            <w:hyperlink r:id="rId94">
              <w:r>
                <w:rPr>
                  <w:rFonts w:ascii="Arial" w:cs="Arial" w:eastAsia="Arial" w:hAnsi="Arial"/>
                  <w:sz w:val="18"/>
                  <w:szCs w:val="18"/>
                  <w:u w:val="single" w:color="auto"/>
                  <w:color w:val="0000FF"/>
                  <w:w w:val="98"/>
                </w:rPr>
                <w:t>and Swedish Orphan Biovitrum AB (Publ)</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0"/>
        </w:trPr>
        <w:tc>
          <w:tcPr>
            <w:tcW w:w="1620" w:type="dxa"/>
            <w:vAlign w:val="bottom"/>
            <w:gridSpan w:val="3"/>
          </w:tcPr>
          <w:p>
            <w:pPr>
              <w:jc w:val="center"/>
              <w:ind w:right="120"/>
              <w:spacing w:after="0" w:line="190" w:lineRule="exact"/>
              <w:rPr>
                <w:rFonts w:ascii="Arial" w:cs="Arial" w:eastAsia="Arial" w:hAnsi="Arial"/>
                <w:sz w:val="18"/>
                <w:szCs w:val="18"/>
                <w:u w:val="single" w:color="auto"/>
                <w:color w:val="0000FF"/>
                <w:w w:val="87"/>
              </w:rPr>
            </w:pPr>
            <w:hyperlink r:id="rId95">
              <w:r>
                <w:rPr>
                  <w:rFonts w:ascii="Arial" w:cs="Arial" w:eastAsia="Arial" w:hAnsi="Arial"/>
                  <w:sz w:val="18"/>
                  <w:szCs w:val="18"/>
                  <w:u w:val="single" w:color="auto"/>
                  <w:color w:val="0000FF"/>
                  <w:w w:val="87"/>
                </w:rPr>
                <w:t>4.7</w:t>
              </w:r>
            </w:hyperlink>
          </w:p>
        </w:tc>
        <w:tc>
          <w:tcPr>
            <w:tcW w:w="3440" w:type="dxa"/>
            <w:vAlign w:val="bottom"/>
            <w:gridSpan w:val="35"/>
          </w:tcPr>
          <w:p>
            <w:pPr>
              <w:spacing w:after="0" w:line="190"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Registration Rights Agreement, dated as of</w:t>
              </w:r>
            </w:hyperlink>
          </w:p>
        </w:tc>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10-Q</w:t>
            </w:r>
          </w:p>
        </w:tc>
        <w:tc>
          <w:tcPr>
            <w:tcW w:w="1500" w:type="dxa"/>
            <w:vAlign w:val="bottom"/>
          </w:tcPr>
          <w:p>
            <w:pPr>
              <w:ind w:left="260"/>
              <w:spacing w:after="0" w:line="190" w:lineRule="exact"/>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line="190" w:lineRule="exact"/>
              <w:rPr>
                <w:sz w:val="20"/>
                <w:szCs w:val="20"/>
                <w:color w:val="auto"/>
              </w:rPr>
            </w:pPr>
            <w:r>
              <w:rPr>
                <w:rFonts w:ascii="Arial" w:cs="Arial" w:eastAsia="Arial" w:hAnsi="Arial"/>
                <w:sz w:val="18"/>
                <w:szCs w:val="18"/>
                <w:color w:val="auto"/>
              </w:rPr>
              <w:t>4.2</w:t>
            </w:r>
          </w:p>
        </w:tc>
        <w:tc>
          <w:tcPr>
            <w:tcW w:w="2640" w:type="dxa"/>
            <w:vAlign w:val="bottom"/>
          </w:tcPr>
          <w:p>
            <w:pPr>
              <w:ind w:left="280"/>
              <w:spacing w:after="0" w:line="190" w:lineRule="exact"/>
              <w:rPr>
                <w:sz w:val="20"/>
                <w:szCs w:val="20"/>
                <w:color w:val="auto"/>
              </w:rPr>
            </w:pPr>
            <w:r>
              <w:rPr>
                <w:rFonts w:ascii="Arial" w:cs="Arial" w:eastAsia="Arial" w:hAnsi="Arial"/>
                <w:sz w:val="18"/>
                <w:szCs w:val="18"/>
                <w:color w:val="auto"/>
              </w:rPr>
              <w:t>11/5/2020</w:t>
            </w:r>
          </w:p>
        </w:tc>
      </w:tr>
      <w:tr>
        <w:trPr>
          <w:trHeight w:val="156"/>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3"/>
              </w:rPr>
            </w:pPr>
            <w:hyperlink r:id="rId95">
              <w:r>
                <w:rPr>
                  <w:rFonts w:ascii="Arial" w:cs="Arial" w:eastAsia="Arial" w:hAnsi="Arial"/>
                  <w:sz w:val="18"/>
                  <w:szCs w:val="18"/>
                  <w:color w:val="0000FF"/>
                  <w:w w:val="83"/>
                </w:rPr>
                <w:t>June 11, 2020, by and between the Registrant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40" w:type="dxa"/>
            <w:vAlign w:val="bottom"/>
            <w:gridSpan w:val="35"/>
          </w:tcPr>
          <w:p>
            <w:pPr>
              <w:spacing w:after="0" w:line="156" w:lineRule="exact"/>
              <w:rPr>
                <w:rFonts w:ascii="Arial" w:cs="Arial" w:eastAsia="Arial" w:hAnsi="Arial"/>
                <w:sz w:val="18"/>
                <w:szCs w:val="18"/>
                <w:color w:val="0000FF"/>
                <w:w w:val="95"/>
              </w:rPr>
            </w:pPr>
            <w:hyperlink r:id="rId95">
              <w:r>
                <w:rPr>
                  <w:rFonts w:ascii="Arial" w:cs="Arial" w:eastAsia="Arial" w:hAnsi="Arial"/>
                  <w:sz w:val="18"/>
                  <w:szCs w:val="18"/>
                  <w:color w:val="0000FF"/>
                  <w:w w:val="95"/>
                </w:rPr>
                <w:t>and Swedish Orphan Biovitrum AB (Publ), as</w:t>
              </w:r>
            </w:hyperlink>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95"/>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80" w:type="dxa"/>
            <w:vAlign w:val="bottom"/>
            <w:tcBorders>
              <w:top w:val="single" w:sz="8" w:color="0000FF"/>
            </w:tcBorders>
            <w:gridSpan w:val="32"/>
          </w:tcPr>
          <w:p>
            <w:pPr>
              <w:spacing w:after="0" w:line="195" w:lineRule="exact"/>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amended on November 4, 2020</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0"/>
        </w:trPr>
        <w:tc>
          <w:tcPr>
            <w:tcW w:w="1620" w:type="dxa"/>
            <w:vAlign w:val="bottom"/>
            <w:gridSpan w:val="3"/>
          </w:tcPr>
          <w:p>
            <w:pPr>
              <w:jc w:val="center"/>
              <w:ind w:right="120"/>
              <w:spacing w:after="0" w:line="190" w:lineRule="exact"/>
              <w:rPr>
                <w:rFonts w:ascii="Arial" w:cs="Arial" w:eastAsia="Arial" w:hAnsi="Arial"/>
                <w:sz w:val="18"/>
                <w:szCs w:val="18"/>
                <w:color w:val="0000FF"/>
                <w:w w:val="87"/>
              </w:rPr>
            </w:pPr>
            <w:hyperlink r:id="rId9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3440" w:type="dxa"/>
            <w:vAlign w:val="bottom"/>
            <w:gridSpan w:val="35"/>
          </w:tcPr>
          <w:p>
            <w:pPr>
              <w:spacing w:after="0" w:line="190"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Form of Common Stock Purchase Warrant,</w:t>
              </w:r>
            </w:hyperlink>
          </w:p>
        </w:tc>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8-K</w:t>
            </w:r>
          </w:p>
        </w:tc>
        <w:tc>
          <w:tcPr>
            <w:tcW w:w="1500" w:type="dxa"/>
            <w:vAlign w:val="bottom"/>
          </w:tcPr>
          <w:p>
            <w:pPr>
              <w:ind w:left="260"/>
              <w:spacing w:after="0" w:line="190" w:lineRule="exact"/>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line="190" w:lineRule="exact"/>
              <w:rPr>
                <w:sz w:val="20"/>
                <w:szCs w:val="20"/>
                <w:color w:val="auto"/>
              </w:rPr>
            </w:pPr>
            <w:r>
              <w:rPr>
                <w:rFonts w:ascii="Arial" w:cs="Arial" w:eastAsia="Arial" w:hAnsi="Arial"/>
                <w:sz w:val="18"/>
                <w:szCs w:val="18"/>
                <w:color w:val="auto"/>
              </w:rPr>
              <w:t>4.1</w:t>
            </w:r>
          </w:p>
        </w:tc>
        <w:tc>
          <w:tcPr>
            <w:tcW w:w="2640" w:type="dxa"/>
            <w:vAlign w:val="bottom"/>
          </w:tcPr>
          <w:p>
            <w:pPr>
              <w:ind w:left="280"/>
              <w:spacing w:after="0" w:line="190" w:lineRule="exact"/>
              <w:rPr>
                <w:sz w:val="20"/>
                <w:szCs w:val="20"/>
                <w:color w:val="auto"/>
              </w:rPr>
            </w:pPr>
            <w:r>
              <w:rPr>
                <w:rFonts w:ascii="Arial" w:cs="Arial" w:eastAsia="Arial" w:hAnsi="Arial"/>
                <w:sz w:val="18"/>
                <w:szCs w:val="18"/>
                <w:color w:val="auto"/>
              </w:rPr>
              <w:t>12/26/2019</w:t>
            </w:r>
          </w:p>
        </w:tc>
      </w:tr>
      <w:tr>
        <w:trPr>
          <w:trHeight w:val="156"/>
        </w:trPr>
        <w:tc>
          <w:tcPr>
            <w:tcW w:w="6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7"/>
              </w:rPr>
            </w:pPr>
            <w:hyperlink r:id="rId96">
              <w:r>
                <w:rPr>
                  <w:rFonts w:ascii="Arial" w:cs="Arial" w:eastAsia="Arial" w:hAnsi="Arial"/>
                  <w:sz w:val="18"/>
                  <w:szCs w:val="18"/>
                  <w:color w:val="0000FF"/>
                  <w:w w:val="87"/>
                </w:rPr>
                <w:t>dated December 23, 2019</w:t>
              </w:r>
            </w:hyperlink>
          </w:p>
        </w:tc>
        <w:tc>
          <w:tcPr>
            <w:tcW w:w="130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9"/>
        </w:trPr>
        <w:tc>
          <w:tcPr>
            <w:tcW w:w="1620" w:type="dxa"/>
            <w:vAlign w:val="bottom"/>
            <w:gridSpan w:val="3"/>
          </w:tcPr>
          <w:p>
            <w:pPr>
              <w:jc w:val="center"/>
              <w:ind w:right="120"/>
              <w:spacing w:after="0"/>
              <w:rPr>
                <w:rFonts w:ascii="Arial" w:cs="Arial" w:eastAsia="Arial" w:hAnsi="Arial"/>
                <w:sz w:val="18"/>
                <w:szCs w:val="18"/>
                <w:u w:val="single" w:color="auto"/>
                <w:color w:val="0000FF"/>
                <w:w w:val="87"/>
              </w:rPr>
            </w:pPr>
            <w:hyperlink r:id="rId97">
              <w:r>
                <w:rPr>
                  <w:rFonts w:ascii="Arial" w:cs="Arial" w:eastAsia="Arial" w:hAnsi="Arial"/>
                  <w:sz w:val="18"/>
                  <w:szCs w:val="18"/>
                  <w:u w:val="single" w:color="auto"/>
                  <w:color w:val="0000FF"/>
                  <w:w w:val="87"/>
                </w:rPr>
                <w:t>4.9</w:t>
              </w:r>
            </w:hyperlink>
          </w:p>
        </w:tc>
        <w:tc>
          <w:tcPr>
            <w:tcW w:w="3440" w:type="dxa"/>
            <w:vAlign w:val="bottom"/>
            <w:gridSpan w:val="35"/>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Form of Pre-Funded Common Stock Purchase</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8-K</w:t>
            </w:r>
          </w:p>
        </w:tc>
        <w:tc>
          <w:tcPr>
            <w:tcW w:w="1500" w:type="dxa"/>
            <w:vAlign w:val="bottom"/>
          </w:tcPr>
          <w:p>
            <w:pPr>
              <w:ind w:left="26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4.2</w:t>
            </w:r>
          </w:p>
        </w:tc>
        <w:tc>
          <w:tcPr>
            <w:tcW w:w="2640" w:type="dxa"/>
            <w:vAlign w:val="bottom"/>
          </w:tcPr>
          <w:p>
            <w:pPr>
              <w:ind w:left="280"/>
              <w:spacing w:after="0"/>
              <w:rPr>
                <w:sz w:val="20"/>
                <w:szCs w:val="20"/>
                <w:color w:val="auto"/>
              </w:rPr>
            </w:pPr>
            <w:r>
              <w:rPr>
                <w:rFonts w:ascii="Arial" w:cs="Arial" w:eastAsia="Arial" w:hAnsi="Arial"/>
                <w:sz w:val="18"/>
                <w:szCs w:val="18"/>
                <w:color w:val="auto"/>
              </w:rPr>
              <w:t>12/26/2019</w:t>
            </w:r>
          </w:p>
        </w:tc>
      </w:tr>
      <w:tr>
        <w:trPr>
          <w:trHeight w:val="156"/>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7"/>
              </w:rPr>
            </w:pPr>
            <w:hyperlink r:id="rId97">
              <w:r>
                <w:rPr>
                  <w:rFonts w:ascii="Arial" w:cs="Arial" w:eastAsia="Arial" w:hAnsi="Arial"/>
                  <w:sz w:val="18"/>
                  <w:szCs w:val="18"/>
                  <w:color w:val="0000FF"/>
                  <w:w w:val="87"/>
                </w:rPr>
                <w:t>Warrant, dated December 23, 2019</w:t>
              </w:r>
            </w:hyperlink>
          </w:p>
        </w:tc>
        <w:tc>
          <w:tcPr>
            <w:tcW w:w="9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9"/>
        </w:trPr>
        <w:tc>
          <w:tcPr>
            <w:tcW w:w="1620" w:type="dxa"/>
            <w:vAlign w:val="bottom"/>
            <w:gridSpan w:val="3"/>
          </w:tcPr>
          <w:p>
            <w:pPr>
              <w:jc w:val="center"/>
              <w:ind w:right="140"/>
              <w:spacing w:after="0"/>
              <w:rPr>
                <w:rFonts w:ascii="Arial" w:cs="Arial" w:eastAsia="Arial" w:hAnsi="Arial"/>
                <w:sz w:val="18"/>
                <w:szCs w:val="18"/>
                <w:u w:val="single" w:color="auto"/>
                <w:color w:val="0000FF"/>
                <w:w w:val="91"/>
              </w:rPr>
            </w:pPr>
            <w:hyperlink r:id="rId98">
              <w:r>
                <w:rPr>
                  <w:rFonts w:ascii="Arial" w:cs="Arial" w:eastAsia="Arial" w:hAnsi="Arial"/>
                  <w:sz w:val="18"/>
                  <w:szCs w:val="18"/>
                  <w:u w:val="single" w:color="auto"/>
                  <w:color w:val="0000FF"/>
                  <w:w w:val="91"/>
                </w:rPr>
                <w:t>4.10</w:t>
              </w:r>
            </w:hyperlink>
          </w:p>
        </w:tc>
        <w:tc>
          <w:tcPr>
            <w:tcW w:w="3440" w:type="dxa"/>
            <w:vAlign w:val="bottom"/>
            <w:gridSpan w:val="35"/>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Warrant to Purchase Stock, dated</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8-K</w:t>
            </w:r>
          </w:p>
        </w:tc>
        <w:tc>
          <w:tcPr>
            <w:tcW w:w="1500" w:type="dxa"/>
            <w:vAlign w:val="bottom"/>
          </w:tcPr>
          <w:p>
            <w:pPr>
              <w:ind w:left="26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4.1</w:t>
            </w:r>
          </w:p>
        </w:tc>
        <w:tc>
          <w:tcPr>
            <w:tcW w:w="2640" w:type="dxa"/>
            <w:vAlign w:val="bottom"/>
          </w:tcPr>
          <w:p>
            <w:pPr>
              <w:ind w:left="280"/>
              <w:spacing w:after="0"/>
              <w:rPr>
                <w:sz w:val="20"/>
                <w:szCs w:val="20"/>
                <w:color w:val="auto"/>
              </w:rPr>
            </w:pPr>
            <w:r>
              <w:rPr>
                <w:rFonts w:ascii="Arial" w:cs="Arial" w:eastAsia="Arial" w:hAnsi="Arial"/>
                <w:sz w:val="18"/>
                <w:szCs w:val="18"/>
                <w:color w:val="auto"/>
              </w:rPr>
              <w:t>9/3/2020</w:t>
            </w:r>
          </w:p>
        </w:tc>
      </w:tr>
      <w:tr>
        <w:trPr>
          <w:trHeight w:val="156"/>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August 31, 2020, issued by Selecta</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20" w:type="dxa"/>
            <w:vAlign w:val="bottom"/>
            <w:tcBorders>
              <w:top w:val="single" w:sz="8" w:color="0000FF"/>
            </w:tcBorders>
            <w:gridSpan w:val="9"/>
          </w:tcPr>
          <w:p>
            <w:pPr>
              <w:spacing w:after="0" w:line="156" w:lineRule="exact"/>
              <w:rPr>
                <w:rFonts w:ascii="Arial" w:cs="Arial" w:eastAsia="Arial" w:hAnsi="Arial"/>
                <w:sz w:val="18"/>
                <w:szCs w:val="18"/>
                <w:color w:val="0000FF"/>
                <w:w w:val="88"/>
              </w:rPr>
            </w:pPr>
            <w:hyperlink r:id="rId98">
              <w:r>
                <w:rPr>
                  <w:rFonts w:ascii="Arial" w:cs="Arial" w:eastAsia="Arial" w:hAnsi="Arial"/>
                  <w:sz w:val="18"/>
                  <w:szCs w:val="18"/>
                  <w:color w:val="0000FF"/>
                  <w:w w:val="88"/>
                </w:rPr>
                <w:t>Biosciences, Inc. to Oxford Finance</w:t>
              </w:r>
            </w:hyperlink>
          </w:p>
        </w:tc>
        <w:tc>
          <w:tcPr>
            <w:tcW w:w="20" w:type="dxa"/>
            <w:vAlign w:val="bottom"/>
          </w:tcPr>
          <w:p>
            <w:pPr>
              <w:spacing w:after="0"/>
              <w:rPr>
                <w:sz w:val="13"/>
                <w:szCs w:val="13"/>
                <w:color w:val="auto"/>
              </w:rPr>
            </w:pPr>
          </w:p>
        </w:tc>
        <w:tc>
          <w:tcPr>
            <w:tcW w:w="900" w:type="dxa"/>
            <w:vAlign w:val="bottom"/>
            <w:gridSpan w:val="25"/>
          </w:tcPr>
          <w:p>
            <w:pPr>
              <w:jc w:val="center"/>
              <w:ind w:right="100"/>
              <w:spacing w:after="0" w:line="15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LLC and</w:t>
              </w:r>
            </w:hyperlink>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42"/>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00" w:type="dxa"/>
            <w:vAlign w:val="bottom"/>
            <w:tcBorders>
              <w:top w:val="single" w:sz="8" w:color="0000FF"/>
            </w:tcBorders>
            <w:gridSpan w:val="28"/>
          </w:tcPr>
          <w:p>
            <w:pPr>
              <w:spacing w:after="0" w:line="142" w:lineRule="exact"/>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Silicon Valley Bank, together with a schedule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229"/>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40" w:type="dxa"/>
            <w:vAlign w:val="bottom"/>
            <w:gridSpan w:val="35"/>
          </w:tcPr>
          <w:p>
            <w:pPr>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of warrants.</w:t>
              </w:r>
            </w:hyperlink>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1620" w:type="dxa"/>
            <w:vAlign w:val="bottom"/>
            <w:gridSpan w:val="3"/>
          </w:tcPr>
          <w:p>
            <w:pPr>
              <w:jc w:val="center"/>
              <w:ind w:right="140"/>
              <w:spacing w:after="0"/>
              <w:rPr>
                <w:rFonts w:ascii="Arial" w:cs="Arial" w:eastAsia="Arial" w:hAnsi="Arial"/>
                <w:sz w:val="18"/>
                <w:szCs w:val="18"/>
                <w:u w:val="single" w:color="auto"/>
                <w:color w:val="0000FF"/>
                <w:w w:val="91"/>
              </w:rPr>
            </w:pPr>
            <w:hyperlink w:anchor="page112">
              <w:r>
                <w:rPr>
                  <w:rFonts w:ascii="Arial" w:cs="Arial" w:eastAsia="Arial" w:hAnsi="Arial"/>
                  <w:sz w:val="18"/>
                  <w:szCs w:val="18"/>
                  <w:u w:val="single" w:color="auto"/>
                  <w:color w:val="0000FF"/>
                  <w:w w:val="91"/>
                </w:rPr>
                <w:t>4.11</w:t>
              </w:r>
            </w:hyperlink>
          </w:p>
        </w:tc>
        <w:tc>
          <w:tcPr>
            <w:tcW w:w="3440" w:type="dxa"/>
            <w:vAlign w:val="bottom"/>
            <w:gridSpan w:val="35"/>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Description of Securities</w:t>
              </w:r>
            </w:hyperlink>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40" w:type="dxa"/>
            <w:vAlign w:val="bottom"/>
          </w:tcPr>
          <w:p>
            <w:pPr>
              <w:ind w:left="2560"/>
              <w:spacing w:after="0"/>
              <w:rPr>
                <w:sz w:val="20"/>
                <w:szCs w:val="20"/>
                <w:color w:val="auto"/>
              </w:rPr>
            </w:pPr>
            <w:r>
              <w:rPr>
                <w:rFonts w:ascii="Arial" w:cs="Arial" w:eastAsia="Arial" w:hAnsi="Arial"/>
                <w:sz w:val="18"/>
                <w:szCs w:val="18"/>
                <w:color w:val="auto"/>
                <w:w w:val="84"/>
              </w:rPr>
              <w:t>*</w:t>
            </w:r>
          </w:p>
        </w:tc>
      </w:tr>
      <w:tr>
        <w:trPr>
          <w:trHeight w:val="190"/>
        </w:trPr>
        <w:tc>
          <w:tcPr>
            <w:tcW w:w="1620" w:type="dxa"/>
            <w:vAlign w:val="bottom"/>
            <w:gridSpan w:val="3"/>
          </w:tcPr>
          <w:p>
            <w:pPr>
              <w:jc w:val="center"/>
              <w:ind w:right="140"/>
              <w:spacing w:after="0" w:line="190" w:lineRule="exact"/>
              <w:rPr>
                <w:rFonts w:ascii="Arial" w:cs="Arial" w:eastAsia="Arial" w:hAnsi="Arial"/>
                <w:sz w:val="18"/>
                <w:szCs w:val="18"/>
                <w:u w:val="single" w:color="auto"/>
                <w:color w:val="0000FF"/>
                <w:w w:val="88"/>
              </w:rPr>
            </w:pPr>
            <w:hyperlink r:id="rId99">
              <w:r>
                <w:rPr>
                  <w:rFonts w:ascii="Arial" w:cs="Arial" w:eastAsia="Arial" w:hAnsi="Arial"/>
                  <w:sz w:val="18"/>
                  <w:szCs w:val="18"/>
                  <w:u w:val="single" w:color="auto"/>
                  <w:color w:val="0000FF"/>
                  <w:w w:val="88"/>
                </w:rPr>
                <w:t>10.1#</w:t>
              </w:r>
            </w:hyperlink>
          </w:p>
        </w:tc>
        <w:tc>
          <w:tcPr>
            <w:tcW w:w="3440" w:type="dxa"/>
            <w:vAlign w:val="bottom"/>
            <w:tcBorders>
              <w:bottom w:val="single" w:sz="8" w:color="0000FF"/>
            </w:tcBorders>
            <w:gridSpan w:val="35"/>
          </w:tcPr>
          <w:p>
            <w:pPr>
              <w:spacing w:after="0" w:line="190"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2016 Incentive Award Plan and form of award</w:t>
              </w:r>
            </w:hyperlink>
          </w:p>
        </w:tc>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S-1/A</w:t>
            </w:r>
          </w:p>
        </w:tc>
        <w:tc>
          <w:tcPr>
            <w:tcW w:w="1500" w:type="dxa"/>
            <w:vAlign w:val="bottom"/>
          </w:tcPr>
          <w:p>
            <w:pPr>
              <w:ind w:left="260"/>
              <w:spacing w:after="0" w:line="190" w:lineRule="exact"/>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line="190" w:lineRule="exact"/>
              <w:rPr>
                <w:sz w:val="20"/>
                <w:szCs w:val="20"/>
                <w:color w:val="auto"/>
              </w:rPr>
            </w:pPr>
            <w:r>
              <w:rPr>
                <w:rFonts w:ascii="Arial" w:cs="Arial" w:eastAsia="Arial" w:hAnsi="Arial"/>
                <w:sz w:val="18"/>
                <w:szCs w:val="18"/>
                <w:color w:val="auto"/>
              </w:rPr>
              <w:t>10.2</w:t>
            </w:r>
          </w:p>
        </w:tc>
        <w:tc>
          <w:tcPr>
            <w:tcW w:w="2640" w:type="dxa"/>
            <w:vAlign w:val="bottom"/>
          </w:tcPr>
          <w:p>
            <w:pPr>
              <w:ind w:left="280"/>
              <w:spacing w:after="0" w:line="190" w:lineRule="exact"/>
              <w:rPr>
                <w:sz w:val="20"/>
                <w:szCs w:val="20"/>
                <w:color w:val="auto"/>
              </w:rPr>
            </w:pPr>
            <w:r>
              <w:rPr>
                <w:rFonts w:ascii="Arial" w:cs="Arial" w:eastAsia="Arial" w:hAnsi="Arial"/>
                <w:sz w:val="18"/>
                <w:szCs w:val="18"/>
                <w:color w:val="auto"/>
              </w:rPr>
              <w:t>6/8/2016</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Borders>
              <w:bottom w:val="single" w:sz="8" w:color="0000FF"/>
            </w:tcBorders>
            <w:gridSpan w:val="6"/>
          </w:tcPr>
          <w:p>
            <w:pPr>
              <w:spacing w:after="0" w:line="156" w:lineRule="exact"/>
              <w:rPr>
                <w:rFonts w:ascii="Arial" w:cs="Arial" w:eastAsia="Arial" w:hAnsi="Arial"/>
                <w:sz w:val="18"/>
                <w:szCs w:val="18"/>
                <w:color w:val="0000FF"/>
                <w:w w:val="85"/>
              </w:rPr>
            </w:pPr>
            <w:hyperlink r:id="rId99">
              <w:r>
                <w:rPr>
                  <w:rFonts w:ascii="Arial" w:cs="Arial" w:eastAsia="Arial" w:hAnsi="Arial"/>
                  <w:sz w:val="18"/>
                  <w:szCs w:val="18"/>
                  <w:color w:val="0000FF"/>
                  <w:w w:val="85"/>
                </w:rPr>
                <w:t>agreements thereunder</w:t>
              </w:r>
            </w:hyperlink>
          </w:p>
        </w:tc>
        <w:tc>
          <w:tcPr>
            <w:tcW w:w="1820" w:type="dxa"/>
            <w:vAlign w:val="bottom"/>
            <w:gridSpan w:val="29"/>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49"/>
        </w:trPr>
        <w:tc>
          <w:tcPr>
            <w:tcW w:w="1620" w:type="dxa"/>
            <w:vAlign w:val="bottom"/>
            <w:gridSpan w:val="3"/>
          </w:tcPr>
          <w:p>
            <w:pPr>
              <w:jc w:val="center"/>
              <w:ind w:right="140"/>
              <w:spacing w:after="0"/>
              <w:rPr>
                <w:rFonts w:ascii="Arial" w:cs="Arial" w:eastAsia="Arial" w:hAnsi="Arial"/>
                <w:sz w:val="18"/>
                <w:szCs w:val="18"/>
                <w:u w:val="single" w:color="auto"/>
                <w:color w:val="0000FF"/>
                <w:w w:val="88"/>
              </w:rPr>
            </w:pPr>
            <w:hyperlink r:id="rId100">
              <w:r>
                <w:rPr>
                  <w:rFonts w:ascii="Arial" w:cs="Arial" w:eastAsia="Arial" w:hAnsi="Arial"/>
                  <w:sz w:val="18"/>
                  <w:szCs w:val="18"/>
                  <w:u w:val="single" w:color="auto"/>
                  <w:color w:val="0000FF"/>
                  <w:w w:val="88"/>
                </w:rPr>
                <w:t>10.2#</w:t>
              </w:r>
            </w:hyperlink>
          </w:p>
        </w:tc>
        <w:tc>
          <w:tcPr>
            <w:tcW w:w="3440" w:type="dxa"/>
            <w:vAlign w:val="bottom"/>
            <w:gridSpan w:val="35"/>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2016 Employee Stock Purchase Plan</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S-1/A</w:t>
            </w:r>
          </w:p>
        </w:tc>
        <w:tc>
          <w:tcPr>
            <w:tcW w:w="1500" w:type="dxa"/>
            <w:vAlign w:val="bottom"/>
          </w:tcPr>
          <w:p>
            <w:pPr>
              <w:ind w:left="26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10.3</w:t>
            </w:r>
          </w:p>
        </w:tc>
        <w:tc>
          <w:tcPr>
            <w:tcW w:w="2640" w:type="dxa"/>
            <w:vAlign w:val="bottom"/>
          </w:tcPr>
          <w:p>
            <w:pPr>
              <w:ind w:left="280"/>
              <w:spacing w:after="0"/>
              <w:rPr>
                <w:sz w:val="20"/>
                <w:szCs w:val="20"/>
                <w:color w:val="auto"/>
              </w:rPr>
            </w:pPr>
            <w:r>
              <w:rPr>
                <w:rFonts w:ascii="Arial" w:cs="Arial" w:eastAsia="Arial" w:hAnsi="Arial"/>
                <w:sz w:val="18"/>
                <w:szCs w:val="18"/>
                <w:color w:val="auto"/>
              </w:rPr>
              <w:t>6/8/2016</w:t>
            </w:r>
          </w:p>
        </w:tc>
      </w:tr>
      <w:tr>
        <w:trPr>
          <w:trHeight w:val="190"/>
        </w:trPr>
        <w:tc>
          <w:tcPr>
            <w:tcW w:w="1620" w:type="dxa"/>
            <w:vAlign w:val="bottom"/>
            <w:gridSpan w:val="3"/>
          </w:tcPr>
          <w:p>
            <w:pPr>
              <w:jc w:val="center"/>
              <w:ind w:right="140"/>
              <w:spacing w:after="0" w:line="190" w:lineRule="exact"/>
              <w:rPr>
                <w:rFonts w:ascii="Arial" w:cs="Arial" w:eastAsia="Arial" w:hAnsi="Arial"/>
                <w:sz w:val="18"/>
                <w:szCs w:val="18"/>
                <w:u w:val="single" w:color="auto"/>
                <w:color w:val="0000FF"/>
                <w:w w:val="88"/>
              </w:rPr>
            </w:pPr>
            <w:hyperlink r:id="rId101">
              <w:r>
                <w:rPr>
                  <w:rFonts w:ascii="Arial" w:cs="Arial" w:eastAsia="Arial" w:hAnsi="Arial"/>
                  <w:sz w:val="18"/>
                  <w:szCs w:val="18"/>
                  <w:u w:val="single" w:color="auto"/>
                  <w:color w:val="0000FF"/>
                  <w:w w:val="88"/>
                </w:rPr>
                <w:t>10.3#</w:t>
              </w:r>
            </w:hyperlink>
          </w:p>
        </w:tc>
        <w:tc>
          <w:tcPr>
            <w:tcW w:w="3440" w:type="dxa"/>
            <w:vAlign w:val="bottom"/>
            <w:gridSpan w:val="35"/>
          </w:tcPr>
          <w:p>
            <w:pPr>
              <w:spacing w:after="0" w:line="190" w:lineRule="exact"/>
              <w:rPr>
                <w:rFonts w:ascii="Arial" w:cs="Arial" w:eastAsia="Arial" w:hAnsi="Arial"/>
                <w:sz w:val="18"/>
                <w:szCs w:val="18"/>
                <w:color w:val="0000FF"/>
              </w:rPr>
            </w:pPr>
            <w:hyperlink r:id="rId101">
              <w:r>
                <w:rPr>
                  <w:rFonts w:ascii="Arial" w:cs="Arial" w:eastAsia="Arial" w:hAnsi="Arial"/>
                  <w:sz w:val="18"/>
                  <w:szCs w:val="18"/>
                  <w:color w:val="0000FF"/>
                </w:rPr>
                <w:t>2018 Employment Inducement Incentive</w:t>
              </w:r>
            </w:hyperlink>
          </w:p>
        </w:tc>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S-8</w:t>
            </w:r>
          </w:p>
        </w:tc>
        <w:tc>
          <w:tcPr>
            <w:tcW w:w="1500" w:type="dxa"/>
            <w:vAlign w:val="bottom"/>
          </w:tcPr>
          <w:p>
            <w:pPr>
              <w:ind w:left="260"/>
              <w:spacing w:after="0" w:line="190" w:lineRule="exact"/>
              <w:rPr>
                <w:sz w:val="20"/>
                <w:szCs w:val="20"/>
                <w:color w:val="auto"/>
              </w:rPr>
            </w:pPr>
            <w:r>
              <w:rPr>
                <w:rFonts w:ascii="Arial" w:cs="Arial" w:eastAsia="Arial" w:hAnsi="Arial"/>
                <w:sz w:val="18"/>
                <w:szCs w:val="18"/>
                <w:color w:val="auto"/>
              </w:rPr>
              <w:t>333-230501</w:t>
            </w:r>
          </w:p>
        </w:tc>
        <w:tc>
          <w:tcPr>
            <w:tcW w:w="1160" w:type="dxa"/>
            <w:vAlign w:val="bottom"/>
          </w:tcPr>
          <w:p>
            <w:pPr>
              <w:ind w:left="360"/>
              <w:spacing w:after="0" w:line="190" w:lineRule="exact"/>
              <w:rPr>
                <w:sz w:val="20"/>
                <w:szCs w:val="20"/>
                <w:color w:val="auto"/>
              </w:rPr>
            </w:pPr>
            <w:r>
              <w:rPr>
                <w:rFonts w:ascii="Arial" w:cs="Arial" w:eastAsia="Arial" w:hAnsi="Arial"/>
                <w:sz w:val="18"/>
                <w:szCs w:val="18"/>
                <w:color w:val="auto"/>
              </w:rPr>
              <w:t>10.1</w:t>
            </w:r>
          </w:p>
        </w:tc>
        <w:tc>
          <w:tcPr>
            <w:tcW w:w="2640" w:type="dxa"/>
            <w:vAlign w:val="bottom"/>
          </w:tcPr>
          <w:p>
            <w:pPr>
              <w:ind w:left="280"/>
              <w:spacing w:after="0" w:line="190" w:lineRule="exact"/>
              <w:rPr>
                <w:sz w:val="20"/>
                <w:szCs w:val="20"/>
                <w:color w:val="auto"/>
              </w:rPr>
            </w:pPr>
            <w:r>
              <w:rPr>
                <w:rFonts w:ascii="Arial" w:cs="Arial" w:eastAsia="Arial" w:hAnsi="Arial"/>
                <w:sz w:val="18"/>
                <w:szCs w:val="18"/>
                <w:color w:val="auto"/>
              </w:rPr>
              <w:t>3/25/2019</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tcBorders>
              <w:top w:val="single" w:sz="8" w:color="0000FF"/>
            </w:tcBorders>
            <w:gridSpan w:val="16"/>
          </w:tcPr>
          <w:p>
            <w:pPr>
              <w:spacing w:after="0" w:line="156" w:lineRule="exact"/>
              <w:rPr>
                <w:rFonts w:ascii="Arial" w:cs="Arial" w:eastAsia="Arial" w:hAnsi="Arial"/>
                <w:sz w:val="18"/>
                <w:szCs w:val="18"/>
                <w:color w:val="0000FF"/>
                <w:w w:val="89"/>
              </w:rPr>
            </w:pPr>
            <w:hyperlink r:id="rId101">
              <w:r>
                <w:rPr>
                  <w:rFonts w:ascii="Arial" w:cs="Arial" w:eastAsia="Arial" w:hAnsi="Arial"/>
                  <w:sz w:val="18"/>
                  <w:szCs w:val="18"/>
                  <w:color w:val="0000FF"/>
                  <w:w w:val="89"/>
                </w:rPr>
                <w:t>Award Plan, amended and restated, and</w:t>
              </w:r>
            </w:hyperlink>
          </w:p>
        </w:tc>
        <w:tc>
          <w:tcPr>
            <w:tcW w:w="520" w:type="dxa"/>
            <w:vAlign w:val="bottom"/>
            <w:gridSpan w:val="19"/>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forms</w:t>
              </w:r>
            </w:hyperlink>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agreement thereunder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1620" w:type="dxa"/>
            <w:vAlign w:val="bottom"/>
            <w:tcBorders>
              <w:right w:val="single" w:sz="8" w:color="0000FF"/>
            </w:tcBorders>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0"/>
        </w:trPr>
        <w:tc>
          <w:tcPr>
            <w:tcW w:w="1620" w:type="dxa"/>
            <w:vAlign w:val="bottom"/>
            <w:gridSpan w:val="3"/>
          </w:tcPr>
          <w:p>
            <w:pPr>
              <w:jc w:val="center"/>
              <w:ind w:right="140"/>
              <w:spacing w:after="0"/>
              <w:rPr>
                <w:rFonts w:ascii="Arial" w:cs="Arial" w:eastAsia="Arial" w:hAnsi="Arial"/>
                <w:sz w:val="18"/>
                <w:szCs w:val="18"/>
                <w:u w:val="single" w:color="auto"/>
                <w:color w:val="0000FF"/>
                <w:w w:val="88"/>
              </w:rPr>
            </w:pPr>
            <w:hyperlink r:id="rId102">
              <w:r>
                <w:rPr>
                  <w:rFonts w:ascii="Arial" w:cs="Arial" w:eastAsia="Arial" w:hAnsi="Arial"/>
                  <w:sz w:val="18"/>
                  <w:szCs w:val="18"/>
                  <w:u w:val="single" w:color="auto"/>
                  <w:color w:val="0000FF"/>
                  <w:w w:val="88"/>
                </w:rPr>
                <w:t>10.4#</w:t>
              </w:r>
            </w:hyperlink>
          </w:p>
        </w:tc>
        <w:tc>
          <w:tcPr>
            <w:tcW w:w="3440" w:type="dxa"/>
            <w:vAlign w:val="bottom"/>
            <w:gridSpan w:val="35"/>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2008 Stock Incentive Plan and form of award</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S-1/A</w:t>
            </w:r>
          </w:p>
        </w:tc>
        <w:tc>
          <w:tcPr>
            <w:tcW w:w="1500" w:type="dxa"/>
            <w:vAlign w:val="bottom"/>
          </w:tcPr>
          <w:p>
            <w:pPr>
              <w:ind w:left="26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2640" w:type="dxa"/>
            <w:vAlign w:val="bottom"/>
          </w:tcPr>
          <w:p>
            <w:pPr>
              <w:ind w:left="280"/>
              <w:spacing w:after="0"/>
              <w:rPr>
                <w:sz w:val="20"/>
                <w:szCs w:val="20"/>
                <w:color w:val="auto"/>
              </w:rPr>
            </w:pPr>
            <w:r>
              <w:rPr>
                <w:rFonts w:ascii="Arial" w:cs="Arial" w:eastAsia="Arial" w:hAnsi="Arial"/>
                <w:sz w:val="18"/>
                <w:szCs w:val="18"/>
                <w:color w:val="auto"/>
              </w:rPr>
              <w:t>6/20/2016</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5"/>
              </w:rPr>
            </w:pPr>
            <w:hyperlink r:id="rId102">
              <w:r>
                <w:rPr>
                  <w:rFonts w:ascii="Arial" w:cs="Arial" w:eastAsia="Arial" w:hAnsi="Arial"/>
                  <w:sz w:val="18"/>
                  <w:szCs w:val="18"/>
                  <w:color w:val="0000FF"/>
                  <w:w w:val="85"/>
                </w:rPr>
                <w:t>agreements thereunder</w:t>
              </w:r>
            </w:hyperlink>
          </w:p>
        </w:tc>
        <w:tc>
          <w:tcPr>
            <w:tcW w:w="166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10"/>
        </w:trPr>
        <w:tc>
          <w:tcPr>
            <w:tcW w:w="1620" w:type="dxa"/>
            <w:vAlign w:val="bottom"/>
            <w:gridSpan w:val="3"/>
          </w:tcPr>
          <w:p>
            <w:pPr>
              <w:jc w:val="center"/>
              <w:ind w:right="140"/>
              <w:spacing w:after="0"/>
              <w:rPr>
                <w:rFonts w:ascii="Arial" w:cs="Arial" w:eastAsia="Arial" w:hAnsi="Arial"/>
                <w:sz w:val="18"/>
                <w:szCs w:val="18"/>
                <w:u w:val="single" w:color="auto"/>
                <w:color w:val="0000FF"/>
                <w:w w:val="88"/>
              </w:rPr>
            </w:pPr>
            <w:hyperlink r:id="rId103">
              <w:r>
                <w:rPr>
                  <w:rFonts w:ascii="Arial" w:cs="Arial" w:eastAsia="Arial" w:hAnsi="Arial"/>
                  <w:sz w:val="18"/>
                  <w:szCs w:val="18"/>
                  <w:u w:val="single" w:color="auto"/>
                  <w:color w:val="0000FF"/>
                  <w:w w:val="88"/>
                </w:rPr>
                <w:t>10.5#</w:t>
              </w:r>
            </w:hyperlink>
          </w:p>
        </w:tc>
        <w:tc>
          <w:tcPr>
            <w:tcW w:w="3440" w:type="dxa"/>
            <w:vAlign w:val="bottom"/>
            <w:gridSpan w:val="35"/>
          </w:tcPr>
          <w:p>
            <w:pPr>
              <w:spacing w:after="0"/>
              <w:rPr>
                <w:rFonts w:ascii="Arial" w:cs="Arial" w:eastAsia="Arial" w:hAnsi="Arial"/>
                <w:sz w:val="18"/>
                <w:szCs w:val="18"/>
                <w:color w:val="0000FF"/>
              </w:rPr>
            </w:pPr>
            <w:hyperlink r:id="rId103">
              <w:r>
                <w:rPr>
                  <w:rFonts w:ascii="Arial" w:cs="Arial" w:eastAsia="Arial" w:hAnsi="Arial"/>
                  <w:sz w:val="18"/>
                  <w:szCs w:val="18"/>
                  <w:color w:val="0000FF"/>
                </w:rPr>
                <w:t>Non-Employee Director Compensation</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10-Q</w:t>
            </w:r>
          </w:p>
        </w:tc>
        <w:tc>
          <w:tcPr>
            <w:tcW w:w="1500" w:type="dxa"/>
            <w:vAlign w:val="bottom"/>
          </w:tcPr>
          <w:p>
            <w:pPr>
              <w:ind w:left="26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2640" w:type="dxa"/>
            <w:vAlign w:val="bottom"/>
          </w:tcPr>
          <w:p>
            <w:pPr>
              <w:ind w:left="280"/>
              <w:spacing w:after="0"/>
              <w:rPr>
                <w:sz w:val="20"/>
                <w:szCs w:val="20"/>
                <w:color w:val="auto"/>
              </w:rPr>
            </w:pPr>
            <w:r>
              <w:rPr>
                <w:rFonts w:ascii="Arial" w:cs="Arial" w:eastAsia="Arial" w:hAnsi="Arial"/>
                <w:sz w:val="18"/>
                <w:szCs w:val="18"/>
                <w:color w:val="auto"/>
              </w:rPr>
              <w:t>5/7/2020</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Program</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1620" w:type="dxa"/>
            <w:vAlign w:val="bottom"/>
            <w:tcBorders>
              <w:right w:val="single" w:sz="8" w:color="0000FF"/>
            </w:tcBorders>
            <w:gridSpan w:val="3"/>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0"/>
        </w:trPr>
        <w:tc>
          <w:tcPr>
            <w:tcW w:w="1620" w:type="dxa"/>
            <w:vAlign w:val="bottom"/>
            <w:gridSpan w:val="3"/>
          </w:tcPr>
          <w:p>
            <w:pPr>
              <w:jc w:val="center"/>
              <w:ind w:right="140"/>
              <w:spacing w:after="0"/>
              <w:rPr>
                <w:rFonts w:ascii="Arial" w:cs="Arial" w:eastAsia="Arial" w:hAnsi="Arial"/>
                <w:sz w:val="18"/>
                <w:szCs w:val="18"/>
                <w:u w:val="single" w:color="auto"/>
                <w:color w:val="0000FF"/>
                <w:w w:val="88"/>
              </w:rPr>
            </w:pPr>
            <w:hyperlink r:id="rId104">
              <w:r>
                <w:rPr>
                  <w:rFonts w:ascii="Arial" w:cs="Arial" w:eastAsia="Arial" w:hAnsi="Arial"/>
                  <w:sz w:val="18"/>
                  <w:szCs w:val="18"/>
                  <w:u w:val="single" w:color="auto"/>
                  <w:color w:val="0000FF"/>
                  <w:w w:val="88"/>
                </w:rPr>
                <w:t>10.6#</w:t>
              </w:r>
            </w:hyperlink>
          </w:p>
        </w:tc>
        <w:tc>
          <w:tcPr>
            <w:tcW w:w="3440" w:type="dxa"/>
            <w:vAlign w:val="bottom"/>
            <w:gridSpan w:val="35"/>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Indemnification Agreement for</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S-1</w:t>
            </w:r>
          </w:p>
        </w:tc>
        <w:tc>
          <w:tcPr>
            <w:tcW w:w="1500" w:type="dxa"/>
            <w:vAlign w:val="bottom"/>
          </w:tcPr>
          <w:p>
            <w:pPr>
              <w:ind w:left="26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10.5</w:t>
            </w:r>
          </w:p>
        </w:tc>
        <w:tc>
          <w:tcPr>
            <w:tcW w:w="264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Directors and Officers</w:t>
              </w:r>
            </w:hyperlink>
          </w:p>
        </w:tc>
        <w:tc>
          <w:tcPr>
            <w:tcW w:w="12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10"/>
        </w:trPr>
        <w:tc>
          <w:tcPr>
            <w:tcW w:w="1620" w:type="dxa"/>
            <w:vAlign w:val="bottom"/>
            <w:gridSpan w:val="3"/>
          </w:tcPr>
          <w:p>
            <w:pPr>
              <w:jc w:val="center"/>
              <w:ind w:right="140"/>
              <w:spacing w:after="0"/>
              <w:rPr>
                <w:rFonts w:ascii="Arial" w:cs="Arial" w:eastAsia="Arial" w:hAnsi="Arial"/>
                <w:sz w:val="18"/>
                <w:szCs w:val="18"/>
                <w:u w:val="single" w:color="auto"/>
                <w:color w:val="0000FF"/>
                <w:w w:val="89"/>
              </w:rPr>
            </w:pPr>
            <w:hyperlink r:id="rId105">
              <w:r>
                <w:rPr>
                  <w:rFonts w:ascii="Arial" w:cs="Arial" w:eastAsia="Arial" w:hAnsi="Arial"/>
                  <w:sz w:val="18"/>
                  <w:szCs w:val="18"/>
                  <w:u w:val="single" w:color="auto"/>
                  <w:color w:val="0000FF"/>
                  <w:w w:val="89"/>
                </w:rPr>
                <w:t>10.7(a)†</w:t>
              </w:r>
            </w:hyperlink>
          </w:p>
        </w:tc>
        <w:tc>
          <w:tcPr>
            <w:tcW w:w="3440" w:type="dxa"/>
            <w:vAlign w:val="bottom"/>
            <w:gridSpan w:val="35"/>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Exclusive Patent License Agreement, dated as</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S-1</w:t>
            </w:r>
          </w:p>
        </w:tc>
        <w:tc>
          <w:tcPr>
            <w:tcW w:w="1500" w:type="dxa"/>
            <w:vAlign w:val="bottom"/>
          </w:tcPr>
          <w:p>
            <w:pPr>
              <w:ind w:left="26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10.7(a)</w:t>
            </w:r>
          </w:p>
        </w:tc>
        <w:tc>
          <w:tcPr>
            <w:tcW w:w="264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9"/>
              </w:rPr>
            </w:pPr>
            <w:hyperlink r:id="rId105">
              <w:r>
                <w:rPr>
                  <w:rFonts w:ascii="Arial" w:cs="Arial" w:eastAsia="Arial" w:hAnsi="Arial"/>
                  <w:sz w:val="18"/>
                  <w:szCs w:val="18"/>
                  <w:color w:val="0000FF"/>
                  <w:w w:val="89"/>
                </w:rPr>
                <w:t>of November 25, 2008, by and between the</w:t>
              </w:r>
            </w:hyperlink>
          </w:p>
        </w:tc>
        <w:tc>
          <w:tcPr>
            <w:tcW w:w="28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40" w:type="dxa"/>
            <w:vAlign w:val="bottom"/>
            <w:gridSpan w:val="35"/>
          </w:tcPr>
          <w:p>
            <w:pPr>
              <w:spacing w:after="0" w:line="156"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Registrant and the Massachusetts Institute of</w:t>
              </w:r>
            </w:hyperlink>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05">
              <w:r>
                <w:rPr>
                  <w:rFonts w:ascii="Arial" w:cs="Arial" w:eastAsia="Arial" w:hAnsi="Arial"/>
                  <w:sz w:val="18"/>
                  <w:szCs w:val="18"/>
                  <w:color w:val="0000FF"/>
                  <w:w w:val="88"/>
                </w:rPr>
                <w:t>Technology</w:t>
              </w:r>
            </w:hyperlink>
          </w:p>
        </w:tc>
        <w:tc>
          <w:tcPr>
            <w:tcW w:w="240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10"/>
        </w:trPr>
        <w:tc>
          <w:tcPr>
            <w:tcW w:w="1620" w:type="dxa"/>
            <w:vAlign w:val="bottom"/>
            <w:gridSpan w:val="3"/>
          </w:tcPr>
          <w:p>
            <w:pPr>
              <w:jc w:val="center"/>
              <w:ind w:right="120"/>
              <w:spacing w:after="0"/>
              <w:rPr>
                <w:rFonts w:ascii="Arial" w:cs="Arial" w:eastAsia="Arial" w:hAnsi="Arial"/>
                <w:sz w:val="18"/>
                <w:szCs w:val="18"/>
                <w:u w:val="single" w:color="auto"/>
                <w:color w:val="0000FF"/>
                <w:w w:val="92"/>
              </w:rPr>
            </w:pPr>
            <w:hyperlink r:id="rId106">
              <w:r>
                <w:rPr>
                  <w:rFonts w:ascii="Arial" w:cs="Arial" w:eastAsia="Arial" w:hAnsi="Arial"/>
                  <w:sz w:val="18"/>
                  <w:szCs w:val="18"/>
                  <w:u w:val="single" w:color="auto"/>
                  <w:color w:val="0000FF"/>
                  <w:w w:val="92"/>
                </w:rPr>
                <w:t>10.7(b)†</w:t>
              </w:r>
            </w:hyperlink>
          </w:p>
        </w:tc>
        <w:tc>
          <w:tcPr>
            <w:tcW w:w="3440" w:type="dxa"/>
            <w:vAlign w:val="bottom"/>
            <w:gridSpan w:val="35"/>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First Amendment to Exclusive Patent License</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S-1</w:t>
            </w:r>
          </w:p>
        </w:tc>
        <w:tc>
          <w:tcPr>
            <w:tcW w:w="1500" w:type="dxa"/>
            <w:vAlign w:val="bottom"/>
          </w:tcPr>
          <w:p>
            <w:pPr>
              <w:ind w:left="26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10.7(b)</w:t>
            </w:r>
          </w:p>
        </w:tc>
        <w:tc>
          <w:tcPr>
            <w:tcW w:w="264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4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Agreement, dated as of January 12, 2010, by</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and between the Registrant and the</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5"/>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40" w:type="dxa"/>
            <w:vAlign w:val="bottom"/>
            <w:gridSpan w:val="35"/>
          </w:tcPr>
          <w:p>
            <w:pPr>
              <w:spacing w:after="0" w:line="195" w:lineRule="exact"/>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Massachusetts Institute of Technology</w:t>
              </w:r>
            </w:hyperlink>
          </w:p>
        </w:tc>
        <w:tc>
          <w:tcPr>
            <w:tcW w:w="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0"/>
        </w:trPr>
        <w:tc>
          <w:tcPr>
            <w:tcW w:w="1620" w:type="dxa"/>
            <w:vAlign w:val="bottom"/>
            <w:gridSpan w:val="3"/>
          </w:tcPr>
          <w:p>
            <w:pPr>
              <w:jc w:val="center"/>
              <w:ind w:right="140"/>
              <w:spacing w:after="0" w:line="190" w:lineRule="exact"/>
              <w:rPr>
                <w:rFonts w:ascii="Arial" w:cs="Arial" w:eastAsia="Arial" w:hAnsi="Arial"/>
                <w:sz w:val="18"/>
                <w:szCs w:val="18"/>
                <w:u w:val="single" w:color="auto"/>
                <w:color w:val="0000FF"/>
                <w:w w:val="90"/>
              </w:rPr>
            </w:pPr>
            <w:hyperlink r:id="rId107">
              <w:r>
                <w:rPr>
                  <w:rFonts w:ascii="Arial" w:cs="Arial" w:eastAsia="Arial" w:hAnsi="Arial"/>
                  <w:sz w:val="18"/>
                  <w:szCs w:val="18"/>
                  <w:u w:val="single" w:color="auto"/>
                  <w:color w:val="0000FF"/>
                  <w:w w:val="90"/>
                </w:rPr>
                <w:t>10.7(c)†</w:t>
              </w:r>
            </w:hyperlink>
          </w:p>
        </w:tc>
        <w:tc>
          <w:tcPr>
            <w:tcW w:w="3440" w:type="dxa"/>
            <w:vAlign w:val="bottom"/>
            <w:gridSpan w:val="35"/>
          </w:tcPr>
          <w:p>
            <w:pPr>
              <w:spacing w:after="0" w:line="190" w:lineRule="exact"/>
              <w:rPr>
                <w:rFonts w:ascii="Arial" w:cs="Arial" w:eastAsia="Arial" w:hAnsi="Arial"/>
                <w:sz w:val="18"/>
                <w:szCs w:val="18"/>
                <w:color w:val="0000FF"/>
                <w:w w:val="96"/>
              </w:rPr>
            </w:pPr>
            <w:hyperlink r:id="rId107">
              <w:r>
                <w:rPr>
                  <w:rFonts w:ascii="Arial" w:cs="Arial" w:eastAsia="Arial" w:hAnsi="Arial"/>
                  <w:sz w:val="18"/>
                  <w:szCs w:val="18"/>
                  <w:color w:val="0000FF"/>
                  <w:w w:val="96"/>
                </w:rPr>
                <w:t>Letter Agreement, dated as of November 27,</w:t>
              </w:r>
            </w:hyperlink>
          </w:p>
        </w:tc>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S-1</w:t>
            </w:r>
          </w:p>
        </w:tc>
        <w:tc>
          <w:tcPr>
            <w:tcW w:w="1500" w:type="dxa"/>
            <w:vAlign w:val="bottom"/>
          </w:tcPr>
          <w:p>
            <w:pPr>
              <w:ind w:left="260"/>
              <w:spacing w:after="0" w:line="190" w:lineRule="exact"/>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line="190" w:lineRule="exact"/>
              <w:rPr>
                <w:sz w:val="20"/>
                <w:szCs w:val="20"/>
                <w:color w:val="auto"/>
              </w:rPr>
            </w:pPr>
            <w:r>
              <w:rPr>
                <w:rFonts w:ascii="Arial" w:cs="Arial" w:eastAsia="Arial" w:hAnsi="Arial"/>
                <w:sz w:val="18"/>
                <w:szCs w:val="18"/>
                <w:color w:val="auto"/>
              </w:rPr>
              <w:t>10.7(c)</w:t>
            </w:r>
          </w:p>
        </w:tc>
        <w:tc>
          <w:tcPr>
            <w:tcW w:w="2640" w:type="dxa"/>
            <w:vAlign w:val="bottom"/>
          </w:tcPr>
          <w:p>
            <w:pPr>
              <w:ind w:left="280"/>
              <w:spacing w:after="0" w:line="190" w:lineRule="exact"/>
              <w:rPr>
                <w:sz w:val="20"/>
                <w:szCs w:val="20"/>
                <w:color w:val="auto"/>
              </w:rPr>
            </w:pPr>
            <w:r>
              <w:rPr>
                <w:rFonts w:ascii="Arial" w:cs="Arial" w:eastAsia="Arial" w:hAnsi="Arial"/>
                <w:sz w:val="18"/>
                <w:szCs w:val="18"/>
                <w:color w:val="auto"/>
              </w:rPr>
              <w:t>5/24/2016</w:t>
            </w:r>
          </w:p>
        </w:tc>
      </w:tr>
      <w:tr>
        <w:trPr>
          <w:trHeight w:val="156"/>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2012, by and among the Registrant,</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40" w:type="dxa"/>
            <w:vAlign w:val="bottom"/>
            <w:tcBorders>
              <w:top w:val="single" w:sz="8" w:color="0000FF"/>
            </w:tcBorders>
            <w:gridSpan w:val="10"/>
          </w:tcPr>
          <w:p>
            <w:pPr>
              <w:spacing w:after="0" w:line="156" w:lineRule="exact"/>
              <w:rPr>
                <w:rFonts w:ascii="Arial" w:cs="Arial" w:eastAsia="Arial" w:hAnsi="Arial"/>
                <w:sz w:val="18"/>
                <w:szCs w:val="18"/>
                <w:color w:val="0000FF"/>
                <w:w w:val="82"/>
              </w:rPr>
            </w:pPr>
            <w:hyperlink r:id="rId107">
              <w:r>
                <w:rPr>
                  <w:rFonts w:ascii="Arial" w:cs="Arial" w:eastAsia="Arial" w:hAnsi="Arial"/>
                  <w:sz w:val="18"/>
                  <w:szCs w:val="18"/>
                  <w:color w:val="0000FF"/>
                  <w:w w:val="82"/>
                </w:rPr>
                <w:t>Massachusetts Institute of Technology</w:t>
              </w:r>
            </w:hyperlink>
          </w:p>
        </w:tc>
        <w:tc>
          <w:tcPr>
            <w:tcW w:w="900" w:type="dxa"/>
            <w:vAlign w:val="bottom"/>
            <w:gridSpan w:val="25"/>
          </w:tcPr>
          <w:p>
            <w:pPr>
              <w:jc w:val="center"/>
              <w:ind w:right="120"/>
              <w:spacing w:after="0" w:line="156" w:lineRule="exact"/>
              <w:rPr>
                <w:rFonts w:ascii="Arial" w:cs="Arial" w:eastAsia="Arial" w:hAnsi="Arial"/>
                <w:sz w:val="18"/>
                <w:szCs w:val="18"/>
                <w:color w:val="0000FF"/>
                <w:w w:val="86"/>
              </w:rPr>
            </w:pPr>
            <w:hyperlink r:id="rId107">
              <w:r>
                <w:rPr>
                  <w:rFonts w:ascii="Arial" w:cs="Arial" w:eastAsia="Arial" w:hAnsi="Arial"/>
                  <w:sz w:val="18"/>
                  <w:szCs w:val="18"/>
                  <w:color w:val="0000FF"/>
                  <w:w w:val="86"/>
                </w:rPr>
                <w:t>and</w:t>
              </w:r>
            </w:hyperlink>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07">
              <w:r>
                <w:rPr>
                  <w:rFonts w:ascii="Arial" w:cs="Arial" w:eastAsia="Arial" w:hAnsi="Arial"/>
                  <w:sz w:val="18"/>
                  <w:szCs w:val="18"/>
                  <w:color w:val="0000FF"/>
                  <w:w w:val="86"/>
                </w:rPr>
                <w:t>Sanofi</w:t>
              </w:r>
            </w:hyperlink>
          </w:p>
        </w:tc>
        <w:tc>
          <w:tcPr>
            <w:tcW w:w="2600" w:type="dxa"/>
            <w:vAlign w:val="bottom"/>
            <w:tcBorders>
              <w:top w:val="single" w:sz="8" w:color="0000FF"/>
            </w:tcBorders>
            <w:gridSpan w:val="17"/>
          </w:tcPr>
          <w:p>
            <w:pPr>
              <w:spacing w:after="0"/>
              <w:rPr>
                <w:sz w:val="13"/>
                <w:szCs w:val="13"/>
                <w:color w:val="auto"/>
              </w:rPr>
            </w:pPr>
          </w:p>
        </w:tc>
        <w:tc>
          <w:tcPr>
            <w:tcW w:w="12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210"/>
        </w:trPr>
        <w:tc>
          <w:tcPr>
            <w:tcW w:w="1620" w:type="dxa"/>
            <w:vAlign w:val="bottom"/>
            <w:gridSpan w:val="3"/>
          </w:tcPr>
          <w:p>
            <w:pPr>
              <w:jc w:val="center"/>
              <w:ind w:right="120"/>
              <w:spacing w:after="0"/>
              <w:rPr>
                <w:rFonts w:ascii="Arial" w:cs="Arial" w:eastAsia="Arial" w:hAnsi="Arial"/>
                <w:sz w:val="18"/>
                <w:szCs w:val="18"/>
                <w:u w:val="single" w:color="auto"/>
                <w:color w:val="0000FF"/>
                <w:w w:val="92"/>
              </w:rPr>
            </w:pPr>
            <w:hyperlink r:id="rId108">
              <w:r>
                <w:rPr>
                  <w:rFonts w:ascii="Arial" w:cs="Arial" w:eastAsia="Arial" w:hAnsi="Arial"/>
                  <w:sz w:val="18"/>
                  <w:szCs w:val="18"/>
                  <w:u w:val="single" w:color="auto"/>
                  <w:color w:val="0000FF"/>
                  <w:w w:val="92"/>
                </w:rPr>
                <w:t>10.7(d)†</w:t>
              </w:r>
            </w:hyperlink>
          </w:p>
        </w:tc>
        <w:tc>
          <w:tcPr>
            <w:tcW w:w="3440" w:type="dxa"/>
            <w:vAlign w:val="bottom"/>
            <w:gridSpan w:val="35"/>
          </w:tcPr>
          <w:p>
            <w:pPr>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Letter Amendment, dated as of November 27,</w:t>
              </w:r>
            </w:hyperlink>
          </w:p>
        </w:tc>
        <w:tc>
          <w:tcPr>
            <w:tcW w:w="800" w:type="dxa"/>
            <w:vAlign w:val="bottom"/>
          </w:tcPr>
          <w:p>
            <w:pPr>
              <w:ind w:left="100"/>
              <w:spacing w:after="0"/>
              <w:rPr>
                <w:sz w:val="20"/>
                <w:szCs w:val="20"/>
                <w:color w:val="auto"/>
              </w:rPr>
            </w:pPr>
            <w:r>
              <w:rPr>
                <w:rFonts w:ascii="Arial" w:cs="Arial" w:eastAsia="Arial" w:hAnsi="Arial"/>
                <w:sz w:val="18"/>
                <w:szCs w:val="18"/>
                <w:color w:val="auto"/>
              </w:rPr>
              <w:t>S-1</w:t>
            </w:r>
          </w:p>
        </w:tc>
        <w:tc>
          <w:tcPr>
            <w:tcW w:w="1500" w:type="dxa"/>
            <w:vAlign w:val="bottom"/>
          </w:tcPr>
          <w:p>
            <w:pPr>
              <w:ind w:left="26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10.7(d)</w:t>
            </w:r>
          </w:p>
        </w:tc>
        <w:tc>
          <w:tcPr>
            <w:tcW w:w="2640" w:type="dxa"/>
            <w:vAlign w:val="bottom"/>
          </w:tcPr>
          <w:p>
            <w:pPr>
              <w:ind w:left="280"/>
              <w:spacing w:after="0"/>
              <w:rPr>
                <w:sz w:val="20"/>
                <w:szCs w:val="20"/>
                <w:color w:val="auto"/>
              </w:rPr>
            </w:pPr>
            <w:r>
              <w:rPr>
                <w:rFonts w:ascii="Arial" w:cs="Arial" w:eastAsia="Arial" w:hAnsi="Arial"/>
                <w:sz w:val="18"/>
                <w:szCs w:val="18"/>
                <w:color w:val="auto"/>
              </w:rPr>
              <w:t>5/24/2016</w:t>
            </w:r>
          </w:p>
        </w:tc>
      </w:tr>
      <w:tr>
        <w:trPr>
          <w:trHeight w:val="155"/>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6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2012, by and between the Registrant and the</w:t>
              </w:r>
            </w:hyperlink>
          </w:p>
        </w:tc>
        <w:tc>
          <w:tcPr>
            <w:tcW w:w="8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95"/>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8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Massachusetts Institute of Technology</w:t>
              </w:r>
            </w:hyperlink>
          </w:p>
        </w:tc>
        <w:tc>
          <w:tcPr>
            <w:tcW w:w="260" w:type="dxa"/>
            <w:vAlign w:val="bottom"/>
            <w:gridSpan w:val="13"/>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0"/>
        </w:trPr>
        <w:tc>
          <w:tcPr>
            <w:tcW w:w="1620" w:type="dxa"/>
            <w:vAlign w:val="bottom"/>
            <w:gridSpan w:val="3"/>
          </w:tcPr>
          <w:p>
            <w:pPr>
              <w:jc w:val="center"/>
              <w:ind w:right="140"/>
              <w:spacing w:after="0" w:line="190" w:lineRule="exact"/>
              <w:rPr>
                <w:rFonts w:ascii="Arial" w:cs="Arial" w:eastAsia="Arial" w:hAnsi="Arial"/>
                <w:sz w:val="18"/>
                <w:szCs w:val="18"/>
                <w:u w:val="single" w:color="auto"/>
                <w:color w:val="0000FF"/>
                <w:w w:val="89"/>
              </w:rPr>
            </w:pPr>
            <w:hyperlink r:id="rId109">
              <w:r>
                <w:rPr>
                  <w:rFonts w:ascii="Arial" w:cs="Arial" w:eastAsia="Arial" w:hAnsi="Arial"/>
                  <w:sz w:val="18"/>
                  <w:szCs w:val="18"/>
                  <w:u w:val="single" w:color="auto"/>
                  <w:color w:val="0000FF"/>
                  <w:w w:val="89"/>
                </w:rPr>
                <w:t>10.7(e)†</w:t>
              </w:r>
            </w:hyperlink>
          </w:p>
        </w:tc>
        <w:tc>
          <w:tcPr>
            <w:tcW w:w="3440" w:type="dxa"/>
            <w:vAlign w:val="bottom"/>
            <w:gridSpan w:val="35"/>
          </w:tcPr>
          <w:p>
            <w:pPr>
              <w:spacing w:after="0" w:line="190" w:lineRule="exact"/>
              <w:rPr>
                <w:rFonts w:ascii="Arial" w:cs="Arial" w:eastAsia="Arial" w:hAnsi="Arial"/>
                <w:sz w:val="18"/>
                <w:szCs w:val="18"/>
                <w:color w:val="0000FF"/>
              </w:rPr>
            </w:pPr>
            <w:hyperlink r:id="rId109">
              <w:r>
                <w:rPr>
                  <w:rFonts w:ascii="Arial" w:cs="Arial" w:eastAsia="Arial" w:hAnsi="Arial"/>
                  <w:sz w:val="18"/>
                  <w:szCs w:val="18"/>
                  <w:color w:val="0000FF"/>
                </w:rPr>
                <w:t>Second Amendment to Exclusive Patent</w:t>
              </w:r>
            </w:hyperlink>
          </w:p>
        </w:tc>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S-1</w:t>
            </w:r>
          </w:p>
        </w:tc>
        <w:tc>
          <w:tcPr>
            <w:tcW w:w="1500" w:type="dxa"/>
            <w:vAlign w:val="bottom"/>
          </w:tcPr>
          <w:p>
            <w:pPr>
              <w:ind w:left="260"/>
              <w:spacing w:after="0" w:line="190" w:lineRule="exact"/>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line="190" w:lineRule="exact"/>
              <w:rPr>
                <w:sz w:val="20"/>
                <w:szCs w:val="20"/>
                <w:color w:val="auto"/>
              </w:rPr>
            </w:pPr>
            <w:r>
              <w:rPr>
                <w:rFonts w:ascii="Arial" w:cs="Arial" w:eastAsia="Arial" w:hAnsi="Arial"/>
                <w:sz w:val="18"/>
                <w:szCs w:val="18"/>
                <w:color w:val="auto"/>
              </w:rPr>
              <w:t>10.7(e)</w:t>
            </w:r>
          </w:p>
        </w:tc>
        <w:tc>
          <w:tcPr>
            <w:tcW w:w="2640" w:type="dxa"/>
            <w:vAlign w:val="bottom"/>
          </w:tcPr>
          <w:p>
            <w:pPr>
              <w:ind w:left="280"/>
              <w:spacing w:after="0" w:line="190" w:lineRule="exact"/>
              <w:rPr>
                <w:sz w:val="20"/>
                <w:szCs w:val="20"/>
                <w:color w:val="auto"/>
              </w:rPr>
            </w:pPr>
            <w:r>
              <w:rPr>
                <w:rFonts w:ascii="Arial" w:cs="Arial" w:eastAsia="Arial" w:hAnsi="Arial"/>
                <w:sz w:val="18"/>
                <w:szCs w:val="18"/>
                <w:color w:val="auto"/>
              </w:rPr>
              <w:t>5/24/2016</w:t>
            </w:r>
          </w:p>
        </w:tc>
      </w:tr>
      <w:tr>
        <w:trPr>
          <w:trHeight w:val="157"/>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Borders>
              <w:top w:val="single" w:sz="8" w:color="0000FF"/>
            </w:tcBorders>
            <w:gridSpan w:val="15"/>
          </w:tcPr>
          <w:p>
            <w:pPr>
              <w:spacing w:after="0" w:line="157" w:lineRule="exact"/>
              <w:rPr>
                <w:rFonts w:ascii="Arial" w:cs="Arial" w:eastAsia="Arial" w:hAnsi="Arial"/>
                <w:sz w:val="18"/>
                <w:szCs w:val="18"/>
                <w:u w:val="single" w:color="auto"/>
                <w:color w:val="0000FF"/>
                <w:w w:val="90"/>
              </w:rPr>
            </w:pPr>
            <w:hyperlink r:id="rId109">
              <w:r>
                <w:rPr>
                  <w:rFonts w:ascii="Arial" w:cs="Arial" w:eastAsia="Arial" w:hAnsi="Arial"/>
                  <w:sz w:val="18"/>
                  <w:szCs w:val="18"/>
                  <w:u w:val="single" w:color="auto"/>
                  <w:color w:val="0000FF"/>
                  <w:w w:val="90"/>
                </w:rPr>
                <w:t>License Agreement, dated as of August</w:t>
              </w:r>
            </w:hyperlink>
          </w:p>
        </w:tc>
        <w:tc>
          <w:tcPr>
            <w:tcW w:w="560" w:type="dxa"/>
            <w:vAlign w:val="bottom"/>
            <w:gridSpan w:val="20"/>
          </w:tcPr>
          <w:p>
            <w:pPr>
              <w:jc w:val="right"/>
              <w:ind w:right="340"/>
              <w:spacing w:after="0" w:line="157" w:lineRule="exact"/>
              <w:rPr>
                <w:rFonts w:ascii="Arial" w:cs="Arial" w:eastAsia="Arial" w:hAnsi="Arial"/>
                <w:sz w:val="18"/>
                <w:szCs w:val="18"/>
                <w:u w:val="single" w:color="auto"/>
                <w:color w:val="0000FF"/>
                <w:w w:val="79"/>
              </w:rPr>
            </w:pPr>
            <w:hyperlink r:id="rId109">
              <w:r>
                <w:rPr>
                  <w:rFonts w:ascii="Arial" w:cs="Arial" w:eastAsia="Arial" w:hAnsi="Arial"/>
                  <w:sz w:val="18"/>
                  <w:szCs w:val="18"/>
                  <w:u w:val="single" w:color="auto"/>
                  <w:color w:val="0000FF"/>
                  <w:w w:val="79"/>
                </w:rPr>
                <w:t>29,</w:t>
              </w:r>
            </w:hyperlink>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r>
    </w:tbl>
    <w:p>
      <w:pPr>
        <w:ind w:left="1600"/>
        <w:spacing w:after="0" w:line="203"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2013, by and between the Registrant and the</w:t>
        </w:r>
      </w:hyperlink>
    </w:p>
    <w:p>
      <w:pPr>
        <w:ind w:left="1600"/>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Massachusetts Institute of Technology</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50"/>
        </w:trPr>
        <w:tc>
          <w:tcPr>
            <w:tcW w:w="1600" w:type="dxa"/>
            <w:vAlign w:val="bottom"/>
          </w:tcPr>
          <w:p>
            <w:pPr>
              <w:jc w:val="center"/>
              <w:ind w:right="10"/>
              <w:spacing w:after="0"/>
              <w:rPr>
                <w:rFonts w:ascii="Arial" w:cs="Arial" w:eastAsia="Arial" w:hAnsi="Arial"/>
                <w:sz w:val="18"/>
                <w:szCs w:val="18"/>
                <w:u w:val="single" w:color="auto"/>
                <w:color w:val="0000FF"/>
                <w:w w:val="93"/>
              </w:rPr>
            </w:pPr>
            <w:hyperlink r:id="rId111">
              <w:r>
                <w:rPr>
                  <w:rFonts w:ascii="Arial" w:cs="Arial" w:eastAsia="Arial" w:hAnsi="Arial"/>
                  <w:sz w:val="18"/>
                  <w:szCs w:val="18"/>
                  <w:u w:val="single" w:color="auto"/>
                  <w:color w:val="0000FF"/>
                  <w:w w:val="93"/>
                </w:rPr>
                <w:t>10.7(f)†</w:t>
              </w:r>
            </w:hyperlink>
          </w:p>
        </w:tc>
        <w:tc>
          <w:tcPr>
            <w:tcW w:w="3560" w:type="dxa"/>
            <w:vAlign w:val="bottom"/>
            <w:gridSpan w:val="38"/>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Third Amendment to Exclusive Patent License</w:t>
              </w:r>
            </w:hyperlink>
          </w:p>
        </w:tc>
      </w:tr>
      <w:tr>
        <w:trPr>
          <w:trHeight w:val="155"/>
        </w:trPr>
        <w:tc>
          <w:tcPr>
            <w:tcW w:w="1600" w:type="dxa"/>
            <w:vAlign w:val="bottom"/>
          </w:tcPr>
          <w:p>
            <w:pPr>
              <w:spacing w:after="0"/>
              <w:rPr>
                <w:sz w:val="13"/>
                <w:szCs w:val="13"/>
                <w:color w:val="auto"/>
              </w:rPr>
            </w:pPr>
          </w:p>
        </w:tc>
        <w:tc>
          <w:tcPr>
            <w:tcW w:w="352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Agreement, entered into on November 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3300" w:type="dxa"/>
            <w:vAlign w:val="bottom"/>
            <w:tcBorders>
              <w:bottom w:val="single" w:sz="8" w:color="0000FF"/>
            </w:tcBorders>
            <w:gridSpan w:val="25"/>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2016 and effective as of November 18, 2016,</w:t>
              </w:r>
            </w:hyperlink>
          </w:p>
        </w:tc>
        <w:tc>
          <w:tcPr>
            <w:tcW w:w="260" w:type="dxa"/>
            <w:vAlign w:val="bottom"/>
            <w:gridSpan w:val="13"/>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3560" w:type="dxa"/>
            <w:vAlign w:val="bottom"/>
            <w:gridSpan w:val="38"/>
          </w:tcPr>
          <w:p>
            <w:pPr>
              <w:spacing w:after="0" w:line="142" w:lineRule="exact"/>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by and between the Massachusetts Institute of</w:t>
              </w:r>
            </w:hyperlink>
          </w:p>
        </w:tc>
      </w:tr>
      <w:tr>
        <w:trPr>
          <w:trHeight w:val="229"/>
        </w:trPr>
        <w:tc>
          <w:tcPr>
            <w:tcW w:w="1600" w:type="dxa"/>
            <w:vAlign w:val="bottom"/>
          </w:tcPr>
          <w:p>
            <w:pPr>
              <w:spacing w:after="0"/>
              <w:rPr>
                <w:sz w:val="19"/>
                <w:szCs w:val="19"/>
                <w:color w:val="auto"/>
              </w:rPr>
            </w:pPr>
          </w:p>
        </w:tc>
        <w:tc>
          <w:tcPr>
            <w:tcW w:w="3560" w:type="dxa"/>
            <w:vAlign w:val="bottom"/>
            <w:gridSpan w:val="38"/>
          </w:tcPr>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Technology and the Registrant</w:t>
              </w:r>
            </w:hyperlink>
          </w:p>
        </w:tc>
      </w:tr>
      <w:tr>
        <w:trPr>
          <w:trHeight w:val="190"/>
        </w:trPr>
        <w:tc>
          <w:tcPr>
            <w:tcW w:w="1600" w:type="dxa"/>
            <w:vAlign w:val="bottom"/>
          </w:tcPr>
          <w:p>
            <w:pPr>
              <w:jc w:val="center"/>
              <w:ind w:right="10"/>
              <w:spacing w:after="0" w:line="190" w:lineRule="exact"/>
              <w:rPr>
                <w:rFonts w:ascii="Arial" w:cs="Arial" w:eastAsia="Arial" w:hAnsi="Arial"/>
                <w:sz w:val="18"/>
                <w:szCs w:val="18"/>
                <w:u w:val="single" w:color="auto"/>
                <w:color w:val="0000FF"/>
                <w:w w:val="92"/>
              </w:rPr>
            </w:pPr>
            <w:hyperlink r:id="rId112">
              <w:r>
                <w:rPr>
                  <w:rFonts w:ascii="Arial" w:cs="Arial" w:eastAsia="Arial" w:hAnsi="Arial"/>
                  <w:sz w:val="18"/>
                  <w:szCs w:val="18"/>
                  <w:u w:val="single" w:color="auto"/>
                  <w:color w:val="0000FF"/>
                  <w:w w:val="92"/>
                </w:rPr>
                <w:t>10.7(g)†</w:t>
              </w:r>
            </w:hyperlink>
          </w:p>
        </w:tc>
        <w:tc>
          <w:tcPr>
            <w:tcW w:w="3560" w:type="dxa"/>
            <w:vAlign w:val="bottom"/>
            <w:gridSpan w:val="38"/>
          </w:tcPr>
          <w:p>
            <w:pPr>
              <w:spacing w:after="0" w:line="190" w:lineRule="exact"/>
              <w:rPr>
                <w:rFonts w:ascii="Arial" w:cs="Arial" w:eastAsia="Arial" w:hAnsi="Arial"/>
                <w:sz w:val="18"/>
                <w:szCs w:val="18"/>
                <w:color w:val="0000FF"/>
              </w:rPr>
            </w:pPr>
            <w:hyperlink r:id="rId112">
              <w:r>
                <w:rPr>
                  <w:rFonts w:ascii="Arial" w:cs="Arial" w:eastAsia="Arial" w:hAnsi="Arial"/>
                  <w:sz w:val="18"/>
                  <w:szCs w:val="18"/>
                  <w:color w:val="0000FF"/>
                </w:rPr>
                <w:t>Letter Agreement, dated as of December 2,</w:t>
              </w:r>
            </w:hyperlink>
          </w:p>
        </w:tc>
      </w:tr>
      <w:tr>
        <w:trPr>
          <w:trHeight w:val="155"/>
        </w:trPr>
        <w:tc>
          <w:tcPr>
            <w:tcW w:w="1600" w:type="dxa"/>
            <w:vAlign w:val="bottom"/>
          </w:tcPr>
          <w:p>
            <w:pPr>
              <w:spacing w:after="0"/>
              <w:rPr>
                <w:sz w:val="13"/>
                <w:szCs w:val="13"/>
                <w:color w:val="auto"/>
              </w:rPr>
            </w:pPr>
          </w:p>
        </w:tc>
        <w:tc>
          <w:tcPr>
            <w:tcW w:w="312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2016, by and between the Massachusetts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600" w:type="dxa"/>
            <w:vAlign w:val="bottom"/>
          </w:tcPr>
          <w:p>
            <w:pPr>
              <w:spacing w:after="0"/>
              <w:rPr>
                <w:sz w:val="16"/>
                <w:szCs w:val="16"/>
                <w:color w:val="auto"/>
              </w:rPr>
            </w:pPr>
          </w:p>
        </w:tc>
        <w:tc>
          <w:tcPr>
            <w:tcW w:w="2960" w:type="dxa"/>
            <w:vAlign w:val="bottom"/>
            <w:tcBorders>
              <w:top w:val="single" w:sz="8" w:color="0000FF"/>
            </w:tcBorders>
            <w:gridSpan w:val="14"/>
          </w:tcPr>
          <w:p>
            <w:pPr>
              <w:spacing w:after="0" w:line="195" w:lineRule="exact"/>
              <w:rPr>
                <w:rFonts w:ascii="Arial" w:cs="Arial" w:eastAsia="Arial" w:hAnsi="Arial"/>
                <w:sz w:val="18"/>
                <w:szCs w:val="18"/>
                <w:u w:val="single" w:color="auto"/>
                <w:color w:val="0000FF"/>
                <w:w w:val="88"/>
              </w:rPr>
            </w:pPr>
            <w:hyperlink r:id="rId112">
              <w:r>
                <w:rPr>
                  <w:rFonts w:ascii="Arial" w:cs="Arial" w:eastAsia="Arial" w:hAnsi="Arial"/>
                  <w:sz w:val="18"/>
                  <w:szCs w:val="18"/>
                  <w:u w:val="single" w:color="auto"/>
                  <w:color w:val="0000FF"/>
                  <w:w w:val="88"/>
                </w:rPr>
                <w:t>Institute of Technology and the Registrant</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600" w:type="dxa"/>
            <w:vAlign w:val="bottom"/>
          </w:tcPr>
          <w:p>
            <w:pPr>
              <w:jc w:val="center"/>
              <w:ind w:right="10"/>
              <w:spacing w:after="0" w:line="190" w:lineRule="exact"/>
              <w:rPr>
                <w:rFonts w:ascii="Arial" w:cs="Arial" w:eastAsia="Arial" w:hAnsi="Arial"/>
                <w:sz w:val="18"/>
                <w:szCs w:val="18"/>
                <w:u w:val="single" w:color="auto"/>
                <w:color w:val="0000FF"/>
                <w:w w:val="92"/>
              </w:rPr>
            </w:pPr>
            <w:hyperlink r:id="rId113">
              <w:r>
                <w:rPr>
                  <w:rFonts w:ascii="Arial" w:cs="Arial" w:eastAsia="Arial" w:hAnsi="Arial"/>
                  <w:sz w:val="18"/>
                  <w:szCs w:val="18"/>
                  <w:u w:val="single" w:color="auto"/>
                  <w:color w:val="0000FF"/>
                  <w:w w:val="92"/>
                </w:rPr>
                <w:t>10.7(h)†</w:t>
              </w:r>
            </w:hyperlink>
          </w:p>
        </w:tc>
        <w:tc>
          <w:tcPr>
            <w:tcW w:w="3140" w:type="dxa"/>
            <w:vAlign w:val="bottom"/>
            <w:tcBorders>
              <w:bottom w:val="single" w:sz="8" w:color="0000FF"/>
            </w:tcBorders>
            <w:gridSpan w:val="18"/>
          </w:tcPr>
          <w:p>
            <w:pPr>
              <w:spacing w:after="0" w:line="190"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Letter Agreement, dated as of December 2,</w:t>
              </w:r>
            </w:hyperlink>
          </w:p>
        </w:tc>
        <w:tc>
          <w:tcPr>
            <w:tcW w:w="420" w:type="dxa"/>
            <w:vAlign w:val="bottom"/>
            <w:gridSpan w:val="20"/>
          </w:tcPr>
          <w:p>
            <w:pPr>
              <w:spacing w:after="0"/>
              <w:rPr>
                <w:sz w:val="16"/>
                <w:szCs w:val="16"/>
                <w:color w:val="auto"/>
              </w:rPr>
            </w:pPr>
          </w:p>
        </w:tc>
      </w:tr>
      <w:tr>
        <w:trPr>
          <w:trHeight w:val="156"/>
        </w:trPr>
        <w:tc>
          <w:tcPr>
            <w:tcW w:w="1600" w:type="dxa"/>
            <w:vAlign w:val="bottom"/>
          </w:tcPr>
          <w:p>
            <w:pPr>
              <w:spacing w:after="0"/>
              <w:rPr>
                <w:sz w:val="13"/>
                <w:szCs w:val="13"/>
                <w:color w:val="auto"/>
              </w:rPr>
            </w:pPr>
          </w:p>
        </w:tc>
        <w:tc>
          <w:tcPr>
            <w:tcW w:w="3560" w:type="dxa"/>
            <w:vAlign w:val="bottom"/>
            <w:gridSpan w:val="38"/>
          </w:tcPr>
          <w:p>
            <w:pPr>
              <w:spacing w:after="0" w:line="156"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2016, by and among Spark Therapeutics, Inc.,</w:t>
              </w:r>
            </w:hyperlink>
          </w:p>
        </w:tc>
      </w:tr>
      <w:tr>
        <w:trPr>
          <w:trHeight w:val="156"/>
        </w:trPr>
        <w:tc>
          <w:tcPr>
            <w:tcW w:w="160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the Massachusetts Institute of Technology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3460" w:type="dxa"/>
            <w:vAlign w:val="bottom"/>
            <w:gridSpan w:val="33"/>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the Registrant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00" w:type="dxa"/>
            <w:vAlign w:val="bottom"/>
          </w:tcPr>
          <w:p>
            <w:pPr>
              <w:jc w:val="center"/>
              <w:ind w:right="10"/>
              <w:spacing w:after="0"/>
              <w:rPr>
                <w:rFonts w:ascii="Arial" w:cs="Arial" w:eastAsia="Arial" w:hAnsi="Arial"/>
                <w:sz w:val="18"/>
                <w:szCs w:val="18"/>
                <w:u w:val="single" w:color="auto"/>
                <w:color w:val="0000FF"/>
                <w:w w:val="94"/>
              </w:rPr>
            </w:pPr>
            <w:hyperlink r:id="rId114">
              <w:r>
                <w:rPr>
                  <w:rFonts w:ascii="Arial" w:cs="Arial" w:eastAsia="Arial" w:hAnsi="Arial"/>
                  <w:sz w:val="18"/>
                  <w:szCs w:val="18"/>
                  <w:u w:val="single" w:color="auto"/>
                  <w:color w:val="0000FF"/>
                  <w:w w:val="94"/>
                </w:rPr>
                <w:t>10.7(i)†</w:t>
              </w:r>
            </w:hyperlink>
          </w:p>
        </w:tc>
        <w:tc>
          <w:tcPr>
            <w:tcW w:w="2860" w:type="dxa"/>
            <w:vAlign w:val="bottom"/>
            <w:tcBorders>
              <w:bottom w:val="single" w:sz="8" w:color="0000FF"/>
            </w:tcBorders>
            <w:gridSpan w:val="12"/>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Fourth Amendment to Exclusive Patent</w:t>
              </w:r>
            </w:hyperlink>
          </w:p>
        </w:tc>
        <w:tc>
          <w:tcPr>
            <w:tcW w:w="700" w:type="dxa"/>
            <w:vAlign w:val="bottom"/>
            <w:gridSpan w:val="26"/>
          </w:tcPr>
          <w:p>
            <w:pPr>
              <w:spacing w:after="0"/>
              <w:rPr>
                <w:sz w:val="18"/>
                <w:szCs w:val="18"/>
                <w:color w:val="auto"/>
              </w:rPr>
            </w:pPr>
          </w:p>
        </w:tc>
      </w:tr>
      <w:tr>
        <w:trPr>
          <w:trHeight w:val="156"/>
        </w:trPr>
        <w:tc>
          <w:tcPr>
            <w:tcW w:w="1600" w:type="dxa"/>
            <w:vAlign w:val="bottom"/>
          </w:tcPr>
          <w:p>
            <w:pPr>
              <w:spacing w:after="0"/>
              <w:rPr>
                <w:sz w:val="13"/>
                <w:szCs w:val="13"/>
                <w:color w:val="auto"/>
              </w:rPr>
            </w:pPr>
          </w:p>
        </w:tc>
        <w:tc>
          <w:tcPr>
            <w:tcW w:w="3560" w:type="dxa"/>
            <w:vAlign w:val="bottom"/>
            <w:gridSpan w:val="38"/>
          </w:tcPr>
          <w:p>
            <w:pPr>
              <w:spacing w:after="0" w:line="156"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License Agreement, entered into on December</w:t>
              </w:r>
            </w:hyperlink>
          </w:p>
        </w:tc>
      </w:tr>
      <w:tr>
        <w:trPr>
          <w:trHeight w:val="155"/>
        </w:trPr>
        <w:tc>
          <w:tcPr>
            <w:tcW w:w="1600" w:type="dxa"/>
            <w:vAlign w:val="bottom"/>
          </w:tcPr>
          <w:p>
            <w:pPr>
              <w:spacing w:after="0"/>
              <w:rPr>
                <w:sz w:val="13"/>
                <w:szCs w:val="13"/>
                <w:color w:val="auto"/>
              </w:rPr>
            </w:pPr>
          </w:p>
        </w:tc>
        <w:tc>
          <w:tcPr>
            <w:tcW w:w="350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13, 2019, by and between the Massachusetts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600" w:type="dxa"/>
            <w:vAlign w:val="bottom"/>
          </w:tcPr>
          <w:p>
            <w:pPr>
              <w:spacing w:after="0"/>
              <w:rPr>
                <w:sz w:val="16"/>
                <w:szCs w:val="16"/>
                <w:color w:val="auto"/>
              </w:rPr>
            </w:pPr>
          </w:p>
        </w:tc>
        <w:tc>
          <w:tcPr>
            <w:tcW w:w="3220" w:type="dxa"/>
            <w:vAlign w:val="bottom"/>
            <w:tcBorders>
              <w:top w:val="single" w:sz="8" w:color="0000FF"/>
            </w:tcBorders>
            <w:gridSpan w:val="21"/>
          </w:tcPr>
          <w:p>
            <w:pPr>
              <w:spacing w:after="0" w:line="195" w:lineRule="exact"/>
              <w:rPr>
                <w:rFonts w:ascii="Arial" w:cs="Arial" w:eastAsia="Arial" w:hAnsi="Arial"/>
                <w:sz w:val="18"/>
                <w:szCs w:val="18"/>
                <w:u w:val="single" w:color="auto"/>
                <w:color w:val="0000FF"/>
                <w:w w:val="96"/>
              </w:rPr>
            </w:pPr>
            <w:hyperlink r:id="rId114">
              <w:r>
                <w:rPr>
                  <w:rFonts w:ascii="Arial" w:cs="Arial" w:eastAsia="Arial" w:hAnsi="Arial"/>
                  <w:sz w:val="18"/>
                  <w:szCs w:val="18"/>
                  <w:u w:val="single" w:color="auto"/>
                  <w:color w:val="0000FF"/>
                  <w:w w:val="96"/>
                </w:rPr>
                <w:t>Institute of Technology and the Registrant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600" w:type="dxa"/>
            <w:vAlign w:val="bottom"/>
          </w:tcPr>
          <w:p>
            <w:pPr>
              <w:jc w:val="center"/>
              <w:ind w:right="10"/>
              <w:spacing w:after="0" w:line="190" w:lineRule="exact"/>
              <w:rPr>
                <w:rFonts w:ascii="Arial" w:cs="Arial" w:eastAsia="Arial" w:hAnsi="Arial"/>
                <w:sz w:val="18"/>
                <w:szCs w:val="18"/>
                <w:u w:val="single" w:color="auto"/>
                <w:color w:val="0000FF"/>
                <w:w w:val="94"/>
              </w:rPr>
            </w:pPr>
            <w:hyperlink r:id="rId115">
              <w:r>
                <w:rPr>
                  <w:rFonts w:ascii="Arial" w:cs="Arial" w:eastAsia="Arial" w:hAnsi="Arial"/>
                  <w:sz w:val="18"/>
                  <w:szCs w:val="18"/>
                  <w:u w:val="single" w:color="auto"/>
                  <w:color w:val="0000FF"/>
                  <w:w w:val="94"/>
                </w:rPr>
                <w:t>10.7(j)†</w:t>
              </w:r>
            </w:hyperlink>
          </w:p>
        </w:tc>
        <w:tc>
          <w:tcPr>
            <w:tcW w:w="3560" w:type="dxa"/>
            <w:vAlign w:val="bottom"/>
            <w:gridSpan w:val="38"/>
          </w:tcPr>
          <w:p>
            <w:pPr>
              <w:spacing w:after="0" w:line="190" w:lineRule="exact"/>
              <w:rPr>
                <w:rFonts w:ascii="Arial" w:cs="Arial" w:eastAsia="Arial" w:hAnsi="Arial"/>
                <w:sz w:val="18"/>
                <w:szCs w:val="18"/>
                <w:color w:val="0000FF"/>
                <w:w w:val="97"/>
              </w:rPr>
            </w:pPr>
            <w:hyperlink r:id="rId115">
              <w:r>
                <w:rPr>
                  <w:rFonts w:ascii="Arial" w:cs="Arial" w:eastAsia="Arial" w:hAnsi="Arial"/>
                  <w:sz w:val="18"/>
                  <w:szCs w:val="18"/>
                  <w:color w:val="0000FF"/>
                  <w:w w:val="97"/>
                </w:rPr>
                <w:t>Fifth Amendment to Exclusive Patent License</w:t>
              </w:r>
            </w:hyperlink>
          </w:p>
        </w:tc>
      </w:tr>
      <w:tr>
        <w:trPr>
          <w:trHeight w:val="155"/>
        </w:trPr>
        <w:tc>
          <w:tcPr>
            <w:tcW w:w="1600" w:type="dxa"/>
            <w:vAlign w:val="bottom"/>
          </w:tcPr>
          <w:p>
            <w:pPr>
              <w:spacing w:after="0"/>
              <w:rPr>
                <w:sz w:val="13"/>
                <w:szCs w:val="13"/>
                <w:color w:val="auto"/>
              </w:rPr>
            </w:pPr>
          </w:p>
        </w:tc>
        <w:tc>
          <w:tcPr>
            <w:tcW w:w="344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Agreement, dated as of May 15, 2020, by and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88"/>
              </w:rPr>
            </w:pPr>
            <w:hyperlink r:id="rId115">
              <w:r>
                <w:rPr>
                  <w:rFonts w:ascii="Arial" w:cs="Arial" w:eastAsia="Arial" w:hAnsi="Arial"/>
                  <w:sz w:val="18"/>
                  <w:szCs w:val="18"/>
                  <w:color w:val="0000FF"/>
                  <w:w w:val="88"/>
                </w:rPr>
                <w:t>between the Registrant and the Massachusetts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170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Institute of Technology</w:t>
              </w:r>
            </w:hyperlink>
          </w:p>
        </w:tc>
        <w:tc>
          <w:tcPr>
            <w:tcW w:w="166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600" w:type="dxa"/>
            <w:vAlign w:val="bottom"/>
          </w:tcPr>
          <w:p>
            <w:pPr>
              <w:jc w:val="center"/>
              <w:ind w:right="30"/>
              <w:spacing w:after="0"/>
              <w:rPr>
                <w:rFonts w:ascii="Arial" w:cs="Arial" w:eastAsia="Arial" w:hAnsi="Arial"/>
                <w:sz w:val="18"/>
                <w:szCs w:val="18"/>
                <w:u w:val="single" w:color="auto"/>
                <w:color w:val="0000FF"/>
                <w:w w:val="88"/>
              </w:rPr>
            </w:pPr>
            <w:hyperlink r:id="rId116">
              <w:r>
                <w:rPr>
                  <w:rFonts w:ascii="Arial" w:cs="Arial" w:eastAsia="Arial" w:hAnsi="Arial"/>
                  <w:sz w:val="18"/>
                  <w:szCs w:val="18"/>
                  <w:u w:val="single" w:color="auto"/>
                  <w:color w:val="0000FF"/>
                  <w:w w:val="88"/>
                </w:rPr>
                <w:t>10.8†</w:t>
              </w:r>
            </w:hyperlink>
          </w:p>
        </w:tc>
        <w:tc>
          <w:tcPr>
            <w:tcW w:w="3560" w:type="dxa"/>
            <w:vAlign w:val="bottom"/>
            <w:gridSpan w:val="38"/>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Amended and Restated License Agreement,</w:t>
              </w:r>
            </w:hyperlink>
          </w:p>
        </w:tc>
      </w:tr>
      <w:tr>
        <w:trPr>
          <w:trHeight w:val="20"/>
        </w:trPr>
        <w:tc>
          <w:tcPr>
            <w:tcW w:w="160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3560" w:type="dxa"/>
            <w:vAlign w:val="bottom"/>
            <w:gridSpan w:val="38"/>
          </w:tcPr>
          <w:p>
            <w:pPr>
              <w:spacing w:after="0" w:line="156"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dated as of May 31, 2017, by and between the</w:t>
              </w:r>
            </w:hyperlink>
          </w:p>
        </w:tc>
      </w:tr>
      <w:tr>
        <w:trPr>
          <w:trHeight w:val="156"/>
        </w:trPr>
        <w:tc>
          <w:tcPr>
            <w:tcW w:w="1600" w:type="dxa"/>
            <w:vAlign w:val="bottom"/>
          </w:tcPr>
          <w:p>
            <w:pPr>
              <w:spacing w:after="0"/>
              <w:rPr>
                <w:sz w:val="13"/>
                <w:szCs w:val="13"/>
                <w:color w:val="auto"/>
              </w:rPr>
            </w:pPr>
          </w:p>
        </w:tc>
        <w:tc>
          <w:tcPr>
            <w:tcW w:w="33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Registrant and Shenyang Sunshine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Pharmaceutical Co., Ltd.</w:t>
              </w:r>
            </w:hyperlink>
          </w:p>
        </w:tc>
        <w:tc>
          <w:tcPr>
            <w:tcW w:w="70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600" w:type="dxa"/>
            <w:vAlign w:val="bottom"/>
          </w:tcPr>
          <w:p>
            <w:pPr>
              <w:jc w:val="center"/>
              <w:ind w:right="30"/>
              <w:spacing w:after="0"/>
              <w:rPr>
                <w:rFonts w:ascii="Arial" w:cs="Arial" w:eastAsia="Arial" w:hAnsi="Arial"/>
                <w:sz w:val="18"/>
                <w:szCs w:val="18"/>
                <w:u w:val="single" w:color="auto"/>
                <w:color w:val="0000FF"/>
                <w:w w:val="88"/>
              </w:rPr>
            </w:pPr>
            <w:hyperlink r:id="rId117">
              <w:r>
                <w:rPr>
                  <w:rFonts w:ascii="Arial" w:cs="Arial" w:eastAsia="Arial" w:hAnsi="Arial"/>
                  <w:sz w:val="18"/>
                  <w:szCs w:val="18"/>
                  <w:u w:val="single" w:color="auto"/>
                  <w:color w:val="0000FF"/>
                  <w:w w:val="88"/>
                </w:rPr>
                <w:t>10.9†</w:t>
              </w:r>
            </w:hyperlink>
          </w:p>
        </w:tc>
        <w:tc>
          <w:tcPr>
            <w:tcW w:w="3560" w:type="dxa"/>
            <w:vAlign w:val="bottom"/>
            <w:gridSpan w:val="38"/>
          </w:tcPr>
          <w:p>
            <w:pPr>
              <w:spacing w:after="0"/>
              <w:rPr>
                <w:rFonts w:ascii="Arial" w:cs="Arial" w:eastAsia="Arial" w:hAnsi="Arial"/>
                <w:sz w:val="18"/>
                <w:szCs w:val="18"/>
                <w:color w:val="0000FF"/>
                <w:w w:val="98"/>
              </w:rPr>
            </w:pPr>
            <w:hyperlink r:id="rId117">
              <w:r>
                <w:rPr>
                  <w:rFonts w:ascii="Arial" w:cs="Arial" w:eastAsia="Arial" w:hAnsi="Arial"/>
                  <w:sz w:val="18"/>
                  <w:szCs w:val="18"/>
                  <w:color w:val="0000FF"/>
                  <w:w w:val="98"/>
                </w:rPr>
                <w:t>Manufacturing Services Agreement, dated as</w:t>
              </w:r>
            </w:hyperlink>
          </w:p>
        </w:tc>
      </w:tr>
      <w:tr>
        <w:trPr>
          <w:trHeight w:val="155"/>
        </w:trPr>
        <w:tc>
          <w:tcPr>
            <w:tcW w:w="1600" w:type="dxa"/>
            <w:vAlign w:val="bottom"/>
          </w:tcPr>
          <w:p>
            <w:pPr>
              <w:spacing w:after="0"/>
              <w:rPr>
                <w:sz w:val="13"/>
                <w:szCs w:val="13"/>
                <w:color w:val="auto"/>
              </w:rPr>
            </w:pPr>
          </w:p>
        </w:tc>
        <w:tc>
          <w:tcPr>
            <w:tcW w:w="32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of August 1, 2014, by and between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2780" w:type="dxa"/>
            <w:vAlign w:val="bottom"/>
            <w:tcBorders>
              <w:top w:val="single" w:sz="8" w:color="0000FF"/>
            </w:tcBorders>
            <w:gridSpan w:val="11"/>
          </w:tcPr>
          <w:p>
            <w:pPr>
              <w:spacing w:after="0" w:line="156" w:lineRule="exact"/>
              <w:rPr>
                <w:rFonts w:ascii="Arial" w:cs="Arial" w:eastAsia="Arial" w:hAnsi="Arial"/>
                <w:sz w:val="18"/>
                <w:szCs w:val="18"/>
                <w:color w:val="0000FF"/>
                <w:w w:val="97"/>
              </w:rPr>
            </w:pPr>
            <w:hyperlink r:id="rId117">
              <w:r>
                <w:rPr>
                  <w:rFonts w:ascii="Arial" w:cs="Arial" w:eastAsia="Arial" w:hAnsi="Arial"/>
                  <w:sz w:val="18"/>
                  <w:szCs w:val="18"/>
                  <w:color w:val="0000FF"/>
                  <w:w w:val="97"/>
                </w:rPr>
                <w:t>Registrant and Shenyang Sunshine</w:t>
              </w:r>
            </w:hyperlink>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Pharmaceutical Co., Ltd.</w:t>
              </w:r>
            </w:hyperlink>
          </w:p>
        </w:tc>
        <w:tc>
          <w:tcPr>
            <w:tcW w:w="70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600" w:type="dxa"/>
            <w:vAlign w:val="bottom"/>
          </w:tcPr>
          <w:p>
            <w:pPr>
              <w:jc w:val="center"/>
              <w:ind w:right="10"/>
              <w:spacing w:after="0"/>
              <w:rPr>
                <w:rFonts w:ascii="Arial" w:cs="Arial" w:eastAsia="Arial" w:hAnsi="Arial"/>
                <w:sz w:val="18"/>
                <w:szCs w:val="18"/>
                <w:u w:val="single" w:color="auto"/>
                <w:color w:val="0000FF"/>
                <w:w w:val="90"/>
              </w:rPr>
            </w:pPr>
            <w:hyperlink r:id="rId118">
              <w:r>
                <w:rPr>
                  <w:rFonts w:ascii="Arial" w:cs="Arial" w:eastAsia="Arial" w:hAnsi="Arial"/>
                  <w:sz w:val="18"/>
                  <w:szCs w:val="18"/>
                  <w:u w:val="single" w:color="auto"/>
                  <w:color w:val="0000FF"/>
                  <w:w w:val="90"/>
                </w:rPr>
                <w:t>10.10†</w:t>
              </w:r>
            </w:hyperlink>
          </w:p>
        </w:tc>
        <w:tc>
          <w:tcPr>
            <w:tcW w:w="3560" w:type="dxa"/>
            <w:vAlign w:val="bottom"/>
            <w:gridSpan w:val="38"/>
          </w:tcPr>
          <w:p>
            <w:pPr>
              <w:spacing w:after="0"/>
              <w:rPr>
                <w:rFonts w:ascii="Arial" w:cs="Arial" w:eastAsia="Arial" w:hAnsi="Arial"/>
                <w:sz w:val="18"/>
                <w:szCs w:val="18"/>
                <w:color w:val="0000FF"/>
              </w:rPr>
            </w:pPr>
            <w:hyperlink r:id="rId118">
              <w:r>
                <w:rPr>
                  <w:rFonts w:ascii="Arial" w:cs="Arial" w:eastAsia="Arial" w:hAnsi="Arial"/>
                  <w:sz w:val="18"/>
                  <w:szCs w:val="18"/>
                  <w:color w:val="0000FF"/>
                </w:rPr>
                <w:t>Lease, dated as of September 30, 2008, as</w:t>
              </w:r>
            </w:hyperlink>
          </w:p>
        </w:tc>
      </w:tr>
      <w:tr>
        <w:trPr>
          <w:trHeight w:val="20"/>
        </w:trPr>
        <w:tc>
          <w:tcPr>
            <w:tcW w:w="160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3560" w:type="dxa"/>
            <w:vAlign w:val="bottom"/>
            <w:gridSpan w:val="38"/>
          </w:tcPr>
          <w:p>
            <w:pPr>
              <w:spacing w:after="0" w:line="156" w:lineRule="exact"/>
              <w:rPr>
                <w:rFonts w:ascii="Arial" w:cs="Arial" w:eastAsia="Arial" w:hAnsi="Arial"/>
                <w:sz w:val="18"/>
                <w:szCs w:val="18"/>
                <w:color w:val="0000FF"/>
                <w:w w:val="95"/>
              </w:rPr>
            </w:pPr>
            <w:hyperlink r:id="rId118">
              <w:r>
                <w:rPr>
                  <w:rFonts w:ascii="Arial" w:cs="Arial" w:eastAsia="Arial" w:hAnsi="Arial"/>
                  <w:sz w:val="18"/>
                  <w:szCs w:val="18"/>
                  <w:color w:val="0000FF"/>
                  <w:w w:val="95"/>
                </w:rPr>
                <w:t>amended by the First Amendment, dated as of</w:t>
              </w:r>
            </w:hyperlink>
          </w:p>
        </w:tc>
      </w:tr>
      <w:tr>
        <w:trPr>
          <w:trHeight w:val="155"/>
        </w:trPr>
        <w:tc>
          <w:tcPr>
            <w:tcW w:w="1600" w:type="dxa"/>
            <w:vAlign w:val="bottom"/>
          </w:tcPr>
          <w:p>
            <w:pPr>
              <w:spacing w:after="0"/>
              <w:rPr>
                <w:sz w:val="13"/>
                <w:szCs w:val="13"/>
                <w:color w:val="auto"/>
              </w:rPr>
            </w:pPr>
          </w:p>
        </w:tc>
        <w:tc>
          <w:tcPr>
            <w:tcW w:w="342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118">
              <w:r>
                <w:rPr>
                  <w:rFonts w:ascii="Arial" w:cs="Arial" w:eastAsia="Arial" w:hAnsi="Arial"/>
                  <w:sz w:val="18"/>
                  <w:szCs w:val="18"/>
                  <w:color w:val="0000FF"/>
                  <w:w w:val="93"/>
                </w:rPr>
                <w:t>July 12, 2011, the Second Amendment, dated</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as of October 11, 2011 and the Third</w:t>
              </w:r>
            </w:hyperlink>
          </w:p>
        </w:tc>
        <w:tc>
          <w:tcPr>
            <w:tcW w:w="6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3560" w:type="dxa"/>
            <w:vAlign w:val="bottom"/>
            <w:gridSpan w:val="38"/>
          </w:tcPr>
          <w:p>
            <w:pPr>
              <w:spacing w:after="0" w:line="156"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Amendment, dated as of April 6, 2015, by and</w:t>
              </w:r>
            </w:hyperlink>
          </w:p>
        </w:tc>
      </w:tr>
      <w:tr>
        <w:trPr>
          <w:trHeight w:val="142"/>
        </w:trPr>
        <w:tc>
          <w:tcPr>
            <w:tcW w:w="1600" w:type="dxa"/>
            <w:vAlign w:val="bottom"/>
          </w:tcPr>
          <w:p>
            <w:pPr>
              <w:spacing w:after="0"/>
              <w:rPr>
                <w:sz w:val="12"/>
                <w:szCs w:val="12"/>
                <w:color w:val="auto"/>
              </w:rPr>
            </w:pPr>
          </w:p>
        </w:tc>
        <w:tc>
          <w:tcPr>
            <w:tcW w:w="3480" w:type="dxa"/>
            <w:vAlign w:val="bottom"/>
            <w:tcBorders>
              <w:top w:val="single" w:sz="8" w:color="0000FF"/>
            </w:tcBorders>
            <w:gridSpan w:val="34"/>
          </w:tcPr>
          <w:p>
            <w:pPr>
              <w:spacing w:after="0" w:line="142" w:lineRule="exact"/>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between the Registrant and ARE-480 Arsenal</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1600" w:type="dxa"/>
            <w:vAlign w:val="bottom"/>
          </w:tcPr>
          <w:p>
            <w:pPr>
              <w:spacing w:after="0"/>
              <w:rPr>
                <w:sz w:val="19"/>
                <w:szCs w:val="19"/>
                <w:color w:val="auto"/>
              </w:rPr>
            </w:pPr>
          </w:p>
        </w:tc>
        <w:tc>
          <w:tcPr>
            <w:tcW w:w="3560" w:type="dxa"/>
            <w:vAlign w:val="bottom"/>
            <w:gridSpan w:val="38"/>
          </w:tcPr>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Street, LLC</w:t>
              </w:r>
            </w:hyperlink>
          </w:p>
        </w:tc>
      </w:tr>
      <w:tr>
        <w:trPr>
          <w:trHeight w:val="190"/>
        </w:trPr>
        <w:tc>
          <w:tcPr>
            <w:tcW w:w="1600" w:type="dxa"/>
            <w:vAlign w:val="bottom"/>
          </w:tcPr>
          <w:p>
            <w:pPr>
              <w:jc w:val="center"/>
              <w:ind w:right="30"/>
              <w:spacing w:after="0" w:line="190" w:lineRule="exact"/>
              <w:rPr>
                <w:rFonts w:ascii="Arial" w:cs="Arial" w:eastAsia="Arial" w:hAnsi="Arial"/>
                <w:sz w:val="18"/>
                <w:szCs w:val="18"/>
                <w:u w:val="single" w:color="auto"/>
                <w:color w:val="0000FF"/>
                <w:w w:val="87"/>
              </w:rPr>
            </w:pPr>
            <w:hyperlink r:id="rId119">
              <w:r>
                <w:rPr>
                  <w:rFonts w:ascii="Arial" w:cs="Arial" w:eastAsia="Arial" w:hAnsi="Arial"/>
                  <w:sz w:val="18"/>
                  <w:szCs w:val="18"/>
                  <w:u w:val="single" w:color="auto"/>
                  <w:color w:val="0000FF"/>
                  <w:w w:val="87"/>
                </w:rPr>
                <w:t>10.11†</w:t>
              </w:r>
            </w:hyperlink>
          </w:p>
        </w:tc>
        <w:tc>
          <w:tcPr>
            <w:tcW w:w="3560" w:type="dxa"/>
            <w:vAlign w:val="bottom"/>
            <w:gridSpan w:val="38"/>
          </w:tcPr>
          <w:p>
            <w:pPr>
              <w:spacing w:after="0" w:line="190"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Fourth Amendment to Lease, dated August 21,</w:t>
              </w:r>
            </w:hyperlink>
          </w:p>
        </w:tc>
      </w:tr>
      <w:tr>
        <w:trPr>
          <w:trHeight w:val="156"/>
        </w:trPr>
        <w:tc>
          <w:tcPr>
            <w:tcW w:w="160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37"/>
          </w:tcPr>
          <w:p>
            <w:pPr>
              <w:spacing w:after="0" w:line="156"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2016, by and between ARE-480 Arsenal Street</w:t>
              </w:r>
            </w:hyperlink>
          </w:p>
        </w:tc>
        <w:tc>
          <w:tcPr>
            <w:tcW w:w="20" w:type="dxa"/>
            <w:vAlign w:val="bottom"/>
            <w:tcBorders>
              <w:bottom w:val="single" w:sz="8" w:color="0000FF"/>
            </w:tcBorders>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3560" w:type="dxa"/>
            <w:vAlign w:val="bottom"/>
            <w:gridSpan w:val="38"/>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LLC and Selecta Biosciences, Inc.</w:t>
              </w:r>
            </w:hyperlink>
          </w:p>
        </w:tc>
      </w:tr>
      <w:tr>
        <w:trPr>
          <w:trHeight w:val="20"/>
        </w:trPr>
        <w:tc>
          <w:tcPr>
            <w:tcW w:w="160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10"/>
        </w:trPr>
        <w:tc>
          <w:tcPr>
            <w:tcW w:w="1600" w:type="dxa"/>
            <w:vAlign w:val="bottom"/>
          </w:tcPr>
          <w:p>
            <w:pPr>
              <w:jc w:val="center"/>
              <w:ind w:right="30"/>
              <w:spacing w:after="0"/>
              <w:rPr>
                <w:rFonts w:ascii="Arial" w:cs="Arial" w:eastAsia="Arial" w:hAnsi="Arial"/>
                <w:sz w:val="18"/>
                <w:szCs w:val="18"/>
                <w:u w:val="single" w:color="auto"/>
                <w:color w:val="0000FF"/>
                <w:w w:val="88"/>
              </w:rPr>
            </w:pPr>
            <w:hyperlink r:id="rId120">
              <w:r>
                <w:rPr>
                  <w:rFonts w:ascii="Arial" w:cs="Arial" w:eastAsia="Arial" w:hAnsi="Arial"/>
                  <w:sz w:val="18"/>
                  <w:szCs w:val="18"/>
                  <w:u w:val="single" w:color="auto"/>
                  <w:color w:val="0000FF"/>
                  <w:w w:val="88"/>
                </w:rPr>
                <w:t>10.12</w:t>
              </w:r>
            </w:hyperlink>
          </w:p>
        </w:tc>
        <w:tc>
          <w:tcPr>
            <w:tcW w:w="3560" w:type="dxa"/>
            <w:vAlign w:val="bottom"/>
            <w:gridSpan w:val="38"/>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Lease Agreement by and between BRE-BMR</w:t>
              </w:r>
            </w:hyperlink>
          </w:p>
        </w:tc>
      </w:tr>
      <w:tr>
        <w:trPr>
          <w:trHeight w:val="155"/>
        </w:trPr>
        <w:tc>
          <w:tcPr>
            <w:tcW w:w="1600" w:type="dxa"/>
            <w:vAlign w:val="bottom"/>
          </w:tcPr>
          <w:p>
            <w:pPr>
              <w:spacing w:after="0"/>
              <w:rPr>
                <w:sz w:val="13"/>
                <w:szCs w:val="13"/>
                <w:color w:val="auto"/>
              </w:rPr>
            </w:pPr>
          </w:p>
        </w:tc>
        <w:tc>
          <w:tcPr>
            <w:tcW w:w="33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Grove LLC and Selecta Biosciences, Inc.</w:t>
              </w:r>
            </w:hyperlink>
          </w:p>
        </w:tc>
        <w:tc>
          <w:tcPr>
            <w:tcW w:w="240" w:type="dxa"/>
            <w:vAlign w:val="bottom"/>
            <w:gridSpan w:val="12"/>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dated July 23, 2019</w:t>
              </w:r>
            </w:hyperlink>
          </w:p>
        </w:tc>
        <w:tc>
          <w:tcPr>
            <w:tcW w:w="1600" w:type="dxa"/>
            <w:vAlign w:val="bottom"/>
            <w:tcBorders>
              <w:top w:val="single" w:sz="8" w:color="0000FF"/>
            </w:tcBorders>
            <w:gridSpan w:val="14"/>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10"/>
        </w:trPr>
        <w:tc>
          <w:tcPr>
            <w:tcW w:w="1600" w:type="dxa"/>
            <w:vAlign w:val="bottom"/>
          </w:tcPr>
          <w:p>
            <w:pPr>
              <w:jc w:val="center"/>
              <w:ind w:right="10"/>
              <w:spacing w:after="0"/>
              <w:rPr>
                <w:rFonts w:ascii="Arial" w:cs="Arial" w:eastAsia="Arial" w:hAnsi="Arial"/>
                <w:sz w:val="18"/>
                <w:szCs w:val="18"/>
                <w:u w:val="single" w:color="auto"/>
                <w:color w:val="0000FF"/>
                <w:w w:val="90"/>
              </w:rPr>
            </w:pPr>
            <w:hyperlink r:id="rId121">
              <w:r>
                <w:rPr>
                  <w:rFonts w:ascii="Arial" w:cs="Arial" w:eastAsia="Arial" w:hAnsi="Arial"/>
                  <w:sz w:val="18"/>
                  <w:szCs w:val="18"/>
                  <w:u w:val="single" w:color="auto"/>
                  <w:color w:val="0000FF"/>
                  <w:w w:val="90"/>
                </w:rPr>
                <w:t>10.13#</w:t>
              </w:r>
            </w:hyperlink>
          </w:p>
        </w:tc>
        <w:tc>
          <w:tcPr>
            <w:tcW w:w="3560" w:type="dxa"/>
            <w:vAlign w:val="bottom"/>
            <w:gridSpan w:val="38"/>
          </w:tcPr>
          <w:p>
            <w:pPr>
              <w:spacing w:after="0"/>
              <w:rPr>
                <w:rFonts w:ascii="Arial" w:cs="Arial" w:eastAsia="Arial" w:hAnsi="Arial"/>
                <w:sz w:val="18"/>
                <w:szCs w:val="18"/>
                <w:color w:val="0000FF"/>
              </w:rPr>
            </w:pPr>
            <w:hyperlink r:id="rId121">
              <w:r>
                <w:rPr>
                  <w:rFonts w:ascii="Arial" w:cs="Arial" w:eastAsia="Arial" w:hAnsi="Arial"/>
                  <w:sz w:val="18"/>
                  <w:szCs w:val="18"/>
                  <w:color w:val="0000FF"/>
                </w:rPr>
                <w:t>Employment Agreement, dated as of</w:t>
              </w:r>
            </w:hyperlink>
          </w:p>
        </w:tc>
      </w:tr>
      <w:tr>
        <w:trPr>
          <w:trHeight w:val="155"/>
        </w:trPr>
        <w:tc>
          <w:tcPr>
            <w:tcW w:w="1600" w:type="dxa"/>
            <w:vAlign w:val="bottom"/>
          </w:tcPr>
          <w:p>
            <w:pPr>
              <w:spacing w:after="0"/>
              <w:rPr>
                <w:sz w:val="13"/>
                <w:szCs w:val="13"/>
                <w:color w:val="auto"/>
              </w:rPr>
            </w:pPr>
          </w:p>
        </w:tc>
        <w:tc>
          <w:tcPr>
            <w:tcW w:w="2640" w:type="dxa"/>
            <w:vAlign w:val="bottom"/>
            <w:tcBorders>
              <w:top w:val="single" w:sz="8" w:color="0000FF"/>
            </w:tcBorders>
            <w:gridSpan w:val="9"/>
          </w:tcPr>
          <w:p>
            <w:pPr>
              <w:spacing w:after="0" w:line="156" w:lineRule="exact"/>
              <w:rPr>
                <w:rFonts w:ascii="Arial" w:cs="Arial" w:eastAsia="Arial" w:hAnsi="Arial"/>
                <w:sz w:val="18"/>
                <w:szCs w:val="18"/>
                <w:color w:val="0000FF"/>
                <w:w w:val="87"/>
              </w:rPr>
            </w:pPr>
            <w:hyperlink r:id="rId121">
              <w:r>
                <w:rPr>
                  <w:rFonts w:ascii="Arial" w:cs="Arial" w:eastAsia="Arial" w:hAnsi="Arial"/>
                  <w:sz w:val="18"/>
                  <w:szCs w:val="18"/>
                  <w:color w:val="0000FF"/>
                  <w:w w:val="87"/>
                </w:rPr>
                <w:t>September 25, 2018, by and between</w:t>
              </w:r>
            </w:hyperlink>
          </w:p>
        </w:tc>
        <w:tc>
          <w:tcPr>
            <w:tcW w:w="920" w:type="dxa"/>
            <w:vAlign w:val="bottom"/>
            <w:gridSpan w:val="29"/>
          </w:tcPr>
          <w:p>
            <w:pPr>
              <w:ind w:left="80"/>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the</w:t>
              </w:r>
            </w:hyperlink>
          </w:p>
        </w:tc>
      </w:tr>
      <w:tr>
        <w:trPr>
          <w:trHeight w:val="195"/>
        </w:trPr>
        <w:tc>
          <w:tcPr>
            <w:tcW w:w="1600" w:type="dxa"/>
            <w:vAlign w:val="bottom"/>
          </w:tcPr>
          <w:p>
            <w:pPr>
              <w:spacing w:after="0"/>
              <w:rPr>
                <w:sz w:val="16"/>
                <w:szCs w:val="16"/>
                <w:color w:val="auto"/>
              </w:rPr>
            </w:pPr>
          </w:p>
        </w:tc>
        <w:tc>
          <w:tcPr>
            <w:tcW w:w="2940" w:type="dxa"/>
            <w:vAlign w:val="bottom"/>
            <w:tcBorders>
              <w:top w:val="single" w:sz="8" w:color="0000FF"/>
            </w:tcBorders>
            <w:gridSpan w:val="13"/>
          </w:tcPr>
          <w:p>
            <w:pPr>
              <w:spacing w:after="0" w:line="195" w:lineRule="exact"/>
              <w:rPr>
                <w:rFonts w:ascii="Arial" w:cs="Arial" w:eastAsia="Arial" w:hAnsi="Arial"/>
                <w:sz w:val="18"/>
                <w:szCs w:val="18"/>
                <w:u w:val="single" w:color="auto"/>
                <w:color w:val="0000FF"/>
                <w:w w:val="99"/>
              </w:rPr>
            </w:pPr>
            <w:hyperlink r:id="rId121">
              <w:r>
                <w:rPr>
                  <w:rFonts w:ascii="Arial" w:cs="Arial" w:eastAsia="Arial" w:hAnsi="Arial"/>
                  <w:sz w:val="18"/>
                  <w:szCs w:val="18"/>
                  <w:u w:val="single" w:color="auto"/>
                  <w:color w:val="0000FF"/>
                  <w:w w:val="99"/>
                </w:rPr>
                <w:t>Registrant and Carsten Brunn, Ph.D.</w:t>
              </w:r>
            </w:hyperlink>
          </w:p>
        </w:tc>
        <w:tc>
          <w:tcPr>
            <w:tcW w:w="40" w:type="dxa"/>
            <w:vAlign w:val="bottom"/>
            <w:gridSpan w:val="2"/>
          </w:tcPr>
          <w:p>
            <w:pPr>
              <w:spacing w:after="0"/>
              <w:rPr>
                <w:sz w:val="16"/>
                <w:szCs w:val="16"/>
                <w:color w:val="auto"/>
              </w:rPr>
            </w:pPr>
          </w:p>
        </w:tc>
        <w:tc>
          <w:tcPr>
            <w:tcW w:w="220" w:type="dxa"/>
            <w:vAlign w:val="bottom"/>
            <w:gridSpan w:val="5"/>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15"/>
          </w:tcPr>
          <w:p>
            <w:pPr>
              <w:spacing w:after="0"/>
              <w:rPr>
                <w:sz w:val="16"/>
                <w:szCs w:val="16"/>
                <w:color w:val="auto"/>
              </w:rPr>
            </w:pPr>
          </w:p>
        </w:tc>
      </w:tr>
      <w:tr>
        <w:trPr>
          <w:trHeight w:val="190"/>
        </w:trPr>
        <w:tc>
          <w:tcPr>
            <w:tcW w:w="1600" w:type="dxa"/>
            <w:vAlign w:val="bottom"/>
          </w:tcPr>
          <w:p>
            <w:pPr>
              <w:jc w:val="center"/>
              <w:ind w:right="10"/>
              <w:spacing w:after="0" w:line="190" w:lineRule="exact"/>
              <w:rPr>
                <w:rFonts w:ascii="Arial" w:cs="Arial" w:eastAsia="Arial" w:hAnsi="Arial"/>
                <w:sz w:val="18"/>
                <w:szCs w:val="18"/>
                <w:u w:val="single" w:color="auto"/>
                <w:color w:val="0000FF"/>
                <w:w w:val="90"/>
              </w:rPr>
            </w:pPr>
            <w:hyperlink r:id="rId122">
              <w:r>
                <w:rPr>
                  <w:rFonts w:ascii="Arial" w:cs="Arial" w:eastAsia="Arial" w:hAnsi="Arial"/>
                  <w:sz w:val="18"/>
                  <w:szCs w:val="18"/>
                  <w:u w:val="single" w:color="auto"/>
                  <w:color w:val="0000FF"/>
                  <w:w w:val="90"/>
                </w:rPr>
                <w:t>10.14#</w:t>
              </w:r>
            </w:hyperlink>
          </w:p>
        </w:tc>
        <w:tc>
          <w:tcPr>
            <w:tcW w:w="3560" w:type="dxa"/>
            <w:vAlign w:val="bottom"/>
            <w:gridSpan w:val="38"/>
          </w:tcPr>
          <w:p>
            <w:pPr>
              <w:spacing w:after="0" w:line="190"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Employment Agreement, dated as of June 6,</w:t>
              </w:r>
            </w:hyperlink>
          </w:p>
        </w:tc>
      </w:tr>
      <w:tr>
        <w:trPr>
          <w:trHeight w:val="155"/>
        </w:trPr>
        <w:tc>
          <w:tcPr>
            <w:tcW w:w="1600" w:type="dxa"/>
            <w:vAlign w:val="bottom"/>
          </w:tcPr>
          <w:p>
            <w:pPr>
              <w:spacing w:after="0"/>
              <w:rPr>
                <w:sz w:val="13"/>
                <w:szCs w:val="13"/>
                <w:color w:val="auto"/>
              </w:rPr>
            </w:pPr>
          </w:p>
        </w:tc>
        <w:tc>
          <w:tcPr>
            <w:tcW w:w="3200" w:type="dxa"/>
            <w:vAlign w:val="bottom"/>
            <w:tcBorders>
              <w:top w:val="single" w:sz="8" w:color="0000FF"/>
            </w:tcBorders>
            <w:gridSpan w:val="20"/>
          </w:tcPr>
          <w:p>
            <w:pPr>
              <w:spacing w:after="0" w:line="156"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2016, by and between the Registrant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Takashi Kei Kishimoto</w:t>
              </w:r>
            </w:hyperlink>
          </w:p>
        </w:tc>
        <w:tc>
          <w:tcPr>
            <w:tcW w:w="1300" w:type="dxa"/>
            <w:vAlign w:val="bottom"/>
            <w:tcBorders>
              <w:top w:val="single" w:sz="8" w:color="0000FF"/>
            </w:tcBorders>
            <w:gridSpan w:val="12"/>
          </w:tcPr>
          <w:p>
            <w:pPr>
              <w:spacing w:after="0"/>
              <w:rPr>
                <w:sz w:val="13"/>
                <w:szCs w:val="13"/>
                <w:color w:val="auto"/>
              </w:rPr>
            </w:pPr>
          </w:p>
        </w:tc>
        <w:tc>
          <w:tcPr>
            <w:tcW w:w="2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10"/>
        </w:trPr>
        <w:tc>
          <w:tcPr>
            <w:tcW w:w="1600" w:type="dxa"/>
            <w:vAlign w:val="bottom"/>
          </w:tcPr>
          <w:p>
            <w:pPr>
              <w:jc w:val="center"/>
              <w:ind w:right="10"/>
              <w:spacing w:after="0"/>
              <w:rPr>
                <w:rFonts w:ascii="Arial" w:cs="Arial" w:eastAsia="Arial" w:hAnsi="Arial"/>
                <w:sz w:val="18"/>
                <w:szCs w:val="18"/>
                <w:u w:val="single" w:color="auto"/>
                <w:color w:val="0000FF"/>
                <w:w w:val="90"/>
              </w:rPr>
            </w:pPr>
            <w:hyperlink r:id="rId123">
              <w:r>
                <w:rPr>
                  <w:rFonts w:ascii="Arial" w:cs="Arial" w:eastAsia="Arial" w:hAnsi="Arial"/>
                  <w:sz w:val="18"/>
                  <w:szCs w:val="18"/>
                  <w:u w:val="single" w:color="auto"/>
                  <w:color w:val="0000FF"/>
                  <w:w w:val="90"/>
                </w:rPr>
                <w:t>10.15#</w:t>
              </w:r>
            </w:hyperlink>
          </w:p>
        </w:tc>
        <w:tc>
          <w:tcPr>
            <w:tcW w:w="3560" w:type="dxa"/>
            <w:vAlign w:val="bottom"/>
            <w:gridSpan w:val="38"/>
          </w:tcPr>
          <w:p>
            <w:pPr>
              <w:spacing w:after="0"/>
              <w:rPr>
                <w:rFonts w:ascii="Arial" w:cs="Arial" w:eastAsia="Arial" w:hAnsi="Arial"/>
                <w:sz w:val="18"/>
                <w:szCs w:val="18"/>
                <w:color w:val="0000FF"/>
                <w:w w:val="99"/>
              </w:rPr>
            </w:pPr>
            <w:hyperlink r:id="rId123">
              <w:r>
                <w:rPr>
                  <w:rFonts w:ascii="Arial" w:cs="Arial" w:eastAsia="Arial" w:hAnsi="Arial"/>
                  <w:sz w:val="18"/>
                  <w:szCs w:val="18"/>
                  <w:color w:val="0000FF"/>
                  <w:w w:val="99"/>
                </w:rPr>
                <w:t>Employment Agreement, dated as of June 6,</w:t>
              </w:r>
            </w:hyperlink>
          </w:p>
        </w:tc>
      </w:tr>
      <w:tr>
        <w:trPr>
          <w:trHeight w:val="155"/>
        </w:trPr>
        <w:tc>
          <w:tcPr>
            <w:tcW w:w="1600" w:type="dxa"/>
            <w:vAlign w:val="bottom"/>
          </w:tcPr>
          <w:p>
            <w:pPr>
              <w:spacing w:after="0"/>
              <w:rPr>
                <w:sz w:val="13"/>
                <w:szCs w:val="13"/>
                <w:color w:val="auto"/>
              </w:rPr>
            </w:pPr>
          </w:p>
        </w:tc>
        <w:tc>
          <w:tcPr>
            <w:tcW w:w="3200" w:type="dxa"/>
            <w:vAlign w:val="bottom"/>
            <w:tcBorders>
              <w:top w:val="single" w:sz="8" w:color="0000FF"/>
            </w:tcBorders>
            <w:gridSpan w:val="20"/>
          </w:tcPr>
          <w:p>
            <w:pPr>
              <w:spacing w:after="0" w:line="156" w:lineRule="exact"/>
              <w:rPr>
                <w:rFonts w:ascii="Arial" w:cs="Arial" w:eastAsia="Arial" w:hAnsi="Arial"/>
                <w:sz w:val="18"/>
                <w:szCs w:val="18"/>
                <w:color w:val="0000FF"/>
                <w:w w:val="96"/>
              </w:rPr>
            </w:pPr>
            <w:hyperlink r:id="rId123">
              <w:r>
                <w:rPr>
                  <w:rFonts w:ascii="Arial" w:cs="Arial" w:eastAsia="Arial" w:hAnsi="Arial"/>
                  <w:sz w:val="18"/>
                  <w:szCs w:val="18"/>
                  <w:color w:val="0000FF"/>
                  <w:w w:val="96"/>
                </w:rPr>
                <w:t>2016, by and between the Registrant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Lloyd P. M. Johnston, Ph.D.</w:t>
              </w:r>
            </w:hyperlink>
          </w:p>
        </w:tc>
        <w:tc>
          <w:tcPr>
            <w:tcW w:w="940" w:type="dxa"/>
            <w:vAlign w:val="bottom"/>
            <w:tcBorders>
              <w:top w:val="single" w:sz="8" w:color="0000FF"/>
            </w:tcBorders>
            <w:gridSpan w:val="9"/>
          </w:tcPr>
          <w:p>
            <w:pPr>
              <w:spacing w:after="0"/>
              <w:rPr>
                <w:sz w:val="13"/>
                <w:szCs w:val="13"/>
                <w:color w:val="auto"/>
              </w:rPr>
            </w:pPr>
          </w:p>
        </w:tc>
        <w:tc>
          <w:tcPr>
            <w:tcW w:w="2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10"/>
        </w:trPr>
        <w:tc>
          <w:tcPr>
            <w:tcW w:w="1600" w:type="dxa"/>
            <w:vAlign w:val="bottom"/>
          </w:tcPr>
          <w:p>
            <w:pPr>
              <w:jc w:val="center"/>
              <w:ind w:right="10"/>
              <w:spacing w:after="0"/>
              <w:rPr>
                <w:rFonts w:ascii="Arial" w:cs="Arial" w:eastAsia="Arial" w:hAnsi="Arial"/>
                <w:sz w:val="18"/>
                <w:szCs w:val="18"/>
                <w:u w:val="single" w:color="auto"/>
                <w:color w:val="0000FF"/>
                <w:w w:val="90"/>
              </w:rPr>
            </w:pPr>
            <w:hyperlink r:id="rId124">
              <w:r>
                <w:rPr>
                  <w:rFonts w:ascii="Arial" w:cs="Arial" w:eastAsia="Arial" w:hAnsi="Arial"/>
                  <w:sz w:val="18"/>
                  <w:szCs w:val="18"/>
                  <w:u w:val="single" w:color="auto"/>
                  <w:color w:val="0000FF"/>
                  <w:w w:val="90"/>
                </w:rPr>
                <w:t>10.16#</w:t>
              </w:r>
            </w:hyperlink>
          </w:p>
        </w:tc>
        <w:tc>
          <w:tcPr>
            <w:tcW w:w="3560" w:type="dxa"/>
            <w:vAlign w:val="bottom"/>
            <w:gridSpan w:val="38"/>
          </w:tcPr>
          <w:p>
            <w:pPr>
              <w:spacing w:after="0"/>
              <w:rPr>
                <w:rFonts w:ascii="Arial" w:cs="Arial" w:eastAsia="Arial" w:hAnsi="Arial"/>
                <w:sz w:val="18"/>
                <w:szCs w:val="18"/>
                <w:color w:val="0000FF"/>
              </w:rPr>
            </w:pPr>
            <w:hyperlink r:id="rId124">
              <w:r>
                <w:rPr>
                  <w:rFonts w:ascii="Arial" w:cs="Arial" w:eastAsia="Arial" w:hAnsi="Arial"/>
                  <w:sz w:val="18"/>
                  <w:szCs w:val="18"/>
                  <w:color w:val="0000FF"/>
                </w:rPr>
                <w:t>Employment Agreement, dated as of August</w:t>
              </w:r>
            </w:hyperlink>
          </w:p>
        </w:tc>
      </w:tr>
      <w:tr>
        <w:trPr>
          <w:trHeight w:val="155"/>
        </w:trPr>
        <w:tc>
          <w:tcPr>
            <w:tcW w:w="1600" w:type="dxa"/>
            <w:vAlign w:val="bottom"/>
          </w:tcPr>
          <w:p>
            <w:pPr>
              <w:spacing w:after="0"/>
              <w:rPr>
                <w:sz w:val="13"/>
                <w:szCs w:val="13"/>
                <w:color w:val="auto"/>
              </w:rPr>
            </w:pPr>
          </w:p>
        </w:tc>
        <w:tc>
          <w:tcPr>
            <w:tcW w:w="3260" w:type="dxa"/>
            <w:vAlign w:val="bottom"/>
            <w:tcBorders>
              <w:top w:val="single" w:sz="8" w:color="0000FF"/>
            </w:tcBorders>
            <w:gridSpan w:val="23"/>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12, 2019, by and between the Registrant and</w:t>
              </w:r>
            </w:hyperlink>
          </w:p>
        </w:tc>
        <w:tc>
          <w:tcPr>
            <w:tcW w:w="300" w:type="dxa"/>
            <w:vAlign w:val="bottom"/>
            <w:gridSpan w:val="15"/>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32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Bradford D. Dahms</w:t>
              </w:r>
            </w:hyperlink>
          </w:p>
        </w:tc>
        <w:tc>
          <w:tcPr>
            <w:tcW w:w="320" w:type="dxa"/>
            <w:vAlign w:val="bottom"/>
            <w:gridSpan w:val="16"/>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8-K/A</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10.3(a)</w:t>
            </w:r>
          </w:p>
        </w:tc>
        <w:tc>
          <w:tcPr>
            <w:tcW w:w="1100" w:type="dxa"/>
            <w:vAlign w:val="bottom"/>
          </w:tcPr>
          <w:p>
            <w:pPr>
              <w:ind w:left="280"/>
              <w:spacing w:after="0"/>
              <w:rPr>
                <w:sz w:val="20"/>
                <w:szCs w:val="20"/>
                <w:color w:val="auto"/>
              </w:rPr>
            </w:pPr>
            <w:r>
              <w:rPr>
                <w:rFonts w:ascii="Arial" w:cs="Arial" w:eastAsia="Arial" w:hAnsi="Arial"/>
                <w:sz w:val="18"/>
                <w:szCs w:val="18"/>
                <w:color w:val="auto"/>
                <w:w w:val="88"/>
              </w:rPr>
              <w:t>12/14/2016</w:t>
            </w:r>
          </w:p>
        </w:tc>
      </w:tr>
      <w:tr>
        <w:trPr>
          <w:trHeight w:val="931"/>
        </w:trPr>
        <w:tc>
          <w:tcPr>
            <w:tcW w:w="760" w:type="dxa"/>
            <w:vAlign w:val="bottom"/>
          </w:tcPr>
          <w:p>
            <w:pPr>
              <w:spacing w:after="0"/>
              <w:rPr>
                <w:sz w:val="20"/>
                <w:szCs w:val="20"/>
                <w:color w:val="auto"/>
              </w:rPr>
            </w:pPr>
            <w:r>
              <w:rPr>
                <w:rFonts w:ascii="Arial" w:cs="Arial" w:eastAsia="Arial" w:hAnsi="Arial"/>
                <w:sz w:val="18"/>
                <w:szCs w:val="18"/>
                <w:color w:val="auto"/>
              </w:rPr>
              <w:t>8-K/A</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10.3(b)</w:t>
            </w:r>
          </w:p>
        </w:tc>
        <w:tc>
          <w:tcPr>
            <w:tcW w:w="1100" w:type="dxa"/>
            <w:vAlign w:val="bottom"/>
          </w:tcPr>
          <w:p>
            <w:pPr>
              <w:ind w:left="280"/>
              <w:spacing w:after="0"/>
              <w:rPr>
                <w:sz w:val="20"/>
                <w:szCs w:val="20"/>
                <w:color w:val="auto"/>
              </w:rPr>
            </w:pPr>
            <w:r>
              <w:rPr>
                <w:rFonts w:ascii="Arial" w:cs="Arial" w:eastAsia="Arial" w:hAnsi="Arial"/>
                <w:sz w:val="18"/>
                <w:szCs w:val="18"/>
                <w:color w:val="auto"/>
                <w:w w:val="88"/>
              </w:rPr>
              <w:t>12/14/2016</w:t>
            </w:r>
          </w:p>
        </w:tc>
      </w:tr>
      <w:tr>
        <w:trPr>
          <w:trHeight w:val="581"/>
        </w:trPr>
        <w:tc>
          <w:tcPr>
            <w:tcW w:w="760" w:type="dxa"/>
            <w:vAlign w:val="bottom"/>
          </w:tcPr>
          <w:p>
            <w:pPr>
              <w:spacing w:after="0"/>
              <w:rPr>
                <w:sz w:val="20"/>
                <w:szCs w:val="20"/>
                <w:color w:val="auto"/>
              </w:rPr>
            </w:pPr>
            <w:r>
              <w:rPr>
                <w:rFonts w:ascii="Arial" w:cs="Arial" w:eastAsia="Arial" w:hAnsi="Arial"/>
                <w:sz w:val="18"/>
                <w:szCs w:val="18"/>
                <w:color w:val="auto"/>
              </w:rPr>
              <w:t>8-K/A</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10.3(c)</w:t>
            </w:r>
          </w:p>
        </w:tc>
        <w:tc>
          <w:tcPr>
            <w:tcW w:w="1100" w:type="dxa"/>
            <w:vAlign w:val="bottom"/>
          </w:tcPr>
          <w:p>
            <w:pPr>
              <w:ind w:left="280"/>
              <w:spacing w:after="0"/>
              <w:rPr>
                <w:sz w:val="20"/>
                <w:szCs w:val="20"/>
                <w:color w:val="auto"/>
              </w:rPr>
            </w:pPr>
            <w:r>
              <w:rPr>
                <w:rFonts w:ascii="Arial" w:cs="Arial" w:eastAsia="Arial" w:hAnsi="Arial"/>
                <w:sz w:val="18"/>
                <w:szCs w:val="18"/>
                <w:color w:val="auto"/>
                <w:w w:val="88"/>
              </w:rPr>
              <w:t>12/14/2016</w:t>
            </w:r>
          </w:p>
        </w:tc>
      </w:tr>
      <w:tr>
        <w:trPr>
          <w:trHeight w:val="7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10.7(i)</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3/12/2020</w:t>
            </w:r>
          </w:p>
        </w:tc>
      </w:tr>
      <w:tr>
        <w:trPr>
          <w:trHeight w:val="756"/>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1100" w:type="dxa"/>
            <w:vAlign w:val="bottom"/>
          </w:tcPr>
          <w:p>
            <w:pPr>
              <w:ind w:left="280"/>
              <w:spacing w:after="0"/>
              <w:rPr>
                <w:sz w:val="20"/>
                <w:szCs w:val="20"/>
                <w:color w:val="auto"/>
              </w:rPr>
            </w:pPr>
            <w:r>
              <w:rPr>
                <w:rFonts w:ascii="Arial" w:cs="Arial" w:eastAsia="Arial" w:hAnsi="Arial"/>
                <w:sz w:val="18"/>
                <w:szCs w:val="18"/>
                <w:color w:val="auto"/>
              </w:rPr>
              <w:t>8/6/2020</w:t>
            </w:r>
          </w:p>
        </w:tc>
      </w:tr>
      <w:tr>
        <w:trPr>
          <w:trHeight w:val="756"/>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10.6</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8/11/2017</w:t>
            </w:r>
          </w:p>
        </w:tc>
      </w:tr>
      <w:tr>
        <w:trPr>
          <w:trHeight w:val="756"/>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10.10</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5/24/2016</w:t>
            </w:r>
          </w:p>
        </w:tc>
      </w:tr>
      <w:tr>
        <w:trPr>
          <w:trHeight w:val="756"/>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10.13</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5/24/2016</w:t>
            </w:r>
          </w:p>
        </w:tc>
      </w:tr>
      <w:tr>
        <w:trPr>
          <w:trHeight w:val="1282"/>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9/14/2016</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10.3</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11/8/2019</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10.2</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9/27/2018</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44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10.18</w:t>
            </w:r>
          </w:p>
        </w:tc>
        <w:tc>
          <w:tcPr>
            <w:tcW w:w="1100" w:type="dxa"/>
            <w:vAlign w:val="bottom"/>
          </w:tcPr>
          <w:p>
            <w:pPr>
              <w:ind w:left="280"/>
              <w:spacing w:after="0"/>
              <w:rPr>
                <w:sz w:val="20"/>
                <w:szCs w:val="20"/>
                <w:color w:val="auto"/>
              </w:rPr>
            </w:pPr>
            <w:r>
              <w:rPr>
                <w:rFonts w:ascii="Arial" w:cs="Arial" w:eastAsia="Arial" w:hAnsi="Arial"/>
                <w:sz w:val="18"/>
                <w:szCs w:val="18"/>
                <w:color w:val="auto"/>
              </w:rPr>
              <w:t>6/8/2016</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440" w:type="dxa"/>
            <w:vAlign w:val="bottom"/>
          </w:tcPr>
          <w:p>
            <w:pPr>
              <w:ind w:left="200"/>
              <w:spacing w:after="0"/>
              <w:rPr>
                <w:sz w:val="20"/>
                <w:szCs w:val="20"/>
                <w:color w:val="auto"/>
              </w:rPr>
            </w:pPr>
            <w:r>
              <w:rPr>
                <w:rFonts w:ascii="Arial" w:cs="Arial" w:eastAsia="Arial" w:hAnsi="Arial"/>
                <w:sz w:val="18"/>
                <w:szCs w:val="18"/>
                <w:color w:val="auto"/>
              </w:rPr>
              <w:t>333-211555</w:t>
            </w:r>
          </w:p>
        </w:tc>
        <w:tc>
          <w:tcPr>
            <w:tcW w:w="1160" w:type="dxa"/>
            <w:vAlign w:val="bottom"/>
          </w:tcPr>
          <w:p>
            <w:pPr>
              <w:ind w:left="360"/>
              <w:spacing w:after="0"/>
              <w:rPr>
                <w:sz w:val="20"/>
                <w:szCs w:val="20"/>
                <w:color w:val="auto"/>
              </w:rPr>
            </w:pPr>
            <w:r>
              <w:rPr>
                <w:rFonts w:ascii="Arial" w:cs="Arial" w:eastAsia="Arial" w:hAnsi="Arial"/>
                <w:sz w:val="18"/>
                <w:szCs w:val="18"/>
                <w:color w:val="auto"/>
              </w:rPr>
              <w:t>10.21</w:t>
            </w:r>
          </w:p>
        </w:tc>
        <w:tc>
          <w:tcPr>
            <w:tcW w:w="1100" w:type="dxa"/>
            <w:vAlign w:val="bottom"/>
          </w:tcPr>
          <w:p>
            <w:pPr>
              <w:ind w:left="280"/>
              <w:spacing w:after="0"/>
              <w:rPr>
                <w:sz w:val="20"/>
                <w:szCs w:val="20"/>
                <w:color w:val="auto"/>
              </w:rPr>
            </w:pPr>
            <w:r>
              <w:rPr>
                <w:rFonts w:ascii="Arial" w:cs="Arial" w:eastAsia="Arial" w:hAnsi="Arial"/>
                <w:sz w:val="18"/>
                <w:szCs w:val="18"/>
                <w:color w:val="auto"/>
              </w:rPr>
              <w:t>6/8/2016</w:t>
            </w:r>
          </w:p>
        </w:tc>
      </w:tr>
      <w:tr>
        <w:trPr>
          <w:trHeight w:val="581"/>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440" w:type="dxa"/>
            <w:vAlign w:val="bottom"/>
          </w:tcPr>
          <w:p>
            <w:pPr>
              <w:ind w:left="200"/>
              <w:spacing w:after="0"/>
              <w:rPr>
                <w:sz w:val="20"/>
                <w:szCs w:val="20"/>
                <w:color w:val="auto"/>
              </w:rPr>
            </w:pPr>
            <w:r>
              <w:rPr>
                <w:rFonts w:ascii="Arial" w:cs="Arial" w:eastAsia="Arial" w:hAnsi="Arial"/>
                <w:sz w:val="18"/>
                <w:szCs w:val="18"/>
                <w:color w:val="auto"/>
              </w:rPr>
              <w:t>001-37798</w:t>
            </w:r>
          </w:p>
        </w:tc>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11/8/2019</w:t>
            </w:r>
          </w:p>
        </w:tc>
      </w:tr>
      <w:tr>
        <w:trPr>
          <w:trHeight w:val="1188"/>
        </w:trPr>
        <w:tc>
          <w:tcPr>
            <w:tcW w:w="760" w:type="dxa"/>
            <w:vAlign w:val="bottom"/>
          </w:tcPr>
          <w:p>
            <w:pPr>
              <w:ind w:left="380"/>
              <w:spacing w:after="0"/>
              <w:rPr>
                <w:sz w:val="20"/>
                <w:szCs w:val="20"/>
                <w:color w:val="auto"/>
              </w:rPr>
            </w:pPr>
            <w:r>
              <w:rPr>
                <w:rFonts w:ascii="Arial" w:cs="Arial" w:eastAsia="Arial" w:hAnsi="Arial"/>
                <w:sz w:val="18"/>
                <w:szCs w:val="18"/>
                <w:color w:val="auto"/>
              </w:rPr>
              <w:t>72</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68580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80" w:space="180"/>
            <w:col w:w="4979"/>
          </w:cols>
          <w:pgMar w:left="320" w:top="125"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850"/>
        </w:trPr>
        <w:tc>
          <w:tcPr>
            <w:tcW w:w="1600" w:type="dxa"/>
            <w:vAlign w:val="bottom"/>
          </w:tcPr>
          <w:p>
            <w:pPr>
              <w:jc w:val="center"/>
              <w:ind w:right="10"/>
              <w:spacing w:after="0"/>
              <w:rPr>
                <w:rFonts w:ascii="Arial" w:cs="Arial" w:eastAsia="Arial" w:hAnsi="Arial"/>
                <w:sz w:val="18"/>
                <w:szCs w:val="18"/>
                <w:u w:val="single" w:color="auto"/>
                <w:color w:val="0000FF"/>
                <w:w w:val="90"/>
              </w:rPr>
            </w:pPr>
            <w:hyperlink r:id="rId126">
              <w:r>
                <w:rPr>
                  <w:rFonts w:ascii="Arial" w:cs="Arial" w:eastAsia="Arial" w:hAnsi="Arial"/>
                  <w:sz w:val="18"/>
                  <w:szCs w:val="18"/>
                  <w:u w:val="single" w:color="auto"/>
                  <w:color w:val="0000FF"/>
                  <w:w w:val="90"/>
                </w:rPr>
                <w:t>10.17#</w:t>
              </w:r>
            </w:hyperlink>
          </w:p>
        </w:tc>
        <w:tc>
          <w:tcPr>
            <w:tcW w:w="3500" w:type="dxa"/>
            <w:vAlign w:val="bottom"/>
            <w:gridSpan w:val="32"/>
          </w:tcPr>
          <w:p>
            <w:pPr>
              <w:spacing w:after="0"/>
              <w:rPr>
                <w:rFonts w:ascii="Arial" w:cs="Arial" w:eastAsia="Arial" w:hAnsi="Arial"/>
                <w:sz w:val="18"/>
                <w:szCs w:val="18"/>
                <w:color w:val="0000FF"/>
                <w:w w:val="96"/>
              </w:rPr>
            </w:pPr>
            <w:hyperlink r:id="rId126">
              <w:r>
                <w:rPr>
                  <w:rFonts w:ascii="Arial" w:cs="Arial" w:eastAsia="Arial" w:hAnsi="Arial"/>
                  <w:sz w:val="18"/>
                  <w:szCs w:val="18"/>
                  <w:color w:val="0000FF"/>
                  <w:w w:val="96"/>
                </w:rPr>
                <w:t>Employment Agreement, dated as of July 31,</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rPr>
                <w:sz w:val="20"/>
                <w:szCs w:val="20"/>
                <w:color w:val="auto"/>
              </w:rPr>
            </w:pPr>
            <w:r>
              <w:rPr>
                <w:rFonts w:ascii="Arial" w:cs="Arial" w:eastAsia="Arial" w:hAnsi="Arial"/>
                <w:sz w:val="18"/>
                <w:szCs w:val="18"/>
                <w:color w:val="auto"/>
              </w:rPr>
              <w:t>10.1</w:t>
            </w:r>
          </w:p>
        </w:tc>
        <w:tc>
          <w:tcPr>
            <w:tcW w:w="2740" w:type="dxa"/>
            <w:vAlign w:val="bottom"/>
          </w:tcPr>
          <w:p>
            <w:pPr>
              <w:ind w:left="300"/>
              <w:spacing w:after="0"/>
              <w:rPr>
                <w:sz w:val="20"/>
                <w:szCs w:val="20"/>
                <w:color w:val="auto"/>
              </w:rPr>
            </w:pPr>
            <w:r>
              <w:rPr>
                <w:rFonts w:ascii="Arial" w:cs="Arial" w:eastAsia="Arial" w:hAnsi="Arial"/>
                <w:sz w:val="18"/>
                <w:szCs w:val="18"/>
                <w:color w:val="auto"/>
              </w:rPr>
              <w:t>11/5/2020</w:t>
            </w:r>
          </w:p>
        </w:tc>
      </w:tr>
      <w:tr>
        <w:trPr>
          <w:trHeight w:val="156"/>
        </w:trPr>
        <w:tc>
          <w:tcPr>
            <w:tcW w:w="160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6"/>
              </w:rPr>
            </w:pPr>
            <w:hyperlink r:id="rId126">
              <w:r>
                <w:rPr>
                  <w:rFonts w:ascii="Arial" w:cs="Arial" w:eastAsia="Arial" w:hAnsi="Arial"/>
                  <w:sz w:val="18"/>
                  <w:szCs w:val="18"/>
                  <w:color w:val="0000FF"/>
                  <w:w w:val="86"/>
                </w:rPr>
                <w:t>2020, by and between the Registrant and Peter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1120" w:type="dxa"/>
            <w:vAlign w:val="bottom"/>
            <w:tcBorders>
              <w:bottom w:val="single" w:sz="8" w:color="0000FF"/>
            </w:tcBorders>
            <w:gridSpan w:val="4"/>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G. Traber, M.D</w:t>
              </w:r>
            </w:hyperlink>
          </w:p>
        </w:tc>
        <w:tc>
          <w:tcPr>
            <w:tcW w:w="224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10"/>
        </w:trPr>
        <w:tc>
          <w:tcPr>
            <w:tcW w:w="1600" w:type="dxa"/>
            <w:vAlign w:val="bottom"/>
          </w:tcPr>
          <w:p>
            <w:pPr>
              <w:jc w:val="center"/>
              <w:ind w:right="10"/>
              <w:spacing w:after="0"/>
              <w:rPr>
                <w:rFonts w:ascii="Arial" w:cs="Arial" w:eastAsia="Arial" w:hAnsi="Arial"/>
                <w:sz w:val="18"/>
                <w:szCs w:val="18"/>
                <w:u w:val="single" w:color="auto"/>
                <w:color w:val="0000FF"/>
                <w:w w:val="90"/>
              </w:rPr>
            </w:pPr>
            <w:hyperlink r:id="rId127">
              <w:r>
                <w:rPr>
                  <w:rFonts w:ascii="Arial" w:cs="Arial" w:eastAsia="Arial" w:hAnsi="Arial"/>
                  <w:sz w:val="18"/>
                  <w:szCs w:val="18"/>
                  <w:u w:val="single" w:color="auto"/>
                  <w:color w:val="0000FF"/>
                  <w:w w:val="90"/>
                </w:rPr>
                <w:t>10.18†</w:t>
              </w:r>
            </w:hyperlink>
          </w:p>
        </w:tc>
        <w:tc>
          <w:tcPr>
            <w:tcW w:w="3500" w:type="dxa"/>
            <w:vAlign w:val="bottom"/>
            <w:gridSpan w:val="32"/>
          </w:tcPr>
          <w:p>
            <w:pPr>
              <w:spacing w:after="0"/>
              <w:rPr>
                <w:rFonts w:ascii="Arial" w:cs="Arial" w:eastAsia="Arial" w:hAnsi="Arial"/>
                <w:sz w:val="18"/>
                <w:szCs w:val="18"/>
                <w:color w:val="0000FF"/>
              </w:rPr>
            </w:pPr>
            <w:hyperlink r:id="rId127">
              <w:r>
                <w:rPr>
                  <w:rFonts w:ascii="Arial" w:cs="Arial" w:eastAsia="Arial" w:hAnsi="Arial"/>
                  <w:sz w:val="18"/>
                  <w:szCs w:val="18"/>
                  <w:color w:val="0000FF"/>
                </w:rPr>
                <w:t>Stock Purchase Agreement, dated as of</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8-K/A</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rPr>
                <w:sz w:val="20"/>
                <w:szCs w:val="20"/>
                <w:color w:val="auto"/>
              </w:rPr>
            </w:pPr>
            <w:r>
              <w:rPr>
                <w:rFonts w:ascii="Arial" w:cs="Arial" w:eastAsia="Arial" w:hAnsi="Arial"/>
                <w:sz w:val="18"/>
                <w:szCs w:val="18"/>
                <w:color w:val="auto"/>
              </w:rPr>
              <w:t>10.2</w:t>
            </w:r>
          </w:p>
        </w:tc>
        <w:tc>
          <w:tcPr>
            <w:tcW w:w="2740" w:type="dxa"/>
            <w:vAlign w:val="bottom"/>
          </w:tcPr>
          <w:p>
            <w:pPr>
              <w:ind w:left="300"/>
              <w:spacing w:after="0"/>
              <w:rPr>
                <w:sz w:val="20"/>
                <w:szCs w:val="20"/>
                <w:color w:val="auto"/>
              </w:rPr>
            </w:pPr>
            <w:r>
              <w:rPr>
                <w:rFonts w:ascii="Arial" w:cs="Arial" w:eastAsia="Arial" w:hAnsi="Arial"/>
                <w:sz w:val="18"/>
                <w:szCs w:val="18"/>
                <w:color w:val="auto"/>
              </w:rPr>
              <w:t>12/14/2016</w:t>
            </w: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3500" w:type="dxa"/>
            <w:vAlign w:val="bottom"/>
            <w:gridSpan w:val="32"/>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December 2, 2016, by and between Spark</w:t>
              </w:r>
            </w:hyperlink>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95"/>
        </w:trPr>
        <w:tc>
          <w:tcPr>
            <w:tcW w:w="1600" w:type="dxa"/>
            <w:vAlign w:val="bottom"/>
          </w:tcPr>
          <w:p>
            <w:pPr>
              <w:spacing w:after="0"/>
              <w:rPr>
                <w:sz w:val="16"/>
                <w:szCs w:val="16"/>
                <w:color w:val="auto"/>
              </w:rPr>
            </w:pPr>
          </w:p>
        </w:tc>
        <w:tc>
          <w:tcPr>
            <w:tcW w:w="3020" w:type="dxa"/>
            <w:vAlign w:val="bottom"/>
            <w:tcBorders>
              <w:top w:val="single" w:sz="8" w:color="0000FF"/>
            </w:tcBorders>
            <w:gridSpan w:val="14"/>
          </w:tcPr>
          <w:p>
            <w:pPr>
              <w:spacing w:after="0" w:line="195" w:lineRule="exact"/>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Therapeutics, Inc. and the Registrant</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0"/>
        </w:trPr>
        <w:tc>
          <w:tcPr>
            <w:tcW w:w="1600" w:type="dxa"/>
            <w:vAlign w:val="bottom"/>
          </w:tcPr>
          <w:p>
            <w:pPr>
              <w:jc w:val="center"/>
              <w:ind w:right="10"/>
              <w:spacing w:after="0" w:line="190" w:lineRule="exact"/>
              <w:rPr>
                <w:rFonts w:ascii="Arial" w:cs="Arial" w:eastAsia="Arial" w:hAnsi="Arial"/>
                <w:sz w:val="18"/>
                <w:szCs w:val="18"/>
                <w:u w:val="single" w:color="auto"/>
                <w:color w:val="0000FF"/>
                <w:w w:val="90"/>
              </w:rPr>
            </w:pPr>
            <w:hyperlink r:id="rId128">
              <w:r>
                <w:rPr>
                  <w:rFonts w:ascii="Arial" w:cs="Arial" w:eastAsia="Arial" w:hAnsi="Arial"/>
                  <w:sz w:val="18"/>
                  <w:szCs w:val="18"/>
                  <w:u w:val="single" w:color="auto"/>
                  <w:color w:val="0000FF"/>
                  <w:w w:val="90"/>
                </w:rPr>
                <w:t>10.19†</w:t>
              </w:r>
            </w:hyperlink>
          </w:p>
        </w:tc>
        <w:tc>
          <w:tcPr>
            <w:tcW w:w="3500" w:type="dxa"/>
            <w:vAlign w:val="bottom"/>
            <w:gridSpan w:val="32"/>
          </w:tcPr>
          <w:p>
            <w:pPr>
              <w:spacing w:after="0" w:line="190"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Feasibility Study and License Agreement by</w:t>
              </w:r>
            </w:hyperlink>
          </w:p>
        </w:tc>
        <w:tc>
          <w:tcPr>
            <w:tcW w:w="820" w:type="dxa"/>
            <w:vAlign w:val="bottom"/>
          </w:tcPr>
          <w:p>
            <w:pPr>
              <w:ind w:left="60"/>
              <w:spacing w:after="0" w:line="190" w:lineRule="exact"/>
              <w:rPr>
                <w:sz w:val="20"/>
                <w:szCs w:val="20"/>
                <w:color w:val="auto"/>
              </w:rPr>
            </w:pPr>
            <w:r>
              <w:rPr>
                <w:rFonts w:ascii="Arial" w:cs="Arial" w:eastAsia="Arial" w:hAnsi="Arial"/>
                <w:sz w:val="18"/>
                <w:szCs w:val="18"/>
                <w:color w:val="auto"/>
              </w:rPr>
              <w:t>10-Q</w:t>
            </w:r>
          </w:p>
        </w:tc>
        <w:tc>
          <w:tcPr>
            <w:tcW w:w="1440" w:type="dxa"/>
            <w:vAlign w:val="bottom"/>
          </w:tcPr>
          <w:p>
            <w:pPr>
              <w:ind w:left="220"/>
              <w:spacing w:after="0" w:line="190" w:lineRule="exact"/>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line="190" w:lineRule="exact"/>
              <w:rPr>
                <w:sz w:val="20"/>
                <w:szCs w:val="20"/>
                <w:color w:val="auto"/>
              </w:rPr>
            </w:pPr>
            <w:r>
              <w:rPr>
                <w:rFonts w:ascii="Arial" w:cs="Arial" w:eastAsia="Arial" w:hAnsi="Arial"/>
                <w:sz w:val="18"/>
                <w:szCs w:val="18"/>
                <w:color w:val="auto"/>
              </w:rPr>
              <w:t>10.2</w:t>
            </w:r>
          </w:p>
        </w:tc>
        <w:tc>
          <w:tcPr>
            <w:tcW w:w="2740" w:type="dxa"/>
            <w:vAlign w:val="bottom"/>
          </w:tcPr>
          <w:p>
            <w:pPr>
              <w:ind w:left="300"/>
              <w:spacing w:after="0" w:line="190" w:lineRule="exact"/>
              <w:rPr>
                <w:sz w:val="20"/>
                <w:szCs w:val="20"/>
                <w:color w:val="auto"/>
              </w:rPr>
            </w:pPr>
            <w:r>
              <w:rPr>
                <w:rFonts w:ascii="Arial" w:cs="Arial" w:eastAsia="Arial" w:hAnsi="Arial"/>
                <w:sz w:val="18"/>
                <w:szCs w:val="18"/>
                <w:color w:val="auto"/>
              </w:rPr>
              <w:t>11/8/2019</w:t>
            </w:r>
          </w:p>
        </w:tc>
      </w:tr>
      <w:tr>
        <w:trPr>
          <w:trHeight w:val="156"/>
        </w:trPr>
        <w:tc>
          <w:tcPr>
            <w:tcW w:w="160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and between Asklepios BioPharmaceutical,</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3500" w:type="dxa"/>
            <w:vAlign w:val="bottom"/>
            <w:gridSpan w:val="32"/>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Inc. and Selecta Biosciences, Inc. dated August</w:t>
              </w:r>
            </w:hyperlink>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5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6"/>
              </w:rPr>
            </w:pPr>
            <w:hyperlink r:id="rId128">
              <w:r>
                <w:rPr>
                  <w:rFonts w:ascii="Arial" w:cs="Arial" w:eastAsia="Arial" w:hAnsi="Arial"/>
                  <w:sz w:val="18"/>
                  <w:szCs w:val="18"/>
                  <w:color w:val="0000FF"/>
                  <w:w w:val="86"/>
                </w:rPr>
                <w:t>6, 2019</w:t>
              </w:r>
            </w:hyperlink>
          </w:p>
        </w:tc>
        <w:tc>
          <w:tcPr>
            <w:tcW w:w="5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77"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9"/>
        </w:trPr>
        <w:tc>
          <w:tcPr>
            <w:tcW w:w="1600" w:type="dxa"/>
            <w:vAlign w:val="bottom"/>
          </w:tcPr>
          <w:p>
            <w:pPr>
              <w:jc w:val="center"/>
              <w:ind w:right="10"/>
              <w:spacing w:after="0"/>
              <w:rPr>
                <w:rFonts w:ascii="Arial" w:cs="Arial" w:eastAsia="Arial" w:hAnsi="Arial"/>
                <w:sz w:val="18"/>
                <w:szCs w:val="18"/>
                <w:u w:val="single" w:color="auto"/>
                <w:color w:val="0000FF"/>
                <w:w w:val="90"/>
              </w:rPr>
            </w:pPr>
            <w:hyperlink r:id="rId129">
              <w:r>
                <w:rPr>
                  <w:rFonts w:ascii="Arial" w:cs="Arial" w:eastAsia="Arial" w:hAnsi="Arial"/>
                  <w:sz w:val="18"/>
                  <w:szCs w:val="18"/>
                  <w:u w:val="single" w:color="auto"/>
                  <w:color w:val="0000FF"/>
                  <w:w w:val="90"/>
                </w:rPr>
                <w:t>10.20†</w:t>
              </w:r>
            </w:hyperlink>
          </w:p>
        </w:tc>
        <w:tc>
          <w:tcPr>
            <w:tcW w:w="3500" w:type="dxa"/>
            <w:vAlign w:val="bottom"/>
            <w:gridSpan w:val="32"/>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License and Development Agreement, dated as</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10-Q</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rPr>
                <w:sz w:val="20"/>
                <w:szCs w:val="20"/>
                <w:color w:val="auto"/>
              </w:rPr>
            </w:pPr>
            <w:r>
              <w:rPr>
                <w:rFonts w:ascii="Arial" w:cs="Arial" w:eastAsia="Arial" w:hAnsi="Arial"/>
                <w:sz w:val="18"/>
                <w:szCs w:val="18"/>
                <w:color w:val="auto"/>
              </w:rPr>
              <w:t>10.2</w:t>
            </w:r>
          </w:p>
        </w:tc>
        <w:tc>
          <w:tcPr>
            <w:tcW w:w="2740" w:type="dxa"/>
            <w:vAlign w:val="bottom"/>
          </w:tcPr>
          <w:p>
            <w:pPr>
              <w:ind w:left="300"/>
              <w:spacing w:after="0"/>
              <w:rPr>
                <w:sz w:val="20"/>
                <w:szCs w:val="20"/>
                <w:color w:val="auto"/>
              </w:rPr>
            </w:pPr>
            <w:r>
              <w:rPr>
                <w:rFonts w:ascii="Arial" w:cs="Arial" w:eastAsia="Arial" w:hAnsi="Arial"/>
                <w:sz w:val="18"/>
                <w:szCs w:val="18"/>
                <w:color w:val="auto"/>
              </w:rPr>
              <w:t>8/6/2020</w:t>
            </w:r>
          </w:p>
        </w:tc>
      </w:tr>
      <w:tr>
        <w:trPr>
          <w:trHeight w:val="156"/>
        </w:trPr>
        <w:tc>
          <w:tcPr>
            <w:tcW w:w="1600" w:type="dxa"/>
            <w:vAlign w:val="bottom"/>
          </w:tcPr>
          <w:p>
            <w:pPr>
              <w:spacing w:after="0"/>
              <w:rPr>
                <w:sz w:val="13"/>
                <w:szCs w:val="13"/>
                <w:color w:val="auto"/>
              </w:rPr>
            </w:pPr>
          </w:p>
        </w:tc>
        <w:tc>
          <w:tcPr>
            <w:tcW w:w="34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of June 11, 2020, by and between the</w:t>
              </w:r>
            </w:hyperlink>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3500" w:type="dxa"/>
            <w:vAlign w:val="bottom"/>
            <w:gridSpan w:val="32"/>
          </w:tcPr>
          <w:p>
            <w:pPr>
              <w:spacing w:after="0" w:line="156" w:lineRule="exact"/>
              <w:rPr>
                <w:rFonts w:ascii="Arial" w:cs="Arial" w:eastAsia="Arial" w:hAnsi="Arial"/>
                <w:sz w:val="18"/>
                <w:szCs w:val="18"/>
                <w:color w:val="0000FF"/>
                <w:w w:val="95"/>
              </w:rPr>
            </w:pPr>
            <w:hyperlink r:id="rId129">
              <w:r>
                <w:rPr>
                  <w:rFonts w:ascii="Arial" w:cs="Arial" w:eastAsia="Arial" w:hAnsi="Arial"/>
                  <w:sz w:val="18"/>
                  <w:szCs w:val="18"/>
                  <w:color w:val="0000FF"/>
                  <w:w w:val="95"/>
                </w:rPr>
                <w:t>Registrant and Swedish Orphan Biovitrum AB</w:t>
              </w:r>
            </w:hyperlink>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(Publ)</w:t>
              </w:r>
            </w:hyperlink>
          </w:p>
        </w:tc>
        <w:tc>
          <w:tcPr>
            <w:tcW w:w="29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10"/>
        </w:trPr>
        <w:tc>
          <w:tcPr>
            <w:tcW w:w="1600" w:type="dxa"/>
            <w:vAlign w:val="bottom"/>
          </w:tcPr>
          <w:p>
            <w:pPr>
              <w:jc w:val="center"/>
              <w:ind w:right="30"/>
              <w:spacing w:after="0"/>
              <w:rPr>
                <w:rFonts w:ascii="Arial" w:cs="Arial" w:eastAsia="Arial" w:hAnsi="Arial"/>
                <w:sz w:val="18"/>
                <w:szCs w:val="18"/>
                <w:u w:val="single" w:color="auto"/>
                <w:color w:val="0000FF"/>
                <w:w w:val="88"/>
              </w:rPr>
            </w:pPr>
            <w:hyperlink r:id="rId130">
              <w:r>
                <w:rPr>
                  <w:rFonts w:ascii="Arial" w:cs="Arial" w:eastAsia="Arial" w:hAnsi="Arial"/>
                  <w:sz w:val="18"/>
                  <w:szCs w:val="18"/>
                  <w:u w:val="single" w:color="auto"/>
                  <w:color w:val="0000FF"/>
                  <w:w w:val="88"/>
                </w:rPr>
                <w:t>10.21</w:t>
              </w:r>
            </w:hyperlink>
          </w:p>
        </w:tc>
        <w:tc>
          <w:tcPr>
            <w:tcW w:w="3500" w:type="dxa"/>
            <w:vAlign w:val="bottom"/>
            <w:gridSpan w:val="32"/>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Securities Purchase Agreement, dated June 26,</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rPr>
                <w:sz w:val="20"/>
                <w:szCs w:val="20"/>
                <w:color w:val="auto"/>
              </w:rPr>
            </w:pPr>
            <w:r>
              <w:rPr>
                <w:rFonts w:ascii="Arial" w:cs="Arial" w:eastAsia="Arial" w:hAnsi="Arial"/>
                <w:sz w:val="18"/>
                <w:szCs w:val="18"/>
                <w:color w:val="auto"/>
              </w:rPr>
              <w:t>10.2</w:t>
            </w:r>
          </w:p>
        </w:tc>
        <w:tc>
          <w:tcPr>
            <w:tcW w:w="2740" w:type="dxa"/>
            <w:vAlign w:val="bottom"/>
          </w:tcPr>
          <w:p>
            <w:pPr>
              <w:ind w:left="300"/>
              <w:spacing w:after="0"/>
              <w:rPr>
                <w:sz w:val="20"/>
                <w:szCs w:val="20"/>
                <w:color w:val="auto"/>
              </w:rPr>
            </w:pPr>
            <w:r>
              <w:rPr>
                <w:rFonts w:ascii="Arial" w:cs="Arial" w:eastAsia="Arial" w:hAnsi="Arial"/>
                <w:sz w:val="18"/>
                <w:szCs w:val="18"/>
                <w:color w:val="auto"/>
              </w:rPr>
              <w:t>6/28/2017</w:t>
            </w:r>
          </w:p>
        </w:tc>
      </w:tr>
      <w:tr>
        <w:trPr>
          <w:trHeight w:val="155"/>
        </w:trPr>
        <w:tc>
          <w:tcPr>
            <w:tcW w:w="1600" w:type="dxa"/>
            <w:vAlign w:val="bottom"/>
          </w:tcPr>
          <w:p>
            <w:pPr>
              <w:spacing w:after="0"/>
              <w:rPr>
                <w:sz w:val="13"/>
                <w:szCs w:val="13"/>
                <w:color w:val="auto"/>
              </w:rPr>
            </w:pPr>
          </w:p>
        </w:tc>
        <w:tc>
          <w:tcPr>
            <w:tcW w:w="34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2017, by and between the Registrant and</w:t>
              </w:r>
            </w:hyperlink>
          </w:p>
        </w:tc>
        <w:tc>
          <w:tcPr>
            <w:tcW w:w="10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Timothy Springer, Ph.D.</w:t>
              </w:r>
            </w:hyperlink>
          </w:p>
        </w:tc>
        <w:tc>
          <w:tcPr>
            <w:tcW w:w="1160" w:type="dxa"/>
            <w:vAlign w:val="bottom"/>
            <w:tcBorders>
              <w:top w:val="single" w:sz="8" w:color="0000FF"/>
            </w:tcBorders>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9"/>
        </w:trPr>
        <w:tc>
          <w:tcPr>
            <w:tcW w:w="1600" w:type="dxa"/>
            <w:vAlign w:val="bottom"/>
          </w:tcPr>
          <w:p>
            <w:pPr>
              <w:jc w:val="center"/>
              <w:ind w:right="30"/>
              <w:spacing w:after="0"/>
              <w:rPr>
                <w:rFonts w:ascii="Arial" w:cs="Arial" w:eastAsia="Arial" w:hAnsi="Arial"/>
                <w:sz w:val="18"/>
                <w:szCs w:val="18"/>
                <w:u w:val="single" w:color="auto"/>
                <w:color w:val="0000FF"/>
                <w:w w:val="88"/>
              </w:rPr>
            </w:pPr>
            <w:hyperlink r:id="rId131">
              <w:r>
                <w:rPr>
                  <w:rFonts w:ascii="Arial" w:cs="Arial" w:eastAsia="Arial" w:hAnsi="Arial"/>
                  <w:sz w:val="18"/>
                  <w:szCs w:val="18"/>
                  <w:u w:val="single" w:color="auto"/>
                  <w:color w:val="0000FF"/>
                  <w:w w:val="88"/>
                </w:rPr>
                <w:t>10.22</w:t>
              </w:r>
            </w:hyperlink>
          </w:p>
        </w:tc>
        <w:tc>
          <w:tcPr>
            <w:tcW w:w="3500" w:type="dxa"/>
            <w:vAlign w:val="bottom"/>
            <w:gridSpan w:val="32"/>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Stock Purchase Agreement, dated August 19,</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rPr>
                <w:sz w:val="20"/>
                <w:szCs w:val="20"/>
                <w:color w:val="auto"/>
              </w:rPr>
            </w:pPr>
            <w:r>
              <w:rPr>
                <w:rFonts w:ascii="Arial" w:cs="Arial" w:eastAsia="Arial" w:hAnsi="Arial"/>
                <w:sz w:val="18"/>
                <w:szCs w:val="18"/>
                <w:color w:val="auto"/>
              </w:rPr>
              <w:t>10.1</w:t>
            </w:r>
          </w:p>
        </w:tc>
        <w:tc>
          <w:tcPr>
            <w:tcW w:w="2740" w:type="dxa"/>
            <w:vAlign w:val="bottom"/>
          </w:tcPr>
          <w:p>
            <w:pPr>
              <w:ind w:left="300"/>
              <w:spacing w:after="0"/>
              <w:rPr>
                <w:sz w:val="20"/>
                <w:szCs w:val="20"/>
                <w:color w:val="auto"/>
              </w:rPr>
            </w:pPr>
            <w:r>
              <w:rPr>
                <w:rFonts w:ascii="Arial" w:cs="Arial" w:eastAsia="Arial" w:hAnsi="Arial"/>
                <w:sz w:val="18"/>
                <w:szCs w:val="18"/>
                <w:color w:val="auto"/>
              </w:rPr>
              <w:t>8/20/2019</w:t>
            </w:r>
          </w:p>
        </w:tc>
      </w:tr>
      <w:tr>
        <w:trPr>
          <w:trHeight w:val="156"/>
        </w:trPr>
        <w:tc>
          <w:tcPr>
            <w:tcW w:w="1600" w:type="dxa"/>
            <w:vAlign w:val="bottom"/>
          </w:tcPr>
          <w:p>
            <w:pPr>
              <w:spacing w:after="0"/>
              <w:rPr>
                <w:sz w:val="13"/>
                <w:szCs w:val="13"/>
                <w:color w:val="auto"/>
              </w:rPr>
            </w:pPr>
          </w:p>
        </w:tc>
        <w:tc>
          <w:tcPr>
            <w:tcW w:w="330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2019, by and among the Registrant and the</w:t>
              </w:r>
            </w:hyperlink>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Investors named therein</w:t>
              </w:r>
            </w:hyperlink>
          </w:p>
        </w:tc>
        <w:tc>
          <w:tcPr>
            <w:tcW w:w="134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9"/>
        </w:trPr>
        <w:tc>
          <w:tcPr>
            <w:tcW w:w="1600" w:type="dxa"/>
            <w:vAlign w:val="bottom"/>
          </w:tcPr>
          <w:p>
            <w:pPr>
              <w:jc w:val="center"/>
              <w:ind w:right="30"/>
              <w:spacing w:after="0"/>
              <w:rPr>
                <w:rFonts w:ascii="Arial" w:cs="Arial" w:eastAsia="Arial" w:hAnsi="Arial"/>
                <w:sz w:val="18"/>
                <w:szCs w:val="18"/>
                <w:u w:val="single" w:color="auto"/>
                <w:color w:val="0000FF"/>
                <w:w w:val="88"/>
              </w:rPr>
            </w:pPr>
            <w:hyperlink r:id="rId132">
              <w:r>
                <w:rPr>
                  <w:rFonts w:ascii="Arial" w:cs="Arial" w:eastAsia="Arial" w:hAnsi="Arial"/>
                  <w:sz w:val="18"/>
                  <w:szCs w:val="18"/>
                  <w:u w:val="single" w:color="auto"/>
                  <w:color w:val="0000FF"/>
                  <w:w w:val="88"/>
                </w:rPr>
                <w:t>10.23</w:t>
              </w:r>
            </w:hyperlink>
          </w:p>
        </w:tc>
        <w:tc>
          <w:tcPr>
            <w:tcW w:w="2740" w:type="dxa"/>
            <w:vAlign w:val="bottom"/>
            <w:tcBorders>
              <w:bottom w:val="single" w:sz="8" w:color="0000FF"/>
            </w:tcBorders>
            <w:gridSpan w:val="11"/>
          </w:tcPr>
          <w:p>
            <w:pPr>
              <w:spacing w:after="0"/>
              <w:rPr>
                <w:rFonts w:ascii="Arial" w:cs="Arial" w:eastAsia="Arial" w:hAnsi="Arial"/>
                <w:sz w:val="18"/>
                <w:szCs w:val="18"/>
                <w:color w:val="0000FF"/>
                <w:w w:val="88"/>
              </w:rPr>
            </w:pPr>
            <w:hyperlink r:id="rId132">
              <w:r>
                <w:rPr>
                  <w:rFonts w:ascii="Arial" w:cs="Arial" w:eastAsia="Arial" w:hAnsi="Arial"/>
                  <w:sz w:val="18"/>
                  <w:szCs w:val="18"/>
                  <w:color w:val="0000FF"/>
                  <w:w w:val="88"/>
                </w:rPr>
                <w:t>Securities Purchase Agreement, dated</w:t>
              </w:r>
            </w:hyperlink>
          </w:p>
        </w:tc>
        <w:tc>
          <w:tcPr>
            <w:tcW w:w="760" w:type="dxa"/>
            <w:vAlign w:val="bottom"/>
            <w:gridSpan w:val="21"/>
          </w:tcPr>
          <w:p>
            <w:pPr>
              <w:spacing w:after="0"/>
              <w:rPr>
                <w:sz w:val="18"/>
                <w:szCs w:val="18"/>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8-K</w:t>
            </w:r>
          </w:p>
        </w:tc>
        <w:tc>
          <w:tcPr>
            <w:tcW w:w="1440" w:type="dxa"/>
            <w:vAlign w:val="bottom"/>
          </w:tcPr>
          <w:p>
            <w:pPr>
              <w:ind w:left="220"/>
              <w:spacing w:after="0"/>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rPr>
                <w:sz w:val="20"/>
                <w:szCs w:val="20"/>
                <w:color w:val="auto"/>
              </w:rPr>
            </w:pPr>
            <w:r>
              <w:rPr>
                <w:rFonts w:ascii="Arial" w:cs="Arial" w:eastAsia="Arial" w:hAnsi="Arial"/>
                <w:sz w:val="18"/>
                <w:szCs w:val="18"/>
                <w:color w:val="auto"/>
              </w:rPr>
              <w:t>10.1</w:t>
            </w:r>
          </w:p>
        </w:tc>
        <w:tc>
          <w:tcPr>
            <w:tcW w:w="2740" w:type="dxa"/>
            <w:vAlign w:val="bottom"/>
          </w:tcPr>
          <w:p>
            <w:pPr>
              <w:ind w:left="300"/>
              <w:spacing w:after="0"/>
              <w:rPr>
                <w:sz w:val="20"/>
                <w:szCs w:val="20"/>
                <w:color w:val="auto"/>
              </w:rPr>
            </w:pPr>
            <w:r>
              <w:rPr>
                <w:rFonts w:ascii="Arial" w:cs="Arial" w:eastAsia="Arial" w:hAnsi="Arial"/>
                <w:sz w:val="18"/>
                <w:szCs w:val="18"/>
                <w:color w:val="auto"/>
              </w:rPr>
              <w:t>12/26/2019</w:t>
            </w:r>
          </w:p>
        </w:tc>
      </w:tr>
      <w:tr>
        <w:trPr>
          <w:trHeight w:val="156"/>
        </w:trPr>
        <w:tc>
          <w:tcPr>
            <w:tcW w:w="1600" w:type="dxa"/>
            <w:vAlign w:val="bottom"/>
          </w:tcPr>
          <w:p>
            <w:pPr>
              <w:spacing w:after="0"/>
              <w:rPr>
                <w:sz w:val="13"/>
                <w:szCs w:val="13"/>
                <w:color w:val="auto"/>
              </w:rPr>
            </w:pPr>
          </w:p>
        </w:tc>
        <w:tc>
          <w:tcPr>
            <w:tcW w:w="2820" w:type="dxa"/>
            <w:vAlign w:val="bottom"/>
            <w:tcBorders>
              <w:bottom w:val="single" w:sz="8" w:color="0000FF"/>
            </w:tcBorders>
            <w:gridSpan w:val="12"/>
          </w:tcPr>
          <w:p>
            <w:pPr>
              <w:spacing w:after="0" w:line="156" w:lineRule="exact"/>
              <w:rPr>
                <w:rFonts w:ascii="Arial" w:cs="Arial" w:eastAsia="Arial" w:hAnsi="Arial"/>
                <w:sz w:val="18"/>
                <w:szCs w:val="18"/>
                <w:color w:val="0000FF"/>
                <w:w w:val="89"/>
              </w:rPr>
            </w:pPr>
            <w:hyperlink r:id="rId132">
              <w:r>
                <w:rPr>
                  <w:rFonts w:ascii="Arial" w:cs="Arial" w:eastAsia="Arial" w:hAnsi="Arial"/>
                  <w:sz w:val="18"/>
                  <w:szCs w:val="18"/>
                  <w:color w:val="0000FF"/>
                  <w:w w:val="89"/>
                </w:rPr>
                <w:t>December 18, 2019, by and among the</w:t>
              </w:r>
            </w:hyperlink>
          </w:p>
        </w:tc>
        <w:tc>
          <w:tcPr>
            <w:tcW w:w="680" w:type="dxa"/>
            <w:vAlign w:val="bottom"/>
            <w:gridSpan w:val="20"/>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95"/>
        </w:trPr>
        <w:tc>
          <w:tcPr>
            <w:tcW w:w="1600" w:type="dxa"/>
            <w:vAlign w:val="bottom"/>
          </w:tcPr>
          <w:p>
            <w:pPr>
              <w:spacing w:after="0"/>
              <w:rPr>
                <w:sz w:val="16"/>
                <w:szCs w:val="16"/>
                <w:color w:val="auto"/>
              </w:rPr>
            </w:pPr>
          </w:p>
        </w:tc>
        <w:tc>
          <w:tcPr>
            <w:tcW w:w="3500" w:type="dxa"/>
            <w:vAlign w:val="bottom"/>
            <w:gridSpan w:val="32"/>
          </w:tcPr>
          <w:p>
            <w:pPr>
              <w:spacing w:after="0" w:line="195" w:lineRule="exact"/>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Registrant and the Investors named therein</w:t>
              </w:r>
            </w:hyperlink>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0"/>
        </w:trPr>
        <w:tc>
          <w:tcPr>
            <w:tcW w:w="1600" w:type="dxa"/>
            <w:vAlign w:val="bottom"/>
          </w:tcPr>
          <w:p>
            <w:pPr>
              <w:jc w:val="center"/>
              <w:ind w:right="30"/>
              <w:spacing w:after="0" w:line="190" w:lineRule="exact"/>
              <w:rPr>
                <w:rFonts w:ascii="Arial" w:cs="Arial" w:eastAsia="Arial" w:hAnsi="Arial"/>
                <w:sz w:val="18"/>
                <w:szCs w:val="18"/>
                <w:u w:val="single" w:color="auto"/>
                <w:color w:val="0000FF"/>
                <w:w w:val="88"/>
              </w:rPr>
            </w:pPr>
            <w:hyperlink r:id="rId133">
              <w:r>
                <w:rPr>
                  <w:rFonts w:ascii="Arial" w:cs="Arial" w:eastAsia="Arial" w:hAnsi="Arial"/>
                  <w:sz w:val="18"/>
                  <w:szCs w:val="18"/>
                  <w:u w:val="single" w:color="auto"/>
                  <w:color w:val="0000FF"/>
                  <w:w w:val="88"/>
                </w:rPr>
                <w:t>10.24</w:t>
              </w:r>
            </w:hyperlink>
          </w:p>
        </w:tc>
        <w:tc>
          <w:tcPr>
            <w:tcW w:w="3500" w:type="dxa"/>
            <w:vAlign w:val="bottom"/>
            <w:gridSpan w:val="32"/>
          </w:tcPr>
          <w:p>
            <w:pPr>
              <w:spacing w:after="0" w:line="190"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Stock Purchase Agreement, dated as of June</w:t>
              </w:r>
            </w:hyperlink>
          </w:p>
        </w:tc>
        <w:tc>
          <w:tcPr>
            <w:tcW w:w="820" w:type="dxa"/>
            <w:vAlign w:val="bottom"/>
          </w:tcPr>
          <w:p>
            <w:pPr>
              <w:ind w:left="60"/>
              <w:spacing w:after="0" w:line="190" w:lineRule="exact"/>
              <w:rPr>
                <w:sz w:val="20"/>
                <w:szCs w:val="20"/>
                <w:color w:val="auto"/>
              </w:rPr>
            </w:pPr>
            <w:r>
              <w:rPr>
                <w:rFonts w:ascii="Arial" w:cs="Arial" w:eastAsia="Arial" w:hAnsi="Arial"/>
                <w:sz w:val="18"/>
                <w:szCs w:val="18"/>
                <w:color w:val="auto"/>
              </w:rPr>
              <w:t>10-Q</w:t>
            </w:r>
          </w:p>
        </w:tc>
        <w:tc>
          <w:tcPr>
            <w:tcW w:w="1440" w:type="dxa"/>
            <w:vAlign w:val="bottom"/>
          </w:tcPr>
          <w:p>
            <w:pPr>
              <w:ind w:left="220"/>
              <w:spacing w:after="0" w:line="190" w:lineRule="exact"/>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line="190" w:lineRule="exact"/>
              <w:rPr>
                <w:sz w:val="20"/>
                <w:szCs w:val="20"/>
                <w:color w:val="auto"/>
              </w:rPr>
            </w:pPr>
            <w:r>
              <w:rPr>
                <w:rFonts w:ascii="Arial" w:cs="Arial" w:eastAsia="Arial" w:hAnsi="Arial"/>
                <w:sz w:val="18"/>
                <w:szCs w:val="18"/>
                <w:color w:val="auto"/>
              </w:rPr>
              <w:t>10.3</w:t>
            </w:r>
          </w:p>
        </w:tc>
        <w:tc>
          <w:tcPr>
            <w:tcW w:w="2740" w:type="dxa"/>
            <w:vAlign w:val="bottom"/>
          </w:tcPr>
          <w:p>
            <w:pPr>
              <w:ind w:left="300"/>
              <w:spacing w:after="0" w:line="190" w:lineRule="exact"/>
              <w:rPr>
                <w:sz w:val="20"/>
                <w:szCs w:val="20"/>
                <w:color w:val="auto"/>
              </w:rPr>
            </w:pPr>
            <w:r>
              <w:rPr>
                <w:rFonts w:ascii="Arial" w:cs="Arial" w:eastAsia="Arial" w:hAnsi="Arial"/>
                <w:sz w:val="18"/>
                <w:szCs w:val="18"/>
                <w:color w:val="auto"/>
              </w:rPr>
              <w:t>8/6/2020</w:t>
            </w:r>
          </w:p>
        </w:tc>
      </w:tr>
      <w:tr>
        <w:trPr>
          <w:trHeight w:val="156"/>
        </w:trPr>
        <w:tc>
          <w:tcPr>
            <w:tcW w:w="160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11, 2020, by and between the Registrant and</w:t>
              </w:r>
            </w:hyperlink>
          </w:p>
        </w:tc>
        <w:tc>
          <w:tcPr>
            <w:tcW w:w="20" w:type="dxa"/>
            <w:vAlign w:val="bottom"/>
            <w:tcBorders>
              <w:bottom w:val="single" w:sz="8" w:color="0000FF"/>
            </w:tcBorders>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95"/>
        </w:trPr>
        <w:tc>
          <w:tcPr>
            <w:tcW w:w="1600" w:type="dxa"/>
            <w:vAlign w:val="bottom"/>
          </w:tcPr>
          <w:p>
            <w:pPr>
              <w:spacing w:after="0"/>
              <w:rPr>
                <w:sz w:val="16"/>
                <w:szCs w:val="16"/>
                <w:color w:val="auto"/>
              </w:rPr>
            </w:pPr>
          </w:p>
        </w:tc>
        <w:tc>
          <w:tcPr>
            <w:tcW w:w="3220" w:type="dxa"/>
            <w:vAlign w:val="bottom"/>
            <w:gridSpan w:val="19"/>
          </w:tcPr>
          <w:p>
            <w:pPr>
              <w:spacing w:after="0" w:line="195" w:lineRule="exact"/>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Swedish Orphan Biovitrum AB (Publ)</w:t>
              </w:r>
            </w:hyperlink>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18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0"/>
        </w:trPr>
        <w:tc>
          <w:tcPr>
            <w:tcW w:w="1600" w:type="dxa"/>
            <w:vAlign w:val="bottom"/>
          </w:tcPr>
          <w:p>
            <w:pPr>
              <w:jc w:val="center"/>
              <w:ind w:right="30"/>
              <w:spacing w:after="0" w:line="190" w:lineRule="exact"/>
              <w:rPr>
                <w:rFonts w:ascii="Arial" w:cs="Arial" w:eastAsia="Arial" w:hAnsi="Arial"/>
                <w:sz w:val="18"/>
                <w:szCs w:val="18"/>
                <w:u w:val="single" w:color="auto"/>
                <w:color w:val="0000FF"/>
                <w:w w:val="88"/>
              </w:rPr>
            </w:pPr>
            <w:hyperlink r:id="rId134">
              <w:r>
                <w:rPr>
                  <w:rFonts w:ascii="Arial" w:cs="Arial" w:eastAsia="Arial" w:hAnsi="Arial"/>
                  <w:sz w:val="18"/>
                  <w:szCs w:val="18"/>
                  <w:u w:val="single" w:color="auto"/>
                  <w:color w:val="0000FF"/>
                  <w:w w:val="88"/>
                </w:rPr>
                <w:t>10.25</w:t>
              </w:r>
            </w:hyperlink>
          </w:p>
        </w:tc>
        <w:tc>
          <w:tcPr>
            <w:tcW w:w="3500" w:type="dxa"/>
            <w:vAlign w:val="bottom"/>
            <w:gridSpan w:val="32"/>
          </w:tcPr>
          <w:p>
            <w:pPr>
              <w:spacing w:after="0" w:line="190" w:lineRule="exact"/>
              <w:rPr>
                <w:rFonts w:ascii="Arial" w:cs="Arial" w:eastAsia="Arial" w:hAnsi="Arial"/>
                <w:sz w:val="18"/>
                <w:szCs w:val="18"/>
                <w:color w:val="0000FF"/>
                <w:w w:val="98"/>
              </w:rPr>
            </w:pPr>
            <w:hyperlink r:id="rId134">
              <w:r>
                <w:rPr>
                  <w:rFonts w:ascii="Arial" w:cs="Arial" w:eastAsia="Arial" w:hAnsi="Arial"/>
                  <w:sz w:val="18"/>
                  <w:szCs w:val="18"/>
                  <w:color w:val="0000FF"/>
                  <w:w w:val="98"/>
                </w:rPr>
                <w:t>Loan and Security Agreement, dated August</w:t>
              </w:r>
            </w:hyperlink>
          </w:p>
        </w:tc>
        <w:tc>
          <w:tcPr>
            <w:tcW w:w="820" w:type="dxa"/>
            <w:vAlign w:val="bottom"/>
          </w:tcPr>
          <w:p>
            <w:pPr>
              <w:ind w:left="60"/>
              <w:spacing w:after="0" w:line="190" w:lineRule="exact"/>
              <w:rPr>
                <w:sz w:val="20"/>
                <w:szCs w:val="20"/>
                <w:color w:val="auto"/>
              </w:rPr>
            </w:pPr>
            <w:r>
              <w:rPr>
                <w:rFonts w:ascii="Arial" w:cs="Arial" w:eastAsia="Arial" w:hAnsi="Arial"/>
                <w:sz w:val="18"/>
                <w:szCs w:val="18"/>
                <w:color w:val="auto"/>
              </w:rPr>
              <w:t>8-K</w:t>
            </w:r>
          </w:p>
        </w:tc>
        <w:tc>
          <w:tcPr>
            <w:tcW w:w="1440" w:type="dxa"/>
            <w:vAlign w:val="bottom"/>
          </w:tcPr>
          <w:p>
            <w:pPr>
              <w:ind w:left="220"/>
              <w:spacing w:after="0" w:line="190" w:lineRule="exact"/>
              <w:rPr>
                <w:sz w:val="20"/>
                <w:szCs w:val="20"/>
                <w:color w:val="auto"/>
              </w:rPr>
            </w:pPr>
            <w:r>
              <w:rPr>
                <w:rFonts w:ascii="Arial" w:cs="Arial" w:eastAsia="Arial" w:hAnsi="Arial"/>
                <w:sz w:val="18"/>
                <w:szCs w:val="18"/>
                <w:color w:val="auto"/>
              </w:rPr>
              <w:t>001-37798</w:t>
            </w:r>
          </w:p>
        </w:tc>
        <w:tc>
          <w:tcPr>
            <w:tcW w:w="1140" w:type="dxa"/>
            <w:vAlign w:val="bottom"/>
          </w:tcPr>
          <w:p>
            <w:pPr>
              <w:ind w:left="380"/>
              <w:spacing w:after="0" w:line="190" w:lineRule="exact"/>
              <w:rPr>
                <w:sz w:val="20"/>
                <w:szCs w:val="20"/>
                <w:color w:val="auto"/>
              </w:rPr>
            </w:pPr>
            <w:r>
              <w:rPr>
                <w:rFonts w:ascii="Arial" w:cs="Arial" w:eastAsia="Arial" w:hAnsi="Arial"/>
                <w:sz w:val="18"/>
                <w:szCs w:val="18"/>
                <w:color w:val="auto"/>
              </w:rPr>
              <w:t>10.1.1</w:t>
            </w:r>
          </w:p>
        </w:tc>
        <w:tc>
          <w:tcPr>
            <w:tcW w:w="2740" w:type="dxa"/>
            <w:vAlign w:val="bottom"/>
          </w:tcPr>
          <w:p>
            <w:pPr>
              <w:ind w:left="300"/>
              <w:spacing w:after="0" w:line="190" w:lineRule="exact"/>
              <w:rPr>
                <w:sz w:val="20"/>
                <w:szCs w:val="20"/>
                <w:color w:val="auto"/>
              </w:rPr>
            </w:pPr>
            <w:r>
              <w:rPr>
                <w:rFonts w:ascii="Arial" w:cs="Arial" w:eastAsia="Arial" w:hAnsi="Arial"/>
                <w:sz w:val="18"/>
                <w:szCs w:val="18"/>
                <w:color w:val="auto"/>
              </w:rPr>
              <w:t>9/3/2020</w:t>
            </w:r>
          </w:p>
        </w:tc>
      </w:tr>
      <w:tr>
        <w:trPr>
          <w:trHeight w:val="155"/>
        </w:trPr>
        <w:tc>
          <w:tcPr>
            <w:tcW w:w="1600" w:type="dxa"/>
            <w:vAlign w:val="bottom"/>
          </w:tcPr>
          <w:p>
            <w:pPr>
              <w:spacing w:after="0"/>
              <w:rPr>
                <w:sz w:val="13"/>
                <w:szCs w:val="13"/>
                <w:color w:val="auto"/>
              </w:rPr>
            </w:pPr>
          </w:p>
        </w:tc>
        <w:tc>
          <w:tcPr>
            <w:tcW w:w="322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31, 2020, between Selecta Biosciences,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3500" w:type="dxa"/>
            <w:vAlign w:val="bottom"/>
            <w:gridSpan w:val="32"/>
          </w:tcPr>
          <w:p>
            <w:pPr>
              <w:spacing w:after="0" w:line="156" w:lineRule="exact"/>
              <w:rPr>
                <w:rFonts w:ascii="Arial" w:cs="Arial" w:eastAsia="Arial" w:hAnsi="Arial"/>
                <w:sz w:val="18"/>
                <w:szCs w:val="18"/>
                <w:color w:val="0000FF"/>
                <w:w w:val="97"/>
              </w:rPr>
            </w:pPr>
            <w:hyperlink r:id="rId134">
              <w:r>
                <w:rPr>
                  <w:rFonts w:ascii="Arial" w:cs="Arial" w:eastAsia="Arial" w:hAnsi="Arial"/>
                  <w:sz w:val="18"/>
                  <w:szCs w:val="18"/>
                  <w:color w:val="0000FF"/>
                  <w:w w:val="97"/>
                </w:rPr>
                <w:t>Oxford Finance LLC, as Collateral Agent and</w:t>
              </w:r>
            </w:hyperlink>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3320" w:type="dxa"/>
            <w:vAlign w:val="bottom"/>
            <w:tcBorders>
              <w:top w:val="single" w:sz="8" w:color="0000FF"/>
            </w:tcBorders>
            <w:gridSpan w:val="26"/>
          </w:tcPr>
          <w:p>
            <w:pPr>
              <w:spacing w:after="0" w:line="142" w:lineRule="exact"/>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as a lender, and Silicon Valley Bank, as a</w:t>
              </w:r>
            </w:hyperlink>
          </w:p>
        </w:tc>
        <w:tc>
          <w:tcPr>
            <w:tcW w:w="180" w:type="dxa"/>
            <w:vAlign w:val="bottom"/>
            <w:gridSpan w:val="6"/>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229"/>
        </w:trPr>
        <w:tc>
          <w:tcPr>
            <w:tcW w:w="1600" w:type="dxa"/>
            <w:vAlign w:val="bottom"/>
          </w:tcPr>
          <w:p>
            <w:pPr>
              <w:spacing w:after="0"/>
              <w:rPr>
                <w:sz w:val="19"/>
                <w:szCs w:val="19"/>
                <w:color w:val="auto"/>
              </w:rPr>
            </w:pPr>
          </w:p>
        </w:tc>
        <w:tc>
          <w:tcPr>
            <w:tcW w:w="3500" w:type="dxa"/>
            <w:vAlign w:val="bottom"/>
            <w:gridSpan w:val="32"/>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lender.</w:t>
              </w:r>
            </w:hyperlink>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30"/>
        </w:trPr>
        <w:tc>
          <w:tcPr>
            <w:tcW w:w="1600" w:type="dxa"/>
            <w:vAlign w:val="bottom"/>
          </w:tcPr>
          <w:p>
            <w:pPr>
              <w:jc w:val="center"/>
              <w:ind w:right="30"/>
              <w:spacing w:after="0"/>
              <w:rPr>
                <w:rFonts w:ascii="Arial" w:cs="Arial" w:eastAsia="Arial" w:hAnsi="Arial"/>
                <w:sz w:val="18"/>
                <w:szCs w:val="18"/>
                <w:u w:val="single" w:color="auto"/>
                <w:color w:val="0000FF"/>
                <w:w w:val="91"/>
              </w:rPr>
            </w:pPr>
            <w:hyperlink r:id="rId135">
              <w:r>
                <w:rPr>
                  <w:rFonts w:ascii="Arial" w:cs="Arial" w:eastAsia="Arial" w:hAnsi="Arial"/>
                  <w:sz w:val="18"/>
                  <w:szCs w:val="18"/>
                  <w:u w:val="single" w:color="auto"/>
                  <w:color w:val="0000FF"/>
                  <w:w w:val="91"/>
                </w:rPr>
                <w:t>21.1</w:t>
              </w:r>
            </w:hyperlink>
          </w:p>
        </w:tc>
        <w:tc>
          <w:tcPr>
            <w:tcW w:w="3500" w:type="dxa"/>
            <w:vAlign w:val="bottom"/>
            <w:gridSpan w:val="32"/>
          </w:tcPr>
          <w:p>
            <w:pPr>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Subsidiaries of Selecta Biosciences, Inc.</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S-1</w:t>
            </w:r>
          </w:p>
        </w:tc>
        <w:tc>
          <w:tcPr>
            <w:tcW w:w="1440" w:type="dxa"/>
            <w:vAlign w:val="bottom"/>
          </w:tcPr>
          <w:p>
            <w:pPr>
              <w:ind w:left="220"/>
              <w:spacing w:after="0"/>
              <w:rPr>
                <w:sz w:val="20"/>
                <w:szCs w:val="20"/>
                <w:color w:val="auto"/>
              </w:rPr>
            </w:pPr>
            <w:r>
              <w:rPr>
                <w:rFonts w:ascii="Arial" w:cs="Arial" w:eastAsia="Arial" w:hAnsi="Arial"/>
                <w:sz w:val="18"/>
                <w:szCs w:val="18"/>
                <w:color w:val="auto"/>
              </w:rPr>
              <w:t>333-211555</w:t>
            </w:r>
          </w:p>
        </w:tc>
        <w:tc>
          <w:tcPr>
            <w:tcW w:w="1140" w:type="dxa"/>
            <w:vAlign w:val="bottom"/>
          </w:tcPr>
          <w:p>
            <w:pPr>
              <w:ind w:left="380"/>
              <w:spacing w:after="0"/>
              <w:rPr>
                <w:sz w:val="20"/>
                <w:szCs w:val="20"/>
                <w:color w:val="auto"/>
              </w:rPr>
            </w:pPr>
            <w:r>
              <w:rPr>
                <w:rFonts w:ascii="Arial" w:cs="Arial" w:eastAsia="Arial" w:hAnsi="Arial"/>
                <w:sz w:val="18"/>
                <w:szCs w:val="18"/>
                <w:color w:val="auto"/>
              </w:rPr>
              <w:t>21.1</w:t>
            </w:r>
          </w:p>
        </w:tc>
        <w:tc>
          <w:tcPr>
            <w:tcW w:w="2740" w:type="dxa"/>
            <w:vAlign w:val="bottom"/>
          </w:tcPr>
          <w:p>
            <w:pPr>
              <w:ind w:left="300"/>
              <w:spacing w:after="0"/>
              <w:rPr>
                <w:sz w:val="20"/>
                <w:szCs w:val="20"/>
                <w:color w:val="auto"/>
              </w:rPr>
            </w:pPr>
            <w:r>
              <w:rPr>
                <w:rFonts w:ascii="Arial" w:cs="Arial" w:eastAsia="Arial" w:hAnsi="Arial"/>
                <w:sz w:val="18"/>
                <w:szCs w:val="18"/>
                <w:color w:val="auto"/>
              </w:rPr>
              <w:t>5/24/2016</w:t>
            </w:r>
          </w:p>
        </w:tc>
      </w:tr>
      <w:tr>
        <w:trPr>
          <w:trHeight w:val="190"/>
        </w:trPr>
        <w:tc>
          <w:tcPr>
            <w:tcW w:w="1600" w:type="dxa"/>
            <w:vAlign w:val="bottom"/>
          </w:tcPr>
          <w:p>
            <w:pPr>
              <w:jc w:val="center"/>
              <w:ind w:right="30"/>
              <w:spacing w:after="0" w:line="190" w:lineRule="exact"/>
              <w:rPr>
                <w:rFonts w:ascii="Arial" w:cs="Arial" w:eastAsia="Arial" w:hAnsi="Arial"/>
                <w:sz w:val="18"/>
                <w:szCs w:val="18"/>
                <w:u w:val="single" w:color="auto"/>
                <w:color w:val="0000FF"/>
                <w:w w:val="91"/>
              </w:rPr>
            </w:pPr>
            <w:hyperlink w:anchor="page116">
              <w:r>
                <w:rPr>
                  <w:rFonts w:ascii="Arial" w:cs="Arial" w:eastAsia="Arial" w:hAnsi="Arial"/>
                  <w:sz w:val="18"/>
                  <w:szCs w:val="18"/>
                  <w:u w:val="single" w:color="auto"/>
                  <w:color w:val="0000FF"/>
                  <w:w w:val="91"/>
                </w:rPr>
                <w:t>23.1</w:t>
              </w:r>
            </w:hyperlink>
          </w:p>
        </w:tc>
        <w:tc>
          <w:tcPr>
            <w:tcW w:w="3500" w:type="dxa"/>
            <w:vAlign w:val="bottom"/>
            <w:gridSpan w:val="32"/>
          </w:tcPr>
          <w:p>
            <w:pPr>
              <w:spacing w:after="0" w:line="190" w:lineRule="exact"/>
              <w:rPr>
                <w:rFonts w:ascii="Arial" w:cs="Arial" w:eastAsia="Arial" w:hAnsi="Arial"/>
                <w:sz w:val="18"/>
                <w:szCs w:val="18"/>
                <w:color w:val="0000FF"/>
                <w:w w:val="97"/>
              </w:rPr>
            </w:pPr>
            <w:hyperlink w:anchor="page116">
              <w:r>
                <w:rPr>
                  <w:rFonts w:ascii="Arial" w:cs="Arial" w:eastAsia="Arial" w:hAnsi="Arial"/>
                  <w:sz w:val="18"/>
                  <w:szCs w:val="18"/>
                  <w:color w:val="0000FF"/>
                  <w:w w:val="97"/>
                </w:rPr>
                <w:t>Consent of Ernst &amp; Young LLP, Independent</w:t>
              </w:r>
            </w:hyperlink>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156"/>
        </w:trPr>
        <w:tc>
          <w:tcPr>
            <w:tcW w:w="16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w:anchor="page116">
              <w:r>
                <w:rPr>
                  <w:rFonts w:ascii="Arial" w:cs="Arial" w:eastAsia="Arial" w:hAnsi="Arial"/>
                  <w:sz w:val="18"/>
                  <w:szCs w:val="18"/>
                  <w:color w:val="0000FF"/>
                  <w:w w:val="91"/>
                </w:rPr>
                <w:t>Registered Public Accounting Firm</w:t>
              </w:r>
            </w:hyperlink>
          </w:p>
        </w:tc>
        <w:tc>
          <w:tcPr>
            <w:tcW w:w="6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9"/>
        </w:trPr>
        <w:tc>
          <w:tcPr>
            <w:tcW w:w="1600" w:type="dxa"/>
            <w:vAlign w:val="bottom"/>
          </w:tcPr>
          <w:p>
            <w:pPr>
              <w:jc w:val="center"/>
              <w:ind w:right="30"/>
              <w:spacing w:after="0"/>
              <w:rPr>
                <w:rFonts w:ascii="Arial" w:cs="Arial" w:eastAsia="Arial" w:hAnsi="Arial"/>
                <w:sz w:val="18"/>
                <w:szCs w:val="18"/>
                <w:u w:val="single" w:color="auto"/>
                <w:color w:val="0000FF"/>
                <w:w w:val="91"/>
              </w:rPr>
            </w:pPr>
            <w:hyperlink w:anchor="page117">
              <w:r>
                <w:rPr>
                  <w:rFonts w:ascii="Arial" w:cs="Arial" w:eastAsia="Arial" w:hAnsi="Arial"/>
                  <w:sz w:val="18"/>
                  <w:szCs w:val="18"/>
                  <w:u w:val="single" w:color="auto"/>
                  <w:color w:val="0000FF"/>
                  <w:w w:val="91"/>
                </w:rPr>
                <w:t>31.1</w:t>
              </w:r>
            </w:hyperlink>
          </w:p>
        </w:tc>
        <w:tc>
          <w:tcPr>
            <w:tcW w:w="3500" w:type="dxa"/>
            <w:vAlign w:val="bottom"/>
            <w:gridSpan w:val="32"/>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Rule 13a-14(a) / 15d-14(a) Certification of</w:t>
              </w:r>
            </w:hyperlink>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56"/>
        </w:trPr>
        <w:tc>
          <w:tcPr>
            <w:tcW w:w="16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w:anchor="page117">
              <w:r>
                <w:rPr>
                  <w:rFonts w:ascii="Arial" w:cs="Arial" w:eastAsia="Arial" w:hAnsi="Arial"/>
                  <w:sz w:val="18"/>
                  <w:szCs w:val="18"/>
                  <w:color w:val="0000FF"/>
                  <w:w w:val="93"/>
                </w:rPr>
                <w:t>Chief Executive Officer</w:t>
              </w:r>
            </w:hyperlink>
          </w:p>
        </w:tc>
        <w:tc>
          <w:tcPr>
            <w:tcW w:w="1340" w:type="dxa"/>
            <w:vAlign w:val="bottom"/>
            <w:tcBorders>
              <w:top w:val="single" w:sz="8" w:color="0000FF"/>
            </w:tcBorders>
            <w:gridSpan w:val="9"/>
          </w:tcPr>
          <w:p>
            <w:pPr>
              <w:spacing w:after="0"/>
              <w:rPr>
                <w:sz w:val="13"/>
                <w:szCs w:val="13"/>
                <w:color w:val="auto"/>
              </w:rPr>
            </w:pPr>
          </w:p>
        </w:tc>
        <w:tc>
          <w:tcPr>
            <w:tcW w:w="180" w:type="dxa"/>
            <w:vAlign w:val="bottom"/>
            <w:gridSpan w:val="8"/>
          </w:tcPr>
          <w:p>
            <w:pPr>
              <w:spacing w:after="0"/>
              <w:rPr>
                <w:sz w:val="13"/>
                <w:szCs w:val="13"/>
                <w:color w:val="auto"/>
              </w:rPr>
            </w:pPr>
          </w:p>
        </w:tc>
        <w:tc>
          <w:tcPr>
            <w:tcW w:w="24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10"/>
        </w:trPr>
        <w:tc>
          <w:tcPr>
            <w:tcW w:w="1600" w:type="dxa"/>
            <w:vAlign w:val="bottom"/>
          </w:tcPr>
          <w:p>
            <w:pPr>
              <w:jc w:val="center"/>
              <w:ind w:right="30"/>
              <w:spacing w:after="0"/>
              <w:rPr>
                <w:rFonts w:ascii="Arial" w:cs="Arial" w:eastAsia="Arial" w:hAnsi="Arial"/>
                <w:sz w:val="18"/>
                <w:szCs w:val="18"/>
                <w:u w:val="single" w:color="auto"/>
                <w:color w:val="0000FF"/>
                <w:w w:val="91"/>
              </w:rPr>
            </w:pPr>
            <w:hyperlink w:anchor="page118">
              <w:r>
                <w:rPr>
                  <w:rFonts w:ascii="Arial" w:cs="Arial" w:eastAsia="Arial" w:hAnsi="Arial"/>
                  <w:sz w:val="18"/>
                  <w:szCs w:val="18"/>
                  <w:u w:val="single" w:color="auto"/>
                  <w:color w:val="0000FF"/>
                  <w:w w:val="91"/>
                </w:rPr>
                <w:t>31.2</w:t>
              </w:r>
            </w:hyperlink>
          </w:p>
        </w:tc>
        <w:tc>
          <w:tcPr>
            <w:tcW w:w="3500" w:type="dxa"/>
            <w:vAlign w:val="bottom"/>
            <w:gridSpan w:val="3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Rule 13a-14(a) / 15d-14(a) Certification of</w:t>
              </w:r>
            </w:hyperlink>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55"/>
        </w:trPr>
        <w:tc>
          <w:tcPr>
            <w:tcW w:w="1600" w:type="dxa"/>
            <w:vAlign w:val="bottom"/>
          </w:tcPr>
          <w:p>
            <w:pPr>
              <w:spacing w:after="0"/>
              <w:rPr>
                <w:sz w:val="13"/>
                <w:szCs w:val="13"/>
                <w:color w:val="auto"/>
              </w:rPr>
            </w:pPr>
          </w:p>
        </w:tc>
        <w:tc>
          <w:tcPr>
            <w:tcW w:w="30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18">
              <w:r>
                <w:rPr>
                  <w:rFonts w:ascii="Arial" w:cs="Arial" w:eastAsia="Arial" w:hAnsi="Arial"/>
                  <w:sz w:val="18"/>
                  <w:szCs w:val="18"/>
                  <w:color w:val="0000FF"/>
                </w:rPr>
                <w:t>Chief Financial Officer</w:t>
              </w:r>
            </w:hyperlink>
          </w:p>
        </w:tc>
        <w:tc>
          <w:tcPr>
            <w:tcW w:w="180" w:type="dxa"/>
            <w:vAlign w:val="bottom"/>
            <w:gridSpan w:val="8"/>
          </w:tcPr>
          <w:p>
            <w:pPr>
              <w:spacing w:after="0"/>
              <w:rPr>
                <w:sz w:val="13"/>
                <w:szCs w:val="13"/>
                <w:color w:val="auto"/>
              </w:rPr>
            </w:pPr>
          </w:p>
        </w:tc>
        <w:tc>
          <w:tcPr>
            <w:tcW w:w="24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580" w:type="dxa"/>
            <w:vAlign w:val="bottom"/>
            <w:gridSpan w:val="18"/>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600" w:type="dxa"/>
            <w:vAlign w:val="bottom"/>
          </w:tcPr>
          <w:p>
            <w:pPr>
              <w:jc w:val="center"/>
              <w:ind w:right="30"/>
              <w:spacing w:after="0"/>
              <w:rPr>
                <w:rFonts w:ascii="Arial" w:cs="Arial" w:eastAsia="Arial" w:hAnsi="Arial"/>
                <w:sz w:val="18"/>
                <w:szCs w:val="18"/>
                <w:u w:val="single" w:color="auto"/>
                <w:color w:val="0000FF"/>
                <w:w w:val="91"/>
              </w:rPr>
            </w:pPr>
            <w:hyperlink w:anchor="page119">
              <w:r>
                <w:rPr>
                  <w:rFonts w:ascii="Arial" w:cs="Arial" w:eastAsia="Arial" w:hAnsi="Arial"/>
                  <w:sz w:val="18"/>
                  <w:szCs w:val="18"/>
                  <w:u w:val="single" w:color="auto"/>
                  <w:color w:val="0000FF"/>
                  <w:w w:val="91"/>
                </w:rPr>
                <w:t>32.1</w:t>
              </w:r>
            </w:hyperlink>
          </w:p>
        </w:tc>
        <w:tc>
          <w:tcPr>
            <w:tcW w:w="3500" w:type="dxa"/>
            <w:vAlign w:val="bottom"/>
            <w:gridSpan w:val="32"/>
          </w:tcPr>
          <w:p>
            <w:pPr>
              <w:spacing w:after="0"/>
              <w:rPr>
                <w:rFonts w:ascii="Arial" w:cs="Arial" w:eastAsia="Arial" w:hAnsi="Arial"/>
                <w:sz w:val="18"/>
                <w:szCs w:val="18"/>
                <w:color w:val="0000FF"/>
                <w:w w:val="97"/>
              </w:rPr>
            </w:pPr>
            <w:hyperlink w:anchor="page119">
              <w:r>
                <w:rPr>
                  <w:rFonts w:ascii="Arial" w:cs="Arial" w:eastAsia="Arial" w:hAnsi="Arial"/>
                  <w:sz w:val="18"/>
                  <w:szCs w:val="18"/>
                  <w:color w:val="0000FF"/>
                  <w:w w:val="97"/>
                </w:rPr>
                <w:t>Section 1350 Certification of Chief Executive</w:t>
              </w:r>
            </w:hyperlink>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55"/>
        </w:trPr>
        <w:tc>
          <w:tcPr>
            <w:tcW w:w="1600" w:type="dxa"/>
            <w:vAlign w:val="bottom"/>
          </w:tcPr>
          <w:p>
            <w:pPr>
              <w:spacing w:after="0"/>
              <w:rPr>
                <w:sz w:val="13"/>
                <w:szCs w:val="13"/>
                <w:color w:val="auto"/>
              </w:rPr>
            </w:pPr>
          </w:p>
        </w:tc>
        <w:tc>
          <w:tcPr>
            <w:tcW w:w="33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w:anchor="page119">
              <w:r>
                <w:rPr>
                  <w:rFonts w:ascii="Arial" w:cs="Arial" w:eastAsia="Arial" w:hAnsi="Arial"/>
                  <w:sz w:val="18"/>
                  <w:szCs w:val="18"/>
                  <w:color w:val="0000FF"/>
                </w:rPr>
                <w:t>Officer</w:t>
              </w:r>
            </w:hyperlink>
          </w:p>
        </w:tc>
        <w:tc>
          <w:tcPr>
            <w:tcW w:w="18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740" w:type="dxa"/>
            <w:vAlign w:val="bottom"/>
            <w:gridSpan w:val="21"/>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10"/>
        </w:trPr>
        <w:tc>
          <w:tcPr>
            <w:tcW w:w="1600" w:type="dxa"/>
            <w:vAlign w:val="bottom"/>
          </w:tcPr>
          <w:p>
            <w:pPr>
              <w:jc w:val="center"/>
              <w:ind w:right="30"/>
              <w:spacing w:after="0"/>
              <w:rPr>
                <w:rFonts w:ascii="Arial" w:cs="Arial" w:eastAsia="Arial" w:hAnsi="Arial"/>
                <w:sz w:val="18"/>
                <w:szCs w:val="18"/>
                <w:u w:val="single" w:color="auto"/>
                <w:color w:val="0000FF"/>
                <w:w w:val="91"/>
              </w:rPr>
            </w:pPr>
            <w:hyperlink w:anchor="page120">
              <w:r>
                <w:rPr>
                  <w:rFonts w:ascii="Arial" w:cs="Arial" w:eastAsia="Arial" w:hAnsi="Arial"/>
                  <w:sz w:val="18"/>
                  <w:szCs w:val="18"/>
                  <w:u w:val="single" w:color="auto"/>
                  <w:color w:val="0000FF"/>
                  <w:w w:val="91"/>
                </w:rPr>
                <w:t>32.2</w:t>
              </w:r>
            </w:hyperlink>
          </w:p>
        </w:tc>
        <w:tc>
          <w:tcPr>
            <w:tcW w:w="3500" w:type="dxa"/>
            <w:vAlign w:val="bottom"/>
            <w:gridSpan w:val="32"/>
          </w:tcPr>
          <w:p>
            <w:pPr>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Section 1350 Certification of Chief Financial</w:t>
              </w:r>
            </w:hyperlink>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55"/>
        </w:trPr>
        <w:tc>
          <w:tcPr>
            <w:tcW w:w="1600" w:type="dxa"/>
            <w:vAlign w:val="bottom"/>
          </w:tcPr>
          <w:p>
            <w:pPr>
              <w:spacing w:after="0"/>
              <w:rPr>
                <w:sz w:val="13"/>
                <w:szCs w:val="13"/>
                <w:color w:val="auto"/>
              </w:rPr>
            </w:pPr>
          </w:p>
        </w:tc>
        <w:tc>
          <w:tcPr>
            <w:tcW w:w="32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20">
              <w:r>
                <w:rPr>
                  <w:rFonts w:ascii="Arial" w:cs="Arial" w:eastAsia="Arial" w:hAnsi="Arial"/>
                  <w:sz w:val="18"/>
                  <w:szCs w:val="18"/>
                  <w:color w:val="0000FF"/>
                </w:rPr>
                <w:t>Officer</w:t>
              </w:r>
            </w:hyperlink>
          </w:p>
        </w:tc>
        <w:tc>
          <w:tcPr>
            <w:tcW w:w="24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80" w:type="dxa"/>
            <w:vAlign w:val="bottom"/>
            <w:gridSpan w:val="3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16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2"/>
              </w:rPr>
              <w:t>101.INS</w:t>
            </w:r>
          </w:p>
        </w:tc>
        <w:tc>
          <w:tcPr>
            <w:tcW w:w="3500" w:type="dxa"/>
            <w:vAlign w:val="bottom"/>
            <w:gridSpan w:val="32"/>
          </w:tcPr>
          <w:p>
            <w:pPr>
              <w:spacing w:after="0" w:line="196" w:lineRule="exact"/>
              <w:rPr>
                <w:sz w:val="20"/>
                <w:szCs w:val="20"/>
                <w:color w:val="auto"/>
              </w:rPr>
            </w:pPr>
            <w:r>
              <w:rPr>
                <w:rFonts w:ascii="Arial" w:cs="Arial" w:eastAsia="Arial" w:hAnsi="Arial"/>
                <w:sz w:val="18"/>
                <w:szCs w:val="18"/>
                <w:color w:val="auto"/>
                <w:w w:val="94"/>
              </w:rPr>
              <w:t>Inline XBRL Instance Document - the Instance</w:t>
            </w: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176"/>
        </w:trPr>
        <w:tc>
          <w:tcPr>
            <w:tcW w:w="1600" w:type="dxa"/>
            <w:vAlign w:val="bottom"/>
          </w:tcPr>
          <w:p>
            <w:pPr>
              <w:spacing w:after="0"/>
              <w:rPr>
                <w:sz w:val="15"/>
                <w:szCs w:val="15"/>
                <w:color w:val="auto"/>
              </w:rPr>
            </w:pPr>
          </w:p>
        </w:tc>
        <w:tc>
          <w:tcPr>
            <w:tcW w:w="3500" w:type="dxa"/>
            <w:vAlign w:val="bottom"/>
            <w:gridSpan w:val="32"/>
          </w:tcPr>
          <w:p>
            <w:pPr>
              <w:spacing w:after="0" w:line="176" w:lineRule="exact"/>
              <w:rPr>
                <w:sz w:val="20"/>
                <w:szCs w:val="20"/>
                <w:color w:val="auto"/>
              </w:rPr>
            </w:pPr>
            <w:r>
              <w:rPr>
                <w:rFonts w:ascii="Arial" w:cs="Arial" w:eastAsia="Arial" w:hAnsi="Arial"/>
                <w:sz w:val="18"/>
                <w:szCs w:val="18"/>
                <w:color w:val="auto"/>
                <w:w w:val="98"/>
              </w:rPr>
              <w:t>Document does not appear in the interactive</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75"/>
        </w:trPr>
        <w:tc>
          <w:tcPr>
            <w:tcW w:w="1600" w:type="dxa"/>
            <w:vAlign w:val="bottom"/>
          </w:tcPr>
          <w:p>
            <w:pPr>
              <w:spacing w:after="0"/>
              <w:rPr>
                <w:sz w:val="15"/>
                <w:szCs w:val="15"/>
                <w:color w:val="auto"/>
              </w:rPr>
            </w:pPr>
          </w:p>
        </w:tc>
        <w:tc>
          <w:tcPr>
            <w:tcW w:w="3500" w:type="dxa"/>
            <w:vAlign w:val="bottom"/>
            <w:gridSpan w:val="32"/>
          </w:tcPr>
          <w:p>
            <w:pPr>
              <w:spacing w:after="0" w:line="176" w:lineRule="exact"/>
              <w:rPr>
                <w:sz w:val="20"/>
                <w:szCs w:val="20"/>
                <w:color w:val="auto"/>
              </w:rPr>
            </w:pPr>
            <w:r>
              <w:rPr>
                <w:rFonts w:ascii="Arial" w:cs="Arial" w:eastAsia="Arial" w:hAnsi="Arial"/>
                <w:sz w:val="18"/>
                <w:szCs w:val="18"/>
                <w:color w:val="auto"/>
                <w:w w:val="93"/>
              </w:rPr>
              <w:t>data file because its XBRL tags are embedded</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229"/>
        </w:trPr>
        <w:tc>
          <w:tcPr>
            <w:tcW w:w="1600" w:type="dxa"/>
            <w:vAlign w:val="bottom"/>
          </w:tcPr>
          <w:p>
            <w:pPr>
              <w:spacing w:after="0"/>
              <w:rPr>
                <w:sz w:val="19"/>
                <w:szCs w:val="19"/>
                <w:color w:val="auto"/>
              </w:rPr>
            </w:pPr>
          </w:p>
        </w:tc>
        <w:tc>
          <w:tcPr>
            <w:tcW w:w="3500" w:type="dxa"/>
            <w:vAlign w:val="bottom"/>
            <w:gridSpan w:val="32"/>
          </w:tcPr>
          <w:p>
            <w:pPr>
              <w:spacing w:after="0"/>
              <w:rPr>
                <w:sz w:val="20"/>
                <w:szCs w:val="20"/>
                <w:color w:val="auto"/>
              </w:rPr>
            </w:pPr>
            <w:r>
              <w:rPr>
                <w:rFonts w:ascii="Arial" w:cs="Arial" w:eastAsia="Arial" w:hAnsi="Arial"/>
                <w:sz w:val="18"/>
                <w:szCs w:val="18"/>
                <w:color w:val="auto"/>
              </w:rPr>
              <w:t>within the Inline XBRL Document</w:t>
            </w:r>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176"/>
        </w:trPr>
        <w:tc>
          <w:tcPr>
            <w:tcW w:w="16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101.SCH</w:t>
            </w:r>
          </w:p>
        </w:tc>
        <w:tc>
          <w:tcPr>
            <w:tcW w:w="3500" w:type="dxa"/>
            <w:vAlign w:val="bottom"/>
            <w:gridSpan w:val="32"/>
          </w:tcPr>
          <w:p>
            <w:pPr>
              <w:spacing w:after="0" w:line="176" w:lineRule="exact"/>
              <w:rPr>
                <w:sz w:val="20"/>
                <w:szCs w:val="20"/>
                <w:color w:val="auto"/>
              </w:rPr>
            </w:pPr>
            <w:r>
              <w:rPr>
                <w:rFonts w:ascii="Arial" w:cs="Arial" w:eastAsia="Arial" w:hAnsi="Arial"/>
                <w:sz w:val="18"/>
                <w:szCs w:val="18"/>
                <w:color w:val="auto"/>
              </w:rPr>
              <w:t>Inline XBRL Taxonomy Extension Schema</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29"/>
        </w:trPr>
        <w:tc>
          <w:tcPr>
            <w:tcW w:w="1600" w:type="dxa"/>
            <w:vAlign w:val="bottom"/>
          </w:tcPr>
          <w:p>
            <w:pPr>
              <w:spacing w:after="0"/>
              <w:rPr>
                <w:sz w:val="19"/>
                <w:szCs w:val="19"/>
                <w:color w:val="auto"/>
              </w:rPr>
            </w:pPr>
          </w:p>
        </w:tc>
        <w:tc>
          <w:tcPr>
            <w:tcW w:w="3500" w:type="dxa"/>
            <w:vAlign w:val="bottom"/>
            <w:gridSpan w:val="32"/>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176"/>
        </w:trPr>
        <w:tc>
          <w:tcPr>
            <w:tcW w:w="16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7"/>
              </w:rPr>
              <w:t>101.CAL</w:t>
            </w:r>
          </w:p>
        </w:tc>
        <w:tc>
          <w:tcPr>
            <w:tcW w:w="3500" w:type="dxa"/>
            <w:vAlign w:val="bottom"/>
            <w:gridSpan w:val="32"/>
          </w:tcPr>
          <w:p>
            <w:pPr>
              <w:spacing w:after="0" w:line="176" w:lineRule="exact"/>
              <w:rPr>
                <w:sz w:val="20"/>
                <w:szCs w:val="20"/>
                <w:color w:val="auto"/>
              </w:rPr>
            </w:pPr>
            <w:r>
              <w:rPr>
                <w:rFonts w:ascii="Arial" w:cs="Arial" w:eastAsia="Arial" w:hAnsi="Arial"/>
                <w:sz w:val="18"/>
                <w:szCs w:val="18"/>
                <w:color w:val="auto"/>
                <w:w w:val="96"/>
              </w:rPr>
              <w:t>Inline XBRL Taxonomy Extension Calculation</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30"/>
        </w:trPr>
        <w:tc>
          <w:tcPr>
            <w:tcW w:w="1600" w:type="dxa"/>
            <w:vAlign w:val="bottom"/>
          </w:tcPr>
          <w:p>
            <w:pPr>
              <w:spacing w:after="0"/>
              <w:rPr>
                <w:sz w:val="20"/>
                <w:szCs w:val="20"/>
                <w:color w:val="auto"/>
              </w:rPr>
            </w:pPr>
          </w:p>
        </w:tc>
        <w:tc>
          <w:tcPr>
            <w:tcW w:w="3500" w:type="dxa"/>
            <w:vAlign w:val="bottom"/>
            <w:gridSpan w:val="32"/>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836"/>
        </w:trPr>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ind w:left="440"/>
              <w:spacing w:after="0"/>
              <w:rPr>
                <w:sz w:val="20"/>
                <w:szCs w:val="20"/>
                <w:color w:val="auto"/>
              </w:rPr>
            </w:pPr>
            <w:r>
              <w:rPr>
                <w:rFonts w:ascii="Arial" w:cs="Arial" w:eastAsia="Arial" w:hAnsi="Arial"/>
                <w:sz w:val="18"/>
                <w:szCs w:val="18"/>
                <w:color w:val="auto"/>
              </w:rPr>
              <w:t>73</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rFonts w:ascii="Arial" w:cs="Arial" w:eastAsia="Arial" w:hAnsi="Arial"/>
                <w:sz w:val="18"/>
                <w:szCs w:val="18"/>
                <w:u w:val="single" w:color="auto"/>
                <w:color w:val="0000FF"/>
                <w:w w:val="99"/>
              </w:rPr>
            </w:pPr>
            <w:hyperlink w:anchor="page1">
              <w:r>
                <w:rPr>
                  <w:rFonts w:ascii="Arial" w:cs="Arial" w:eastAsia="Arial" w:hAnsi="Arial"/>
                  <w:sz w:val="18"/>
                  <w:szCs w:val="18"/>
                  <w:u w:val="single" w:color="auto"/>
                  <w:color w:val="0000FF"/>
                  <w:w w:val="99"/>
                </w:rPr>
                <w:t>Table of Contents</w:t>
              </w:r>
            </w:hyperlink>
          </w:p>
        </w:tc>
        <w:tc>
          <w:tcPr>
            <w:tcW w:w="65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837"/>
        </w:trPr>
        <w:tc>
          <w:tcPr>
            <w:tcW w:w="14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650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44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Linkbase Document</w:t>
            </w:r>
          </w:p>
        </w:tc>
        <w:tc>
          <w:tcPr>
            <w:tcW w:w="3220" w:type="dxa"/>
            <w:vAlign w:val="bottom"/>
          </w:tcPr>
          <w:p>
            <w:pPr>
              <w:spacing w:after="0"/>
              <w:rPr>
                <w:sz w:val="19"/>
                <w:szCs w:val="19"/>
                <w:color w:val="auto"/>
              </w:rPr>
            </w:pPr>
          </w:p>
        </w:tc>
      </w:tr>
      <w:tr>
        <w:trPr>
          <w:trHeight w:val="176"/>
        </w:trPr>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8"/>
              </w:rPr>
              <w:t>101.LAB</w:t>
            </w:r>
          </w:p>
        </w:tc>
        <w:tc>
          <w:tcPr>
            <w:tcW w:w="6500" w:type="dxa"/>
            <w:vAlign w:val="bottom"/>
          </w:tcPr>
          <w:p>
            <w:pPr>
              <w:ind w:left="160"/>
              <w:spacing w:after="0" w:line="176" w:lineRule="exact"/>
              <w:rPr>
                <w:sz w:val="20"/>
                <w:szCs w:val="20"/>
                <w:color w:val="auto"/>
              </w:rPr>
            </w:pPr>
            <w:r>
              <w:rPr>
                <w:rFonts w:ascii="Arial" w:cs="Arial" w:eastAsia="Arial" w:hAnsi="Arial"/>
                <w:sz w:val="18"/>
                <w:szCs w:val="18"/>
                <w:color w:val="auto"/>
              </w:rPr>
              <w:t>Inline XBRL Taxonomy Extension Label</w:t>
            </w:r>
          </w:p>
        </w:tc>
        <w:tc>
          <w:tcPr>
            <w:tcW w:w="32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29"/>
        </w:trPr>
        <w:tc>
          <w:tcPr>
            <w:tcW w:w="144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Linkbase Document</w:t>
            </w:r>
          </w:p>
        </w:tc>
        <w:tc>
          <w:tcPr>
            <w:tcW w:w="3220" w:type="dxa"/>
            <w:vAlign w:val="bottom"/>
          </w:tcPr>
          <w:p>
            <w:pPr>
              <w:spacing w:after="0"/>
              <w:rPr>
                <w:sz w:val="19"/>
                <w:szCs w:val="19"/>
                <w:color w:val="auto"/>
              </w:rPr>
            </w:pPr>
          </w:p>
        </w:tc>
      </w:tr>
      <w:tr>
        <w:trPr>
          <w:trHeight w:val="176"/>
        </w:trPr>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8"/>
              </w:rPr>
              <w:t>101.PRE</w:t>
            </w:r>
          </w:p>
        </w:tc>
        <w:tc>
          <w:tcPr>
            <w:tcW w:w="6500" w:type="dxa"/>
            <w:vAlign w:val="bottom"/>
          </w:tcPr>
          <w:p>
            <w:pPr>
              <w:ind w:left="160"/>
              <w:spacing w:after="0" w:line="176" w:lineRule="exact"/>
              <w:rPr>
                <w:sz w:val="20"/>
                <w:szCs w:val="20"/>
                <w:color w:val="auto"/>
              </w:rPr>
            </w:pPr>
            <w:r>
              <w:rPr>
                <w:rFonts w:ascii="Arial" w:cs="Arial" w:eastAsia="Arial" w:hAnsi="Arial"/>
                <w:sz w:val="18"/>
                <w:szCs w:val="18"/>
                <w:color w:val="auto"/>
              </w:rPr>
              <w:t>Inline XBRL Taxonomy Extension</w:t>
            </w:r>
          </w:p>
        </w:tc>
        <w:tc>
          <w:tcPr>
            <w:tcW w:w="32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29"/>
        </w:trPr>
        <w:tc>
          <w:tcPr>
            <w:tcW w:w="144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Presentation Linkbase Document</w:t>
            </w:r>
          </w:p>
        </w:tc>
        <w:tc>
          <w:tcPr>
            <w:tcW w:w="3220" w:type="dxa"/>
            <w:vAlign w:val="bottom"/>
          </w:tcPr>
          <w:p>
            <w:pPr>
              <w:spacing w:after="0"/>
              <w:rPr>
                <w:sz w:val="19"/>
                <w:szCs w:val="19"/>
                <w:color w:val="auto"/>
              </w:rPr>
            </w:pPr>
          </w:p>
        </w:tc>
      </w:tr>
      <w:tr>
        <w:trPr>
          <w:trHeight w:val="176"/>
        </w:trPr>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3"/>
              </w:rPr>
              <w:t>104</w:t>
            </w:r>
          </w:p>
        </w:tc>
        <w:tc>
          <w:tcPr>
            <w:tcW w:w="6500" w:type="dxa"/>
            <w:vAlign w:val="bottom"/>
          </w:tcPr>
          <w:p>
            <w:pPr>
              <w:ind w:left="160"/>
              <w:spacing w:after="0" w:line="176" w:lineRule="exact"/>
              <w:rPr>
                <w:sz w:val="20"/>
                <w:szCs w:val="20"/>
                <w:color w:val="auto"/>
              </w:rPr>
            </w:pPr>
            <w:r>
              <w:rPr>
                <w:rFonts w:ascii="Arial" w:cs="Arial" w:eastAsia="Arial" w:hAnsi="Arial"/>
                <w:sz w:val="18"/>
                <w:szCs w:val="18"/>
                <w:color w:val="auto"/>
              </w:rPr>
              <w:t>Cover Page Interactive Data File (formatted as</w:t>
            </w:r>
          </w:p>
        </w:tc>
        <w:tc>
          <w:tcPr>
            <w:tcW w:w="32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30"/>
        </w:trPr>
        <w:tc>
          <w:tcPr>
            <w:tcW w:w="144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Inline XBRL and contained in Exhibit 101)</w:t>
            </w:r>
          </w:p>
        </w:tc>
        <w:tc>
          <w:tcPr>
            <w:tcW w:w="3220" w:type="dxa"/>
            <w:vAlign w:val="bottom"/>
          </w:tcPr>
          <w:p>
            <w:pPr>
              <w:spacing w:after="0"/>
              <w:rPr>
                <w:sz w:val="20"/>
                <w:szCs w:val="20"/>
                <w:color w:val="auto"/>
              </w:rPr>
            </w:pPr>
          </w:p>
        </w:tc>
      </w:tr>
    </w:tbl>
    <w:p>
      <w:pPr>
        <w:spacing w:after="0" w:line="322" w:lineRule="exact"/>
        <w:rPr>
          <w:sz w:val="20"/>
          <w:szCs w:val="20"/>
          <w:color w:val="auto"/>
        </w:rPr>
      </w:pPr>
    </w:p>
    <w:p>
      <w:pPr>
        <w:ind w:left="960" w:hanging="46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960" w:hanging="46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8" w:lineRule="exact"/>
        <w:rPr>
          <w:rFonts w:ascii="Arial" w:cs="Arial" w:eastAsia="Arial" w:hAnsi="Arial"/>
          <w:sz w:val="18"/>
          <w:szCs w:val="18"/>
          <w:color w:val="auto"/>
        </w:rPr>
      </w:pPr>
    </w:p>
    <w:p>
      <w:pPr>
        <w:ind w:left="960" w:hanging="46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39" w:lineRule="exact"/>
        <w:rPr>
          <w:sz w:val="20"/>
          <w:szCs w:val="20"/>
          <w:color w:val="auto"/>
        </w:rPr>
      </w:pPr>
    </w:p>
    <w:p>
      <w:pPr>
        <w:ind w:left="960" w:hanging="46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9" w:lineRule="exact"/>
        <w:rPr>
          <w:sz w:val="20"/>
          <w:szCs w:val="20"/>
          <w:color w:val="auto"/>
        </w:rPr>
      </w:pPr>
    </w:p>
    <w:p>
      <w:pPr>
        <w:ind w:left="960" w:hanging="462"/>
        <w:spacing w:after="0" w:line="180" w:lineRule="auto"/>
        <w:tabs>
          <w:tab w:leader="none" w:pos="960" w:val="left"/>
        </w:tabs>
        <w:numPr>
          <w:ilvl w:val="0"/>
          <w:numId w:val="48"/>
        </w:numPr>
        <w:rPr>
          <w:rFonts w:ascii="Arial" w:cs="Arial" w:eastAsia="Arial" w:hAnsi="Arial"/>
          <w:sz w:val="31"/>
          <w:szCs w:val="31"/>
          <w:color w:val="auto"/>
          <w:vertAlign w:val="subscript"/>
        </w:rPr>
      </w:pPr>
      <w:r>
        <w:rPr>
          <w:rFonts w:ascii="Arial" w:cs="Arial" w:eastAsia="Arial" w:hAnsi="Arial"/>
          <w:sz w:val="16"/>
          <w:szCs w:val="16"/>
          <w:color w:val="auto"/>
        </w:rPr>
        <w:t>Portions of this exhibit (indicated by asterisks) have been omitted pursuant to a request for confidential treatment pursuant to Rule 24h-2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6840" w:type="dxa"/>
            <w:vAlign w:val="bottom"/>
            <w:gridSpan w:val="2"/>
          </w:tcPr>
          <w:p>
            <w:pPr>
              <w:ind w:left="2760"/>
              <w:spacing w:after="0"/>
              <w:rPr>
                <w:sz w:val="20"/>
                <w:szCs w:val="20"/>
                <w:color w:val="auto"/>
              </w:rPr>
            </w:pPr>
            <w:r>
              <w:rPr>
                <w:rFonts w:ascii="Arial" w:cs="Arial" w:eastAsia="Arial" w:hAnsi="Arial"/>
                <w:sz w:val="18"/>
                <w:szCs w:val="18"/>
                <w:b w:val="1"/>
                <w:bCs w:val="1"/>
                <w:color w:val="auto"/>
              </w:rPr>
              <w:t>SELECTA BIOSCIENCES, INC.</w:t>
            </w: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rPr>
              <w:t>Date: March 12, 2021</w:t>
            </w:r>
          </w:p>
        </w:tc>
        <w:tc>
          <w:tcPr>
            <w:tcW w:w="3220" w:type="dxa"/>
            <w:vAlign w:val="bottom"/>
          </w:tcPr>
          <w:p>
            <w:pPr>
              <w:ind w:left="276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4"/>
        </w:trPr>
        <w:tc>
          <w:tcPr>
            <w:tcW w:w="43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bl>
    <w:p>
      <w:pPr>
        <w:ind w:left="8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Signature</w:t>
            </w:r>
          </w:p>
        </w:tc>
        <w:tc>
          <w:tcPr>
            <w:tcW w:w="3420" w:type="dxa"/>
            <w:vAlign w:val="bottom"/>
          </w:tcPr>
          <w:p>
            <w:pPr>
              <w:spacing w:after="0"/>
              <w:rPr>
                <w:sz w:val="17"/>
                <w:szCs w:val="17"/>
                <w:color w:val="auto"/>
              </w:rPr>
            </w:pPr>
          </w:p>
        </w:tc>
        <w:tc>
          <w:tcPr>
            <w:tcW w:w="288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w w:val="91"/>
              </w:rPr>
              <w:t>Title</w:t>
            </w:r>
          </w:p>
        </w:tc>
        <w:tc>
          <w:tcPr>
            <w:tcW w:w="1260" w:type="dxa"/>
            <w:vAlign w:val="bottom"/>
          </w:tcPr>
          <w:p>
            <w:pPr>
              <w:spacing w:after="0"/>
              <w:rPr>
                <w:sz w:val="17"/>
                <w:szCs w:val="17"/>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20"/>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Carsten Brunn, Ph.D.</w:t>
            </w:r>
          </w:p>
        </w:tc>
        <w:tc>
          <w:tcPr>
            <w:tcW w:w="6300" w:type="dxa"/>
            <w:vAlign w:val="bottom"/>
            <w:gridSpan w:val="3"/>
          </w:tcPr>
          <w:p>
            <w:pPr>
              <w:jc w:val="center"/>
              <w:ind w:left="790"/>
              <w:spacing w:after="0"/>
              <w:rPr>
                <w:sz w:val="20"/>
                <w:szCs w:val="20"/>
                <w:color w:val="auto"/>
              </w:rPr>
            </w:pPr>
            <w:r>
              <w:rPr>
                <w:rFonts w:ascii="Arial" w:cs="Arial" w:eastAsia="Arial" w:hAnsi="Arial"/>
                <w:sz w:val="18"/>
                <w:szCs w:val="18"/>
                <w:color w:val="auto"/>
                <w:w w:val="91"/>
              </w:rPr>
              <w:t>President and Chief Executive Officer, and 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89"/>
              </w:rPr>
              <w:t>Carsten Brunn, Ph.D.</w:t>
            </w:r>
          </w:p>
        </w:tc>
        <w:tc>
          <w:tcPr>
            <w:tcW w:w="6300" w:type="dxa"/>
            <w:vAlign w:val="bottom"/>
            <w:gridSpan w:val="3"/>
          </w:tcPr>
          <w:p>
            <w:pPr>
              <w:jc w:val="center"/>
              <w:ind w:left="790"/>
              <w:spacing w:after="0"/>
              <w:rPr>
                <w:sz w:val="20"/>
                <w:szCs w:val="20"/>
                <w:color w:val="auto"/>
              </w:rPr>
            </w:pPr>
            <w:r>
              <w:rPr>
                <w:rFonts w:ascii="Arial" w:cs="Arial" w:eastAsia="Arial" w:hAnsi="Arial"/>
                <w:sz w:val="18"/>
                <w:szCs w:val="18"/>
                <w:color w:val="auto"/>
                <w:w w:val="94"/>
              </w:rPr>
              <w:t>(Principal Executive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Bradford D. Dahms</w:t>
            </w:r>
          </w:p>
        </w:tc>
        <w:tc>
          <w:tcPr>
            <w:tcW w:w="630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Chief Financial Officer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2"/>
              </w:rPr>
              <w:t>Bradford D. Dahms</w:t>
            </w:r>
          </w:p>
        </w:tc>
        <w:tc>
          <w:tcPr>
            <w:tcW w:w="6300" w:type="dxa"/>
            <w:vAlign w:val="bottom"/>
            <w:gridSpan w:val="3"/>
          </w:tcPr>
          <w:p>
            <w:pPr>
              <w:jc w:val="center"/>
              <w:ind w:left="790"/>
              <w:spacing w:after="0"/>
              <w:rPr>
                <w:sz w:val="20"/>
                <w:szCs w:val="20"/>
                <w:color w:val="auto"/>
              </w:rPr>
            </w:pPr>
            <w:r>
              <w:rPr>
                <w:rFonts w:ascii="Arial" w:cs="Arial" w:eastAsia="Arial" w:hAnsi="Arial"/>
                <w:sz w:val="18"/>
                <w:szCs w:val="18"/>
                <w:color w:val="auto"/>
                <w:w w:val="93"/>
              </w:rPr>
              <w:t>(Principal Financial and Accounting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Carrie S. Cox</w:t>
            </w:r>
          </w:p>
        </w:tc>
        <w:tc>
          <w:tcPr>
            <w:tcW w:w="6300" w:type="dxa"/>
            <w:vAlign w:val="bottom"/>
            <w:gridSpan w:val="3"/>
          </w:tcPr>
          <w:p>
            <w:pPr>
              <w:jc w:val="center"/>
              <w:ind w:left="81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0"/>
              </w:rPr>
              <w:t>Carrie S. Cox</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Goran A. Ando, M.D.</w:t>
            </w:r>
          </w:p>
        </w:tc>
        <w:tc>
          <w:tcPr>
            <w:tcW w:w="6300" w:type="dxa"/>
            <w:vAlign w:val="bottom"/>
            <w:gridSpan w:val="3"/>
          </w:tcPr>
          <w:p>
            <w:pPr>
              <w:jc w:val="center"/>
              <w:ind w:left="81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4"/>
              </w:rPr>
              <w:t>Goran A. Ando, M.D.</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Timothy C. Barabe</w:t>
            </w:r>
          </w:p>
        </w:tc>
        <w:tc>
          <w:tcPr>
            <w:tcW w:w="6300" w:type="dxa"/>
            <w:vAlign w:val="bottom"/>
            <w:gridSpan w:val="3"/>
          </w:tcPr>
          <w:p>
            <w:pPr>
              <w:jc w:val="center"/>
              <w:ind w:left="81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Scott D. Myers</w:t>
            </w:r>
          </w:p>
        </w:tc>
        <w:tc>
          <w:tcPr>
            <w:tcW w:w="6300" w:type="dxa"/>
            <w:vAlign w:val="bottom"/>
            <w:gridSpan w:val="3"/>
          </w:tcPr>
          <w:p>
            <w:pPr>
              <w:jc w:val="center"/>
              <w:ind w:left="81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3"/>
              </w:rPr>
              <w:t>Scott D. Myers</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6300" w:type="dxa"/>
            <w:vAlign w:val="bottom"/>
            <w:gridSpan w:val="3"/>
          </w:tcPr>
          <w:p>
            <w:pPr>
              <w:jc w:val="center"/>
              <w:ind w:left="81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2"/>
              </w:rPr>
              <w:t>Aymeric Sallin</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6300" w:type="dxa"/>
            <w:vAlign w:val="bottom"/>
            <w:gridSpan w:val="3"/>
          </w:tcPr>
          <w:p>
            <w:pPr>
              <w:jc w:val="center"/>
              <w:ind w:left="81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2"/>
              </w:rPr>
              <w:t>Timothy Springer, Ph.D.</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99"/>
        </w:trPr>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6300" w:type="dxa"/>
            <w:vAlign w:val="bottom"/>
            <w:gridSpan w:val="3"/>
          </w:tcPr>
          <w:p>
            <w:pPr>
              <w:jc w:val="center"/>
              <w:ind w:left="810"/>
              <w:spacing w:after="0"/>
              <w:rPr>
                <w:sz w:val="20"/>
                <w:szCs w:val="20"/>
                <w:color w:val="auto"/>
              </w:rPr>
            </w:pPr>
            <w:r>
              <w:rPr>
                <w:rFonts w:ascii="Arial" w:cs="Arial" w:eastAsia="Arial" w:hAnsi="Arial"/>
                <w:sz w:val="18"/>
                <w:szCs w:val="18"/>
                <w:color w:val="auto"/>
                <w:w w:val="95"/>
              </w:rPr>
              <w:t>Director</w:t>
            </w:r>
          </w:p>
        </w:tc>
        <w:tc>
          <w:tcPr>
            <w:tcW w:w="236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March 12, 2021</w:t>
            </w:r>
          </w:p>
        </w:tc>
      </w:tr>
      <w:tr>
        <w:trPr>
          <w:trHeight w:val="224"/>
        </w:trPr>
        <w:tc>
          <w:tcPr>
            <w:tcW w:w="258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850"/>
        </w:trPr>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20" w:type="dxa"/>
            <w:vAlign w:val="bottom"/>
          </w:tcPr>
          <w:p>
            <w:pPr>
              <w:jc w:val="right"/>
              <w:ind w:right="19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Selecta Biosciences,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Selecta Biosciences, Inc. (the Company) as of December 31, 2020 and 2019, the related consolidated statements of operations and comprehensive loss, changes in stockholders’ (deficit)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5"/>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138,685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6"/>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86"/>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151,343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 net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165,435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(deficit)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8,146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Loan payable</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Lease liability</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72,050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79"/>
        </w:trPr>
        <w:tc>
          <w:tcPr>
            <w:tcW w:w="86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81,547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 liabilities: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24,793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38,746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Warrant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28,708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41,549</w:t>
            </w:r>
          </w:p>
        </w:tc>
        <w:tc>
          <w:tcPr>
            <w:tcW w:w="0" w:type="dxa"/>
            <w:vAlign w:val="bottom"/>
          </w:tcPr>
          <w:p>
            <w:pPr>
              <w:spacing w:after="0"/>
              <w:rPr>
                <w:sz w:val="1"/>
                <w:szCs w:val="1"/>
                <w:color w:val="auto"/>
              </w:rPr>
            </w:pPr>
          </w:p>
        </w:tc>
      </w:tr>
      <w:tr>
        <w:trPr>
          <w:trHeight w:val="179"/>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183,441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91,172</w:t>
            </w:r>
          </w:p>
        </w:tc>
        <w:tc>
          <w:tcPr>
            <w:tcW w:w="0" w:type="dxa"/>
            <w:vAlign w:val="bottom"/>
          </w:tcPr>
          <w:p>
            <w:pPr>
              <w:spacing w:after="0"/>
              <w:rPr>
                <w:sz w:val="1"/>
                <w:szCs w:val="1"/>
                <w:color w:val="auto"/>
              </w:rPr>
            </w:pPr>
          </w:p>
        </w:tc>
      </w:tr>
      <w:tr>
        <w:trPr>
          <w:trHeight w:val="17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17)</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Arial" w:cs="Arial" w:eastAsia="Arial" w:hAnsi="Arial"/>
                <w:sz w:val="14"/>
                <w:szCs w:val="14"/>
                <w:b w:val="1"/>
                <w:bCs w:val="1"/>
                <w:color w:val="auto"/>
              </w:rPr>
              <w:t>Stockholders’ (deficit) equity: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68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w w:val="93"/>
              </w:rPr>
              <w:t>Preferred stock, $0.0001 par value; 10,000,000 shares authorized; no shares issued and outstanding at December 31, 2020 and December 31, 2019,</w:t>
            </w:r>
          </w:p>
        </w:tc>
        <w:tc>
          <w:tcPr>
            <w:tcW w:w="1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80" w:type="dxa"/>
            <w:vAlign w:val="bottom"/>
          </w:tcPr>
          <w:p>
            <w:pPr>
              <w:spacing w:after="0" w:line="135" w:lineRule="exact"/>
              <w:rPr>
                <w:sz w:val="20"/>
                <w:szCs w:val="20"/>
                <w:color w:val="auto"/>
              </w:rPr>
            </w:pPr>
            <w:r>
              <w:rPr>
                <w:rFonts w:ascii="Arial" w:cs="Arial" w:eastAsia="Arial" w:hAnsi="Arial"/>
                <w:sz w:val="14"/>
                <w:szCs w:val="14"/>
                <w:color w:val="auto"/>
                <w:w w:val="94"/>
              </w:rPr>
              <w:t>Common stock, $0.0001 par value; 200,000,000 shares authorized; 108,071,249 and 86,325,547 shares issued and outstanding as of December 31,</w:t>
            </w: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2020 and December 31, 2019, respectively</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391,175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348,664</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(404,629)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(335,753)</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179"/>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stockholders’ (deficit) equity</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211"/>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(deficit)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165,435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16,597</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6,677</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903</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70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54,505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42,743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47,687</w:t>
            </w:r>
          </w:p>
        </w:tc>
      </w:tr>
      <w:tr>
        <w:trPr>
          <w:trHeight w:val="192"/>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18,238</w:t>
            </w:r>
          </w:p>
        </w:tc>
      </w:tr>
      <w:tr>
        <w:trPr>
          <w:trHeight w:val="17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73,418</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65,925</w:t>
            </w:r>
          </w:p>
        </w:tc>
      </w:tr>
      <w:tr>
        <w:trPr>
          <w:trHeight w:val="18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(65,022)</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(68,876)</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(55,350)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(65,336)</w:t>
            </w:r>
          </w:p>
        </w:tc>
      </w:tr>
      <w:tr>
        <w:trPr>
          <w:trHeight w:val="199"/>
        </w:trPr>
        <w:tc>
          <w:tcPr>
            <w:tcW w:w="6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86"/>
        </w:trPr>
        <w:tc>
          <w:tcPr>
            <w:tcW w:w="6700" w:type="dxa"/>
            <w:vAlign w:val="bottom"/>
          </w:tcPr>
          <w:p>
            <w:pPr>
              <w:ind w:left="220"/>
              <w:spacing w:after="0"/>
              <w:rPr>
                <w:sz w:val="20"/>
                <w:szCs w:val="20"/>
                <w:color w:val="auto"/>
              </w:rPr>
            </w:pPr>
            <w:r>
              <w:rPr>
                <w:rFonts w:ascii="Arial" w:cs="Arial" w:eastAsia="Arial" w:hAnsi="Arial"/>
                <w:sz w:val="14"/>
                <w:szCs w:val="14"/>
                <w:color w:val="auto"/>
              </w:rPr>
              <w:t>Unrealized gain on securities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11"/>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(65,473)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(0.68)</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7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101,202,176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45,548,511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22,389,286</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4"/>
        </w:trPr>
        <w:tc>
          <w:tcPr>
            <w:tcW w:w="560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22,343,254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51,814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Adoption of new accounting principle</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tcBorders>
              <w:top w:val="single" w:sz="8" w:color="CCEEFF"/>
            </w:tcBorders>
            <w:vMerge w:val="continue"/>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1,830</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103,784</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on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(65,336)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(65,336)</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22,471,776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279,539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(280,403)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tcBorders>
              <w:top w:val="single" w:sz="8" w:color="CCEEFF"/>
            </w:tcBorders>
            <w:vMerge w:val="continue"/>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17,205</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125,600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93,750</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22,188,706</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30,942</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Arial" w:cs="Arial" w:eastAsia="Arial" w:hAnsi="Arial"/>
                <w:sz w:val="14"/>
                <w:szCs w:val="14"/>
                <w:color w:val="auto"/>
              </w:rPr>
              <w:t>615,453</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private 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3,178,174</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pre-funded warrants and warrants through private placement</w:t>
            </w:r>
          </w:p>
        </w:tc>
        <w:tc>
          <w:tcPr>
            <w:tcW w:w="800" w:type="dxa"/>
            <w:vAlign w:val="bottom"/>
          </w:tcPr>
          <w:p>
            <w:pPr>
              <w:jc w:val="right"/>
              <w:spacing w:after="0"/>
              <w:rPr>
                <w:sz w:val="20"/>
                <w:szCs w:val="20"/>
                <w:color w:val="auto"/>
              </w:rPr>
            </w:pPr>
            <w:r>
              <w:rPr>
                <w:rFonts w:ascii="Arial" w:cs="Arial" w:eastAsia="Arial" w:hAnsi="Arial"/>
                <w:sz w:val="14"/>
                <w:szCs w:val="14"/>
                <w:color w:val="auto"/>
              </w:rPr>
              <w:t>37,634,883</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26,125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26,129</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5,161</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86,325,547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348,664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(335,753)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110,212</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76,128</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93,750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Arial" w:cs="Arial" w:eastAsia="Arial" w:hAnsi="Arial"/>
                <w:sz w:val="14"/>
                <w:szCs w:val="14"/>
                <w:color w:val="auto"/>
              </w:rPr>
              <w:t>1,069,486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private 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5,416,390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pre-funded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8,342,128</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common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6,637,608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24,263</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warrants with long-term debt,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(68,876)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(68,876)</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108,071,249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(404,629)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2018</w:t>
            </w:r>
          </w:p>
        </w:tc>
      </w:tr>
      <w:tr>
        <w:trPr>
          <w:trHeight w:val="184"/>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(68,876)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(55,350)</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(65,336)</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975</w:t>
            </w:r>
          </w:p>
        </w:tc>
      </w:tr>
      <w:tr>
        <w:trPr>
          <w:trHeight w:val="192"/>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of discounts on investments</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6"/>
        </w:trPr>
        <w:tc>
          <w:tcPr>
            <w:tcW w:w="7060" w:type="dxa"/>
            <w:vAlign w:val="bottom"/>
          </w:tcPr>
          <w:p>
            <w:pPr>
              <w:ind w:left="220"/>
              <w:spacing w:after="0"/>
              <w:rPr>
                <w:sz w:val="20"/>
                <w:szCs w:val="20"/>
                <w:color w:val="auto"/>
              </w:rPr>
            </w:pPr>
            <w:r>
              <w:rPr>
                <w:rFonts w:ascii="Arial" w:cs="Arial" w:eastAsia="Arial" w:hAnsi="Arial"/>
                <w:sz w:val="14"/>
                <w:szCs w:val="14"/>
                <w:color w:val="auto"/>
              </w:rPr>
              <w:t>Non-cash lease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disposal of property and equipment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6"/>
        </w:trPr>
        <w:tc>
          <w:tcPr>
            <w:tcW w:w="706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5,714</w:t>
            </w:r>
          </w:p>
        </w:tc>
      </w:tr>
      <w:tr>
        <w:trPr>
          <w:trHeight w:val="192"/>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interest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186"/>
        </w:trPr>
        <w:tc>
          <w:tcPr>
            <w:tcW w:w="7060" w:type="dxa"/>
            <w:vAlign w:val="bottom"/>
          </w:tcPr>
          <w:p>
            <w:pPr>
              <w:ind w:left="220"/>
              <w:spacing w:after="0"/>
              <w:rPr>
                <w:sz w:val="20"/>
                <w:szCs w:val="20"/>
                <w:color w:val="auto"/>
              </w:rPr>
            </w:pPr>
            <w:r>
              <w:rPr>
                <w:rFonts w:ascii="Arial" w:cs="Arial" w:eastAsia="Arial" w:hAnsi="Arial"/>
                <w:sz w:val="14"/>
                <w:szCs w:val="14"/>
                <w:color w:val="auto"/>
              </w:rPr>
              <w:t>Warrant liabilities revaluation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60" w:type="dxa"/>
            <w:vAlign w:val="bottom"/>
          </w:tcPr>
          <w:p>
            <w:pPr>
              <w:ind w:left="220"/>
              <w:spacing w:after="0"/>
              <w:rPr>
                <w:sz w:val="20"/>
                <w:szCs w:val="20"/>
                <w:color w:val="auto"/>
              </w:rPr>
            </w:pPr>
            <w:r>
              <w:rPr>
                <w:rFonts w:ascii="Arial" w:cs="Arial" w:eastAsia="Arial" w:hAnsi="Arial"/>
                <w:sz w:val="14"/>
                <w:szCs w:val="14"/>
                <w:color w:val="auto"/>
              </w:rPr>
              <w:t>Net realized losses on investments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6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deposits and other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r>
      <w:tr>
        <w:trPr>
          <w:trHeight w:val="186"/>
        </w:trPr>
        <w:tc>
          <w:tcPr>
            <w:tcW w:w="706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(516)</w:t>
            </w:r>
          </w:p>
        </w:tc>
      </w:tr>
      <w:tr>
        <w:trPr>
          <w:trHeight w:val="192"/>
        </w:trPr>
        <w:tc>
          <w:tcPr>
            <w:tcW w:w="7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6"/>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2,467</w:t>
            </w:r>
          </w:p>
        </w:tc>
      </w:tr>
      <w:tr>
        <w:trPr>
          <w:trHeight w:val="186"/>
        </w:trPr>
        <w:tc>
          <w:tcPr>
            <w:tcW w:w="70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(51,435)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(59,161)</w:t>
            </w:r>
          </w:p>
        </w:tc>
      </w:tr>
      <w:tr>
        <w:trPr>
          <w:trHeight w:val="176"/>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5"/>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Receipts from the maturity of short-term investments</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41,655</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Purchases of short-term investments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(15,598)</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short term investments</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(884)</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179"/>
        </w:trPr>
        <w:tc>
          <w:tcPr>
            <w:tcW w:w="706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(used in) provided by investing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25,272</w:t>
            </w:r>
          </w:p>
        </w:tc>
      </w:tr>
      <w:tr>
        <w:trPr>
          <w:trHeight w:val="18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Proceeds from issuance of long-term debt, net of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24,736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Repayments of principal on outstanding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Net proceeds from issuance of common stock</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30,942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 at-the-market offering</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Net proceeds from issuance of common stock- private placement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paid for December 2019 financing</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Arial" w:cs="Arial" w:eastAsia="Arial" w:hAnsi="Arial"/>
                <w:sz w:val="18"/>
                <w:szCs w:val="18"/>
                <w:color w:val="auto"/>
              </w:rPr>
              <w:t>—</w:t>
            </w:r>
          </w:p>
        </w:tc>
      </w:tr>
      <w:tr>
        <w:trPr>
          <w:trHeight w:val="189"/>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exercise of pre-funded and common warrants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179"/>
        </w:trPr>
        <w:tc>
          <w:tcPr>
            <w:tcW w:w="706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105,041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w:t>
            </w:r>
          </w:p>
        </w:tc>
      </w:tr>
      <w:tr>
        <w:trPr>
          <w:trHeight w:val="18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48,513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53,869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(33,345)</w:t>
            </w:r>
          </w:p>
        </w:tc>
      </w:tr>
      <w:tr>
        <w:trPr>
          <w:trHeight w:val="189"/>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91,551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37,682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71,027</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140,064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91,551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 cash flow information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1,134</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Cashless warrant exercise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21,790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warrant liability to equity upon exercise of warrants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Fair value of warrants issued in connection with issuance of long-term debt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Equity offering costs in accrued liabilities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4,381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2"/>
        </w:trPr>
        <w:tc>
          <w:tcPr>
            <w:tcW w:w="7060" w:type="dxa"/>
            <w:vAlign w:val="bottom"/>
          </w:tcPr>
          <w:p>
            <w:pPr>
              <w:ind w:left="20"/>
              <w:spacing w:after="0"/>
              <w:rPr>
                <w:sz w:val="20"/>
                <w:szCs w:val="20"/>
                <w:color w:val="auto"/>
              </w:rPr>
            </w:pPr>
            <w:r>
              <w:rPr>
                <w:rFonts w:ascii="Arial" w:cs="Arial" w:eastAsia="Arial" w:hAnsi="Arial"/>
                <w:sz w:val="14"/>
                <w:szCs w:val="14"/>
                <w:color w:val="auto"/>
              </w:rPr>
              <w:t>Debt issuance costs in accrued liabilities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clinical-stage biopharmaceutical company leveraging its ImmTOR™ immune tolerance platform with the goals of amplifying the efficacy of biologics, including enabling the re-dosing of life-saving gene therapies, and restoring self-tolerance in autoimmune diseases. The Company's ImmTOR platform encapsulates rapamycin, also known as sirolimus, an immunomodulator, in biodegradable nanoparticles and is designed to induce antigen-specific immune tolerance. The Company believes ImmTOR has the potential to enhance the efficacy without compromising the safety of biologic therapies, improve product candidates under development, and enable novel therapeutic modalities. Since inception, the Company has devoted its efforts principally to research and development of its technology and product candidates, recruiting management and technical staff, acquiring operating assets, and raising capital.</w:t>
      </w:r>
    </w:p>
    <w:p>
      <w:pPr>
        <w:spacing w:after="0" w:line="8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12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8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To date, the Company has financed its operations primarily through the initial public offering of its common stock, private placements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 substantially all of its financial resources and efforts to developing its ImmTOR platform,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December 31, 2020, the Company’s cash, cash equivalents and restricted cash were $140.1 million, of which $1.4 million was restricted cash related to lease commitments and $0.3 million was held by its Russian subsidiary designated solely for use in its operations. The Company believes the cash, cash equivalents, and restricted cash as of December 31, 2020 will enable us to fund our operating expenses and capital expenditure requirements into the second quarter of 2023. The Company has incurred losses and negative cash flows from operating activities since inception. As of December 31, 2020, the Company had an accumulated deficit of $404.6 million.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w:t>
      </w:r>
    </w:p>
    <w:p>
      <w:pPr>
        <w:spacing w:after="0" w:line="70"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At this time, there is significant uncertainty relating to the trajectory of the COVID-19 pandemic and the impact of related responses. Any impact of COVID-19 on our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countries, business closures or business disruptions, the ultimate impact on financial markets and the global economy, and the effectiveness of actions taken in the United States and other countries to contain and treat the disease.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2020,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96" w:lineRule="exact"/>
        <w:rPr>
          <w:sz w:val="20"/>
          <w:szCs w:val="20"/>
          <w:color w:val="auto"/>
        </w:rPr>
      </w:pPr>
    </w:p>
    <w:p>
      <w:pPr>
        <w:ind w:right="7640" w:firstLine="8"/>
        <w:spacing w:after="0" w:line="378" w:lineRule="auto"/>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jc w:val="both"/>
        <w:ind w:right="40"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or Selecta (RUS), a Russian limited liability corporation, and Selecta Biosciences Security Corporation, a Massachusetts Security Corporation. All significant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equity. Foreign currency transaction gains or losses are reflected in the consolidated statements of operations and comprehensive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valuation of its warrant liabilities and estimating accrued research and development expenses. The Company assesses the above estimates on an ongoing basis; however, actual results could materially differ from those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Investments and Restricted Cash</w:t>
      </w:r>
    </w:p>
    <w:p>
      <w:pPr>
        <w:spacing w:after="0" w:line="121" w:lineRule="exact"/>
        <w:rPr>
          <w:sz w:val="20"/>
          <w:szCs w:val="20"/>
          <w:color w:val="auto"/>
        </w:rPr>
      </w:pPr>
    </w:p>
    <w:p>
      <w:pPr>
        <w:ind w:right="340" w:firstLine="324"/>
        <w:spacing w:after="0" w:line="296" w:lineRule="auto"/>
        <w:rPr>
          <w:sz w:val="20"/>
          <w:szCs w:val="20"/>
          <w:color w:val="auto"/>
        </w:rPr>
      </w:pPr>
      <w:r>
        <w:rPr>
          <w:rFonts w:ascii="Arial" w:cs="Arial" w:eastAsia="Arial" w:hAnsi="Arial"/>
          <w:sz w:val="16"/>
          <w:szCs w:val="16"/>
          <w:color w:val="auto"/>
        </w:rPr>
        <w:t>Cash equivalents include all highly liquid investments maturing within 90 days from the date of purchase. Investments consist of securities with remaining maturities greater than 90 days when purchased. The Company classifies these marketable securities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53"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year ended December 31, 2020, there were no realized losses on sales of investments, and no investments were adjusted for other than temporary declines in fair value.</w:t>
      </w:r>
    </w:p>
    <w:p>
      <w:pPr>
        <w:spacing w:after="0" w:line="4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December 31, 2020, the Company had restricted cash balances relating to a secured letter of credit in connection with its Headquarters Lease (as defined in Note 8). The following table provides a reconciliation of cash, cash equivalents, and</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restricted cash reported within the consolidated balance sheet that sum to the total of the same such amounts shown in the consolidated statement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89,893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37,403</w:t>
            </w: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Short-term restricted cash</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86"/>
        </w:trPr>
        <w:tc>
          <w:tcPr>
            <w:tcW w:w="818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140,064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91,551</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37,682</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cash equivalents, short-term deposits and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December 31, 2020, the Company maintained approximately $0.3 million in Russian bank accounts, all of which was held in U.S. dollars.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have any off-balance sheet arrangements as of December 31, 2020 and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financial instruments consist mainly of cash equivalents, restricted cash, accounts payable, loans payable, and common warrants. The carrying amounts of cash equivalents, restricted cash, accounts receivable, and accounts payable approximate their estimated fair value due to their short-term maturities. At December 31, 2020, given the recent issuance of the Term A Loan under the 2020 Term Loan (each, as defined below), the Company believes the carrying value approximates the fair value of the loan.</w:t>
      </w:r>
    </w:p>
    <w:p>
      <w:pPr>
        <w:spacing w:after="0" w:line="79"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7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were determined using Level 3 inputs.</w:t>
      </w:r>
    </w:p>
    <w:p>
      <w:pPr>
        <w:spacing w:after="0" w:line="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2020 or December 31, 2019.</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any material impairment losses during the years ended December 31, 2020 and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effective interest method and recorded as interest expense.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w:t>
      </w:r>
    </w:p>
    <w:p>
      <w:pPr>
        <w:spacing w:after="0" w:line="1" w:lineRule="exact"/>
        <w:rPr>
          <w:sz w:val="20"/>
          <w:szCs w:val="20"/>
          <w:color w:val="auto"/>
        </w:rPr>
      </w:pPr>
    </w:p>
    <w:p>
      <w:pPr>
        <w:ind w:firstLine="8"/>
        <w:spacing w:after="0" w:line="268"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Swedish Orphan Biovitrum (“Sobi”), Asklepios Biopharmaceutical, Inc. (“AskBio”), Sarepta Therapeutics, Inc. (“Sarepta”), and Spark Therapeutics, Inc. (“Spark”) (see Note 12) will be satisfied over time, and revenue will be recognized using the output method, based on the proportion of actual deliveries to the total expected deliveries over the initial term.</w:t>
      </w:r>
    </w:p>
    <w:p>
      <w:pPr>
        <w:spacing w:after="0" w:line="60"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i w:val="1"/>
          <w:iCs w:val="1"/>
          <w:color w:val="auto"/>
        </w:rPr>
        <w:t xml:space="preserve">Collaboration and Grant Revenue: </w:t>
      </w:r>
      <w:r>
        <w:rPr>
          <w:rFonts w:ascii="Arial" w:cs="Arial" w:eastAsia="Arial" w:hAnsi="Arial"/>
          <w:sz w:val="17"/>
          <w:szCs w:val="17"/>
          <w:color w:val="auto"/>
        </w:rPr>
        <w:t>The Company currently generates its revenue through grants, collaboration and license agreements with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collaborators for the development and commercialization of product candidates. Grants and license agreements with customers are accounted for in accordance with ASC 606. The Company analyzes collaboration arrangements by first assessing whether they are within the scope of ASC Topic 808, </w:t>
      </w:r>
      <w:r>
        <w:rPr>
          <w:rFonts w:ascii="Arial" w:cs="Arial" w:eastAsia="Arial" w:hAnsi="Arial"/>
          <w:sz w:val="17"/>
          <w:szCs w:val="17"/>
          <w:i w:val="1"/>
          <w:iCs w:val="1"/>
          <w:color w:val="auto"/>
        </w:rPr>
        <w:t>Collaborative Arrangements (ASC 808</w:t>
      </w:r>
      <w:r>
        <w:rPr>
          <w:rFonts w:ascii="Arial" w:cs="Arial" w:eastAsia="Arial" w:hAnsi="Arial"/>
          <w:sz w:val="17"/>
          <w:szCs w:val="17"/>
          <w:color w:val="auto"/>
        </w:rPr>
        <w:t>), and evaluates whether such arrangements involve joint operating activities performed by parties that are both</w:t>
      </w:r>
      <w:r>
        <w:rPr>
          <w:rFonts w:ascii="Arial" w:cs="Arial" w:eastAsia="Arial" w:hAnsi="Arial"/>
          <w:sz w:val="17"/>
          <w:szCs w:val="17"/>
          <w:i w:val="1"/>
          <w:iCs w:val="1"/>
          <w:color w:val="auto"/>
        </w:rPr>
        <w:t xml:space="preserve"> </w:t>
      </w:r>
      <w:r>
        <w:rPr>
          <w:rFonts w:ascii="Arial" w:cs="Arial" w:eastAsia="Arial" w:hAnsi="Arial"/>
          <w:sz w:val="17"/>
          <w:szCs w:val="17"/>
          <w:color w:val="auto"/>
        </w:rPr>
        <w:t>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The Company early adopted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ASU No. 2018-18, </w:t>
      </w:r>
      <w:r>
        <w:rPr>
          <w:rFonts w:ascii="Arial" w:cs="Arial" w:eastAsia="Arial" w:hAnsi="Arial"/>
          <w:sz w:val="17"/>
          <w:szCs w:val="17"/>
          <w:i w:val="1"/>
          <w:iCs w:val="1"/>
          <w:color w:val="auto"/>
        </w:rPr>
        <w:t>Collaborative Arrangements (Topic 808): Clarifying the Interaction between Topic 808 and Topic 606</w:t>
      </w:r>
      <w:r>
        <w:rPr>
          <w:rFonts w:ascii="Arial" w:cs="Arial" w:eastAsia="Arial" w:hAnsi="Arial"/>
          <w:sz w:val="17"/>
          <w:szCs w:val="17"/>
          <w:color w:val="auto"/>
        </w:rPr>
        <w:t xml:space="preserve">, which provides guidance on evaluating certain transactions between collaborative arrangement participants.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Arial" w:cs="Arial" w:eastAsia="Arial" w:hAnsi="Arial"/>
          <w:sz w:val="17"/>
          <w:szCs w:val="17"/>
          <w:i w:val="1"/>
          <w:iCs w:val="1"/>
          <w:color w:val="auto"/>
        </w:rPr>
        <w:t>Research and Development (ASC 730)</w:t>
      </w:r>
      <w:r>
        <w:rPr>
          <w:rFonts w:ascii="Arial" w:cs="Arial" w:eastAsia="Arial" w:hAnsi="Arial"/>
          <w:sz w:val="17"/>
          <w:szCs w:val="17"/>
          <w:color w:val="auto"/>
        </w:rPr>
        <w:t>, and records reimbursements from counterparties as an offset to the related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77"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(R&amp;D) expenses; and (v) profit/loss sharing arising from co-promotion arrangements.</w:t>
      </w:r>
    </w:p>
    <w:p>
      <w:pPr>
        <w:spacing w:after="0" w:line="5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7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12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June 11, 2020, we and Sobi entered into a license and development agreement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Footnote 12. The reimbursable costs exclude any costs of additional development activities required that are related to ImmTOR and that are unrelated to SEL-212.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and then in accordance with ASC 815-40,</w:t>
      </w:r>
      <w:r>
        <w:rPr>
          <w:rFonts w:ascii="Arial" w:cs="Arial" w:eastAsia="Arial" w:hAnsi="Arial"/>
          <w:sz w:val="16"/>
          <w:szCs w:val="16"/>
          <w:i w:val="1"/>
          <w:iCs w:val="1"/>
          <w:color w:val="auto"/>
        </w:rPr>
        <w:t xml:space="preserve"> 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or the underlying shares by paying cash or other assets, or must or may require settlement by issuing variable number of shares.</w:t>
      </w:r>
    </w:p>
    <w:p>
      <w:pPr>
        <w:spacing w:after="0" w:line="53"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0"/>
        <w:spacing w:after="0" w:line="375" w:lineRule="auto"/>
        <w:rPr>
          <w:sz w:val="20"/>
          <w:szCs w:val="20"/>
          <w:color w:val="auto"/>
        </w:rPr>
      </w:pPr>
      <w:r>
        <w:rPr>
          <w:rFonts w:ascii="Arial" w:cs="Arial" w:eastAsia="Arial" w:hAnsi="Arial"/>
          <w:sz w:val="18"/>
          <w:szCs w:val="18"/>
          <w:color w:val="auto"/>
        </w:rPr>
        <w:t xml:space="preserve">adjusted. Stock-based compensation expense recognized in the consolidated financial statements is based on awards that ultimately vest. </w:t>
      </w:r>
      <w:r>
        <w:rPr>
          <w:rFonts w:ascii="Arial" w:cs="Arial" w:eastAsia="Arial" w:hAnsi="Arial"/>
          <w:sz w:val="18"/>
          <w:szCs w:val="18"/>
          <w:b w:val="1"/>
          <w:bCs w:val="1"/>
          <w:color w:val="auto"/>
        </w:rPr>
        <w:t>Net Loss Per Share</w:t>
      </w:r>
    </w:p>
    <w:p>
      <w:pPr>
        <w:spacing w:after="0" w:line="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and pre-funded warrants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r>
        <w:rPr>
          <w:rFonts w:ascii="Arial" w:cs="Arial" w:eastAsia="Arial" w:hAnsi="Arial"/>
          <w:sz w:val="18"/>
          <w:szCs w:val="18"/>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accordance with the guidance in ASC 842,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estimated incremental borrowing rate upon lease modification. See Note 8 for details.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(ASU 2018-13) which changes the fair value measurement disclosure requirements of ASC 820. Entities will no longer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the amount of, and reasons for, transfers between Level 1 and Level 2 of the fair value hierarchy, the policy of timing of transfers between levels of the fair value hierarchy and the valuation processes for Level 3 fair value measurements. The Company adopted the new standard effective January 1, 2020, and there was no impact on its consolidated financial statements.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updates various codification topics by clarifying or improving disclosure requirements to align with the SEC’s regulations. This ASU is effective for public entities for fiscal years beginning after December 15, 2020. The Company is assessing the impact this standard will have on its consolidated financial statements and disclosures.</w:t>
      </w:r>
    </w:p>
    <w:p>
      <w:pPr>
        <w:spacing w:after="0" w:line="57"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 – 40)</w:t>
      </w:r>
      <w:r>
        <w:rPr>
          <w:rFonts w:ascii="Arial" w:cs="Arial" w:eastAsia="Arial" w:hAnsi="Arial"/>
          <w:sz w:val="17"/>
          <w:szCs w:val="17"/>
          <w:color w:val="auto"/>
        </w:rPr>
        <w:t>. ASU 2020-06 simplifies the accounting for certain financial instruments with characteristics of</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 equity, including convertible instruments and contracts on an entity’s own equity. This ASU is effective for smaller reporting companies for fiscal years beginning after December 15, 2023, with early adoption permitted no earlier than January 1, 2021. The Company is assessing the impact this standard will have on its consolidated financial statements and disclosures.</w:t>
      </w:r>
    </w:p>
    <w:p>
      <w:pPr>
        <w:spacing w:after="0" w:line="6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xml:space="preserve"> ASU 2019-12 simplifies the accounting for income taxes by removing certain exceptions to the general principles in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Topic 740. This ASU is effective for public entities for fiscal years beginning after December 15, 2020. The Company is assessing the impact this standard will have on its consolidated financial statements and disclosures.</w:t>
      </w:r>
    </w:p>
    <w:p>
      <w:pPr>
        <w:spacing w:after="0" w:line="6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Subsequently, in November 2018, the FASB issued ASU 2018-19,</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2016-13 requires entities to measure all expected credit losses for most financial assets held at the reporting date based on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is assessing the impact this standard will have on its consolidated financial statements and disclosures.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and December 31, 2019, the Company did not have marketable securities.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The Company has reported a net loss for the years ended December 31, 2020, 2019 and 2018. For this reason basic and diluted net loss per share are the same for all periods presented. Since the shares underlying the 8,342,128 pre-funded warrants were issuable for little or no consideration, they were considered outstanding for both basic and diluted earnings per share. During the second quarter 2020, all 8,342,128 pre-funded warrants were exercised, but had no effect on basic and diluted shares at exercise because all were included in both basic and diluted from the period of issuance. The following table sets forth the computation of basic and diluted net loss per share (in thousands, except share and per-share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7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r>
      <w:tr>
        <w:trPr>
          <w:trHeight w:val="179"/>
        </w:trPr>
        <w:tc>
          <w:tcPr>
            <w:tcW w:w="680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(68,876)</w:t>
            </w:r>
          </w:p>
        </w:tc>
        <w:tc>
          <w:tcPr>
            <w:tcW w:w="14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(55,350)</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(65,336)</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6"/>
        </w:trPr>
        <w:tc>
          <w:tcPr>
            <w:tcW w:w="68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Denominator:</w:t>
            </w: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8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common shares and pre-funded warrants outstanding—basic and diluted</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101,202,176</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45,548,511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22,389,286</w:t>
            </w:r>
          </w:p>
        </w:tc>
      </w:tr>
      <w:tr>
        <w:trPr>
          <w:trHeight w:val="20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 options to purchase common stock</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Unvested restricted stock units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Stock warrants to purchase common stock</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77"/>
        </w:trPr>
        <w:tc>
          <w:tcPr>
            <w:tcW w:w="1380" w:type="dxa"/>
            <w:vAlign w:val="bottom"/>
          </w:tcPr>
          <w:p>
            <w:pPr>
              <w:jc w:val="right"/>
              <w:spacing w:after="0"/>
              <w:rPr>
                <w:sz w:val="20"/>
                <w:szCs w:val="20"/>
                <w:color w:val="auto"/>
              </w:rPr>
            </w:pPr>
            <w:r>
              <w:rPr>
                <w:rFonts w:ascii="Arial" w:cs="Arial" w:eastAsia="Arial" w:hAnsi="Arial"/>
                <w:sz w:val="14"/>
                <w:szCs w:val="14"/>
                <w:color w:val="auto"/>
              </w:rPr>
              <w:t>7,775,249</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6,796,669</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4,093,979</w:t>
            </w:r>
          </w:p>
        </w:tc>
      </w:tr>
      <w:tr>
        <w:trPr>
          <w:trHeight w:val="184"/>
        </w:trPr>
        <w:tc>
          <w:tcPr>
            <w:tcW w:w="1380" w:type="dxa"/>
            <w:vAlign w:val="bottom"/>
          </w:tcPr>
          <w:p>
            <w:pPr>
              <w:jc w:val="right"/>
              <w:spacing w:after="0"/>
              <w:rPr>
                <w:sz w:val="20"/>
                <w:szCs w:val="20"/>
                <w:color w:val="auto"/>
              </w:rPr>
            </w:pPr>
            <w:r>
              <w:rPr>
                <w:rFonts w:ascii="Arial" w:cs="Arial" w:eastAsia="Arial" w:hAnsi="Arial"/>
                <w:sz w:val="14"/>
                <w:szCs w:val="14"/>
                <w:color w:val="auto"/>
              </w:rPr>
              <w:t>87,500</w:t>
            </w: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181,250</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175,000</w:t>
            </w:r>
          </w:p>
        </w:tc>
      </w:tr>
      <w:tr>
        <w:trPr>
          <w:trHeight w:val="195"/>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12,378,016</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23,084,120</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95,619</w:t>
            </w:r>
          </w:p>
        </w:tc>
      </w:tr>
      <w:tr>
        <w:trPr>
          <w:trHeight w:val="185"/>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20,240,765</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30,062,039</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4,364,598</w:t>
            </w:r>
          </w:p>
        </w:tc>
      </w:tr>
      <w:tr>
        <w:trPr>
          <w:trHeight w:val="24"/>
        </w:trPr>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-530860</wp:posOffset>
            </wp:positionV>
            <wp:extent cx="71323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-281940</wp:posOffset>
            </wp:positionV>
            <wp:extent cx="713232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25"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1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December 31, 2020 and December 31, 2019, and indicate the level within the fair value hierarchy where each measurement is classified. Below is a summary of assets and liabilities measured at fair value on a recurring basis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7"/>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Money market funds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484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68"/>
              <w:spacing w:after="0" w:line="159"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80,576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28"/>
              <w:spacing w:after="0" w:line="159"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80,576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1008"/>
              <w:spacing w:after="0" w:line="159"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28"/>
              <w:spacing w:after="0" w:line="159"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28,708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28,708</w:t>
            </w:r>
          </w:p>
        </w:tc>
      </w:tr>
      <w:tr>
        <w:trPr>
          <w:trHeight w:val="21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7"/>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Money market funds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41,549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41,549</w:t>
            </w:r>
          </w:p>
        </w:tc>
      </w:tr>
      <w:tr>
        <w:trPr>
          <w:trHeight w:val="21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41,549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As of December 31, 2020 and December 31, 2019, the money market funds were classified as cash and cash equivalents on the accompanying consolidated balance sheets as they mature within 90 days from the date of purchase.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 Used in Determining Fair Value of Common Warrants</w:t>
      </w:r>
    </w:p>
    <w:p>
      <w:pPr>
        <w:spacing w:after="0" w:line="11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 reported as a liability on the balance sheet. The Company recorded the fair value of the common warrants upon issuance using the Black-Scholes valuation model and is required to revalue the common warrants at each reporting date with any changes in fair value recorded in the statement of operations. The valuation of the common warrants is considered under Level 3 of the fair value hierarchy due to the need to use assumptions in the valuation that are both significant to the fair value measurement and unobservable.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statement of operations for the year ended December 31, 2020.</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warrants is determined using Level 3 inputs inherent in the Black-Scholes simulation valuation.</w:t>
      </w:r>
    </w:p>
    <w:p>
      <w:pPr>
        <w:spacing w:after="0" w:line="117"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62"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6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Black-Scholes pricing model assumptions used to record the fair value of the warrant liability is as follows: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52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97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0.36 %</w:t>
            </w:r>
          </w:p>
        </w:tc>
      </w:tr>
      <w:tr>
        <w:trPr>
          <w:trHeight w:val="186"/>
        </w:trPr>
        <w:tc>
          <w:tcPr>
            <w:tcW w:w="972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82"/>
        </w:trPr>
        <w:tc>
          <w:tcPr>
            <w:tcW w:w="972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520" w:type="dxa"/>
            <w:vAlign w:val="bottom"/>
          </w:tcPr>
          <w:p>
            <w:pPr>
              <w:jc w:val="right"/>
              <w:spacing w:after="0"/>
              <w:rPr>
                <w:sz w:val="20"/>
                <w:szCs w:val="20"/>
                <w:color w:val="auto"/>
              </w:rPr>
            </w:pPr>
            <w:r>
              <w:rPr>
                <w:rFonts w:ascii="Arial" w:cs="Arial" w:eastAsia="Arial" w:hAnsi="Arial"/>
                <w:sz w:val="14"/>
                <w:szCs w:val="14"/>
                <w:color w:val="auto"/>
              </w:rPr>
              <w:t>98.63 %</w:t>
            </w:r>
          </w:p>
        </w:tc>
      </w:tr>
    </w:tbl>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a roll-forward of fair value for the Company’s Level 3 warrant liabilities (see Note 10),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 liabilities</w:t>
            </w:r>
          </w:p>
        </w:tc>
      </w:tr>
      <w:tr>
        <w:trPr>
          <w:trHeight w:val="189"/>
        </w:trPr>
        <w:tc>
          <w:tcPr>
            <w:tcW w:w="9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center"/>
              <w:ind w:left="688"/>
              <w:spacing w:after="0"/>
              <w:rPr>
                <w:sz w:val="20"/>
                <w:szCs w:val="20"/>
                <w:color w:val="auto"/>
              </w:rPr>
            </w:pPr>
            <w:r>
              <w:rPr>
                <w:rFonts w:ascii="Arial" w:cs="Arial" w:eastAsia="Arial" w:hAnsi="Arial"/>
                <w:sz w:val="14"/>
                <w:szCs w:val="14"/>
                <w:color w:val="auto"/>
                <w:w w:val="93"/>
              </w:rPr>
              <w:t>41,549</w:t>
            </w:r>
          </w:p>
        </w:tc>
      </w:tr>
      <w:tr>
        <w:trPr>
          <w:trHeight w:val="186"/>
        </w:trPr>
        <w:tc>
          <w:tcPr>
            <w:tcW w:w="9840" w:type="dxa"/>
            <w:vAlign w:val="bottom"/>
          </w:tcPr>
          <w:p>
            <w:pPr>
              <w:ind w:left="200"/>
              <w:spacing w:after="0"/>
              <w:rPr>
                <w:sz w:val="20"/>
                <w:szCs w:val="20"/>
                <w:color w:val="auto"/>
              </w:rPr>
            </w:pPr>
            <w:r>
              <w:rPr>
                <w:rFonts w:ascii="Arial" w:cs="Arial" w:eastAsia="Arial" w:hAnsi="Arial"/>
                <w:sz w:val="14"/>
                <w:szCs w:val="14"/>
                <w:color w:val="auto"/>
              </w:rPr>
              <w:t>Exercises</w:t>
            </w:r>
          </w:p>
        </w:tc>
        <w:tc>
          <w:tcPr>
            <w:tcW w:w="120" w:type="dxa"/>
            <w:vAlign w:val="bottom"/>
          </w:tcPr>
          <w:p>
            <w:pPr>
              <w:spacing w:after="0"/>
              <w:rPr>
                <w:sz w:val="16"/>
                <w:szCs w:val="16"/>
                <w:color w:val="auto"/>
              </w:rPr>
            </w:pPr>
          </w:p>
        </w:tc>
        <w:tc>
          <w:tcPr>
            <w:tcW w:w="1280" w:type="dxa"/>
            <w:vAlign w:val="bottom"/>
          </w:tcPr>
          <w:p>
            <w:pPr>
              <w:jc w:val="center"/>
              <w:ind w:left="668"/>
              <w:spacing w:after="0"/>
              <w:rPr>
                <w:sz w:val="20"/>
                <w:szCs w:val="20"/>
                <w:color w:val="auto"/>
              </w:rPr>
            </w:pPr>
            <w:r>
              <w:rPr>
                <w:rFonts w:ascii="Arial" w:cs="Arial" w:eastAsia="Arial" w:hAnsi="Arial"/>
                <w:sz w:val="14"/>
                <w:szCs w:val="14"/>
                <w:color w:val="auto"/>
                <w:w w:val="95"/>
              </w:rPr>
              <w:t>(23,284)</w:t>
            </w:r>
          </w:p>
        </w:tc>
      </w:tr>
      <w:tr>
        <w:trPr>
          <w:trHeight w:val="189"/>
        </w:trPr>
        <w:tc>
          <w:tcPr>
            <w:tcW w:w="9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fair value</w:t>
            </w: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center"/>
              <w:ind w:left="688"/>
              <w:spacing w:after="0"/>
              <w:rPr>
                <w:sz w:val="20"/>
                <w:szCs w:val="20"/>
                <w:color w:val="auto"/>
              </w:rPr>
            </w:pPr>
            <w:r>
              <w:rPr>
                <w:rFonts w:ascii="Arial" w:cs="Arial" w:eastAsia="Arial" w:hAnsi="Arial"/>
                <w:sz w:val="14"/>
                <w:szCs w:val="14"/>
                <w:color w:val="auto"/>
                <w:w w:val="93"/>
              </w:rPr>
              <w:t>10,443</w:t>
            </w:r>
          </w:p>
        </w:tc>
      </w:tr>
      <w:tr>
        <w:trPr>
          <w:trHeight w:val="186"/>
        </w:trPr>
        <w:tc>
          <w:tcPr>
            <w:tcW w:w="9840" w:type="dxa"/>
            <w:vAlign w:val="bottom"/>
          </w:tcPr>
          <w:p>
            <w:pPr>
              <w:ind w:left="20"/>
              <w:spacing w:after="0"/>
              <w:rPr>
                <w:sz w:val="20"/>
                <w:szCs w:val="20"/>
                <w:color w:val="auto"/>
              </w:rPr>
            </w:pPr>
            <w:r>
              <w:rPr>
                <w:rFonts w:ascii="Arial" w:cs="Arial" w:eastAsia="Arial" w:hAnsi="Arial"/>
                <w:sz w:val="14"/>
                <w:szCs w:val="14"/>
                <w:color w:val="auto"/>
              </w:rPr>
              <w:t>Fair value as of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w w:val="93"/>
              </w:rPr>
              <w:t>28,708</w:t>
            </w:r>
          </w:p>
        </w:tc>
      </w:tr>
      <w:tr>
        <w:trPr>
          <w:trHeight w:val="21"/>
        </w:trPr>
        <w:tc>
          <w:tcPr>
            <w:tcW w:w="9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4,836</w:t>
            </w: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process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8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property and equipment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w:t>
            </w:r>
          </w:p>
        </w:tc>
      </w:tr>
      <w:tr>
        <w:trPr>
          <w:trHeight w:val="18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(4,781)</w:t>
            </w:r>
          </w:p>
        </w:tc>
      </w:tr>
      <w:tr>
        <w:trPr>
          <w:trHeight w:val="211"/>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Depreciation expense was $0.6 million, $0.7 million and $1.0 million for the years ended December 31, 2020, 2019 and 2018, respectively. During the fourth quarter of 2020, capitalized website development costs of $0.1 million were recorded within construction in process. The Company recorded accelerated depreciation costs of less than $0.1 million in the reported property and equipment for the year ended December 31, 2020 relating to the new corporate headquarters move in 2020.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8"/>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and employee related expenses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Collaboration and licensing</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patent fees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Accrued external research and development costs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4,379</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and consulting services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December 2019 financing</w:t>
            </w: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w:t>
            </w:r>
          </w:p>
        </w:tc>
      </w:tr>
      <w:tr>
        <w:trPr>
          <w:trHeight w:val="18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r>
      <w:tr>
        <w:trPr>
          <w:trHeight w:val="211"/>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January 1, 2019, the Company adopted ASC 842 using the modified retrospective approach. The Company recorded operating lease assets (right-of-use assets) of $1.6 million and operating lease liabilities of $1.8 million and reversed a lease liability of $0.2 million related to straight-line rent and incentives. There was no impact to accumulated deficit upon adoption of ASC 842. The underlying assets of the Company’s leases are primarily office space. The Company determines if an arrangement qualifies as a lease at its inception.</w:t>
      </w:r>
    </w:p>
    <w:p>
      <w:pPr>
        <w:spacing w:after="0" w:line="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a practical expedient permitted under ASC 842, the Company elected to account for the lease and non-lease components as a single lease component for all leases of which it is the lessee. Lease payments, which may include lease and non-lease components, were included in the measurement of the Company’s lease liabilities to the extent that such payments were either fixed amounts or variable amounts dependent upon on a rate or index as stipulated in the lease contract.</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 On January 1, 2019, the discount rate used on existing operating leases at adoption, which had remaining lease terms of 15 months, was 10.0%.</w:t>
      </w:r>
    </w:p>
    <w:p>
      <w:pPr>
        <w:spacing w:after="0" w:line="7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enters into lease agreements with terms generally ranging from 2-8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1 and 5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480 Arsenal Way Lease</w:t>
      </w:r>
    </w:p>
    <w:p>
      <w:pPr>
        <w:spacing w:after="0" w:line="117" w:lineRule="exact"/>
        <w:rPr>
          <w:sz w:val="20"/>
          <w:szCs w:val="20"/>
          <w:color w:val="auto"/>
        </w:rPr>
      </w:pPr>
    </w:p>
    <w:p>
      <w:pPr>
        <w:ind w:right="100" w:firstLine="324"/>
        <w:spacing w:after="0" w:line="274" w:lineRule="auto"/>
        <w:rPr>
          <w:sz w:val="20"/>
          <w:szCs w:val="20"/>
          <w:color w:val="auto"/>
        </w:rPr>
      </w:pPr>
      <w:r>
        <w:rPr>
          <w:rFonts w:ascii="Arial" w:cs="Arial" w:eastAsia="Arial" w:hAnsi="Arial"/>
          <w:sz w:val="16"/>
          <w:szCs w:val="16"/>
          <w:color w:val="auto"/>
        </w:rPr>
        <w:t>The Company had a non-cancellable operating lease for its laboratory and office space located at 480 Arsenal Way, Watertown, Massachusetts, or the Prior Headquarters Lease. Pursuant to the Prior Headquarters Lease, the landlord provided the Company a tenant improvement allowance of up to $0.7 million, which the Company fully utilized during 2012. The leasehold improvements were capitalized as a component of property and equipment. In connection with the Prior Headquarters Lease, the Company had a letter of credit for $0.3 million which renewed automatically each year and was classified in restricted cash. In August 2016, the Company signed an amendment to the Prior Headquarters Lease, which extended the term through March 31, 2020. In March 2020, the Company signed an amendment to extend the lease term one additional month to April 30, 2020. The right-of-use asset and lease liability were remeasured and recorded based on the change in the lease term in which the net impact was immaterial.</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75 North Beacon Street Lease</w:t>
      </w:r>
    </w:p>
    <w:p>
      <w:pPr>
        <w:spacing w:after="0" w:line="11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October 2017, the Company entered into a lease for approximately 5,100 square feet of additional office space located at 75 North Beacon Street, Watertown, Massachusetts, or the 75 North Beacon Lease for a term through March 31, 2020. On January 11, 2019, the Company vacated 75 North Beacon Street, Watertown, MA and consolidated all employees at its then- corporate headquarters at 480 Arsenal Way, Watertown, MA. The right-of-use asset with carrying amount of $0.2 million attributable to the 75 North Beacon Lease was written down to zero during the first quarter of 2019.</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65 Grove Street Lease</w:t>
      </w:r>
    </w:p>
    <w:p>
      <w:pPr>
        <w:spacing w:after="0" w:line="11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July 2019, the Company entered into a lease for 25,078 square feet of laboratory and office space located at 65 Grove Street, Watertown, Massachusetts, or the Headquarters Lease. As part of the Headquarters Lease, the Company incurred $0.8 million in non-reimbursable construction costs. The lease began in March 2020, consistent with when the Company took control of the office space and the lease term is 8 years. The discount rate of 8.9% was determined based on the Company’s incremental borrowing rate adjusted for the lease term including any reasonably certain renewal periods. Rent payments began in May 2020, and the base rent for the first year is $0.2 million per month. In connection with the Headquarters Lease, the Company secured a letter of credit from Silicon Valley Bank for $1.4 million which renews automatically each year. The Company recorded the right-of-use asset and operating lease liabilities of $11.8 million during the three months ended March 31, 2020 as control of the premises was transferred to the Company.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Moscow, Russia Lease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month-to-month facility agreement for its Moscow, Russia office. Rent expense is recognized as incurred.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the years ended December 31, 2020, 2019 and 2018 was $2.7 million, $2.1 million and $2.0 million,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and 2019, the components of the operating leases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7"/>
        </w:trPr>
        <w:tc>
          <w:tcPr>
            <w:tcW w:w="8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170"/>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9"/>
        </w:trPr>
        <w:tc>
          <w:tcPr>
            <w:tcW w:w="8760" w:type="dxa"/>
            <w:vAlign w:val="bottom"/>
          </w:tcPr>
          <w:p>
            <w:pPr>
              <w:ind w:left="140"/>
              <w:spacing w:after="0"/>
              <w:rPr>
                <w:sz w:val="20"/>
                <w:szCs w:val="20"/>
                <w:color w:val="auto"/>
              </w:rPr>
            </w:pPr>
            <w:r>
              <w:rPr>
                <w:rFonts w:ascii="Arial" w:cs="Arial" w:eastAsia="Arial" w:hAnsi="Arial"/>
                <w:sz w:val="14"/>
                <w:szCs w:val="14"/>
                <w:color w:val="auto"/>
              </w:rPr>
              <w:t>Right-of-use asset, net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10,948</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8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8"/>
        </w:trPr>
        <w:tc>
          <w:tcPr>
            <w:tcW w:w="87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8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r>
      <w:tr>
        <w:trPr>
          <w:trHeight w:val="186"/>
        </w:trPr>
        <w:tc>
          <w:tcPr>
            <w:tcW w:w="8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9,647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10,555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2020 and 2019 the components of lease costs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r>
      <w:tr>
        <w:trPr>
          <w:trHeight w:val="187"/>
        </w:trPr>
        <w:tc>
          <w:tcPr>
            <w:tcW w:w="87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r>
      <w:tr>
        <w:trPr>
          <w:trHeight w:val="184"/>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2,096</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1,365</w:t>
            </w:r>
          </w:p>
        </w:tc>
      </w:tr>
      <w:tr>
        <w:trPr>
          <w:trHeight w:val="186"/>
        </w:trPr>
        <w:tc>
          <w:tcPr>
            <w:tcW w:w="876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76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828</w:t>
            </w:r>
          </w:p>
        </w:tc>
      </w:tr>
      <w:tr>
        <w:trPr>
          <w:trHeight w:val="189"/>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7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6"/>
        </w:trPr>
        <w:tc>
          <w:tcPr>
            <w:tcW w:w="876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2,730</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2,209</w:t>
            </w:r>
          </w:p>
        </w:tc>
      </w:tr>
      <w:tr>
        <w:trPr>
          <w:trHeight w:val="21"/>
        </w:trPr>
        <w:tc>
          <w:tcPr>
            <w:tcW w:w="8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340"/>
              <w:spacing w:after="0"/>
              <w:rPr>
                <w:sz w:val="20"/>
                <w:szCs w:val="20"/>
                <w:color w:val="auto"/>
              </w:rPr>
            </w:pPr>
            <w:r>
              <w:rPr>
                <w:rFonts w:ascii="Arial" w:cs="Arial" w:eastAsia="Arial" w:hAnsi="Arial"/>
                <w:sz w:val="18"/>
                <w:szCs w:val="18"/>
                <w:color w:val="auto"/>
                <w:w w:val="92"/>
              </w:rPr>
              <w:t>The maturity of the Company's operating lease liabilities as of December 31, 2020 were as follows (in thousands):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8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5"/>
        </w:trPr>
        <w:tc>
          <w:tcPr>
            <w:tcW w:w="87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0" w:type="dxa"/>
            <w:vAlign w:val="bottom"/>
          </w:tcPr>
          <w:p>
            <w:pPr>
              <w:spacing w:after="0"/>
              <w:rPr>
                <w:sz w:val="1"/>
                <w:szCs w:val="1"/>
                <w:color w:val="auto"/>
              </w:rPr>
            </w:pPr>
          </w:p>
        </w:tc>
      </w:tr>
      <w:tr>
        <w:trPr>
          <w:trHeight w:val="186"/>
        </w:trPr>
        <w:tc>
          <w:tcPr>
            <w:tcW w:w="876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192"/>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86"/>
        </w:trPr>
        <w:tc>
          <w:tcPr>
            <w:tcW w:w="876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192"/>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6"/>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w:t>
            </w:r>
          </w:p>
        </w:tc>
        <w:tc>
          <w:tcPr>
            <w:tcW w:w="0" w:type="dxa"/>
            <w:vAlign w:val="bottom"/>
          </w:tcPr>
          <w:p>
            <w:pPr>
              <w:spacing w:after="0"/>
              <w:rPr>
                <w:sz w:val="1"/>
                <w:szCs w:val="1"/>
                <w:color w:val="auto"/>
              </w:rPr>
            </w:pPr>
          </w:p>
        </w:tc>
      </w:tr>
      <w:tr>
        <w:trPr>
          <w:trHeight w:val="186"/>
        </w:trPr>
        <w:tc>
          <w:tcPr>
            <w:tcW w:w="8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future minimum lease payments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14,564</w:t>
            </w:r>
          </w:p>
        </w:tc>
        <w:tc>
          <w:tcPr>
            <w:tcW w:w="0" w:type="dxa"/>
            <w:vAlign w:val="bottom"/>
          </w:tcPr>
          <w:p>
            <w:pPr>
              <w:spacing w:after="0"/>
              <w:rPr>
                <w:sz w:val="1"/>
                <w:szCs w:val="1"/>
                <w:color w:val="auto"/>
              </w:rPr>
            </w:pPr>
          </w:p>
        </w:tc>
      </w:tr>
      <w:tr>
        <w:trPr>
          <w:trHeight w:val="186"/>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4,009</w:t>
            </w:r>
          </w:p>
        </w:tc>
        <w:tc>
          <w:tcPr>
            <w:tcW w:w="0" w:type="dxa"/>
            <w:vAlign w:val="bottom"/>
          </w:tcPr>
          <w:p>
            <w:pPr>
              <w:spacing w:after="0"/>
              <w:rPr>
                <w:sz w:val="1"/>
                <w:szCs w:val="1"/>
                <w:color w:val="auto"/>
              </w:rPr>
            </w:pPr>
          </w:p>
        </w:tc>
      </w:tr>
      <w:tr>
        <w:trPr>
          <w:trHeight w:val="211"/>
        </w:trPr>
        <w:tc>
          <w:tcPr>
            <w:tcW w:w="8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operating lease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10,555</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1"/>
              </w:rPr>
              <w:t>The supplemental disclosure for the statement of cash flows related to operating leases were as follows (in thousands):</w:t>
            </w: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90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8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Other than the initial recording of the right-of-use asset and lease liability for the Headquarters Lease, which is non-cash, the changes in the Company’s right-of-use asset and lease liability for the years ended December 31, 2020 and 2019 are reflected in the non-cash lease expense and accrued expenses and other liabilities, respectively, in the consolidated statements of cash flows.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8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6"/>
              </w:rPr>
              <w:t>December 31,</w:t>
            </w:r>
          </w:p>
        </w:tc>
        <w:tc>
          <w:tcPr>
            <w:tcW w:w="860" w:type="dxa"/>
            <w:vAlign w:val="bottom"/>
            <w:tcBorders>
              <w:bottom w:val="single" w:sz="8" w:color="auto"/>
            </w:tcBorders>
          </w:tcPr>
          <w:p>
            <w:pPr>
              <w:spacing w:after="0"/>
              <w:rPr>
                <w:sz w:val="16"/>
                <w:szCs w:val="16"/>
                <w:color w:val="auto"/>
              </w:rPr>
            </w:pPr>
          </w:p>
        </w:tc>
      </w:tr>
      <w:tr>
        <w:trPr>
          <w:trHeight w:val="187"/>
        </w:trPr>
        <w:tc>
          <w:tcPr>
            <w:tcW w:w="85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84"/>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128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0"/>
              </w:rPr>
              <w:t>7.4 years</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years</w:t>
            </w:r>
          </w:p>
        </w:tc>
      </w:tr>
      <w:tr>
        <w:trPr>
          <w:trHeight w:val="182"/>
        </w:trPr>
        <w:tc>
          <w:tcPr>
            <w:tcW w:w="854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1280" w:type="dxa"/>
            <w:vAlign w:val="bottom"/>
          </w:tcPr>
          <w:p>
            <w:pPr>
              <w:ind w:left="920"/>
              <w:spacing w:after="0"/>
              <w:rPr>
                <w:sz w:val="20"/>
                <w:szCs w:val="20"/>
                <w:color w:val="auto"/>
              </w:rPr>
            </w:pPr>
            <w:r>
              <w:rPr>
                <w:rFonts w:ascii="Arial" w:cs="Arial" w:eastAsia="Arial" w:hAnsi="Arial"/>
                <w:sz w:val="14"/>
                <w:szCs w:val="14"/>
                <w:color w:val="auto"/>
                <w:w w:val="94"/>
              </w:rPr>
              <w:t>8.9 %</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Term Loan</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August 31, 2020, the Company entered into a term loan of up to $35.0 million (the “2020 Term Loan”), consisting of term loans in an aggregate amount of $25.0 million (the “Term A Loan”) and term loans in an aggregate amount of $10.0 million (the “Term B Loan”), governed by a loan and security agreement between the Company and Oxford Finance LLC, a Delaware limited liability company (“Oxford”) as Collateral Agent and a Lender, and Silicon Valley Bank, a California corporation (“SVB”), as a Lender (the “Loan Agreement”). The Term A Loan was funded in full on August 31, 2020 (the “Funding Date”).</w:t>
      </w:r>
    </w:p>
    <w:p>
      <w:pPr>
        <w:spacing w:after="0" w:line="8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Term B Loan will be available, subject to Collateral Agent’s discretion and customary terms and conditions, during the period commencing on the date the Company has delivered to the Collateral Agent and the Lenders evidence: (i) the Company or one of the Company’s collaboration partners has enrolled its first randomized patient for a Phase 1 clinical trial evaluating the treatment of methylmalonic acidemia (“MMA”), and (ii) the Company has enrolled the first patient in each of two Phase 3 pivotal trials evaluating SEL-212 (the “Second Draw Period Milestone”) and ending on the earliest of (i) the date which is thirty (30) days following the date the Second Draw Period Milestone is achieved, (ii) September 30, 2021 (iii) and the occurrence of an event of default, other than an event of default that has been waived in writing by Collateral Agent and the Lenders in their sole discretion (such period, the “Second Draw Period”).</w:t>
      </w:r>
    </w:p>
    <w:p>
      <w:pPr>
        <w:spacing w:after="0" w:line="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2020 Term Loan will mature on August 1, 2025. Each advance under the Term Loan accrues interest at a floating per annum rate equal to the greater of (a) 7.90%, and (b) the lesser of (x) the sum of (i) the prime rate reported in The Wall Street Journal on the last business day of the month that immediately precedes the month in which the interest will accrue, and (ii) 4.65% and (y) 10.00%. The Term Loan provides for interest-only payments on a monthly basis until April 1, 2022; provided however, if the Company has delivered to the Collateral Agent and the Lenders prior to September 30, 2021 evidence that Borrower has achieved the Second Draw Period Milestone, the Term Loan provides for interest-only payments on a monthly basis until October 1, 2022.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 accrued and unpaid interest, and (B) a prepayment fee of between 3.0% and 1.0% of the aggregate original principal amount advanced by the lender depending on the 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 The final payment fee totaling $2.3 million is recorded as a loan discount.</w:t>
      </w:r>
    </w:p>
    <w:p>
      <w:pPr>
        <w:spacing w:after="0" w:line="7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the Collateral Agent a negative pledge with respect to its intellectual property.</w:t>
      </w:r>
    </w:p>
    <w:p>
      <w:pPr>
        <w:spacing w:after="0" w:line="7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the Collateral Agent.</w:t>
      </w:r>
    </w:p>
    <w:p>
      <w:pPr>
        <w:spacing w:after="0" w:line="7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$0.5 million, or the occurrence of any default under any agreement or obligation of the Company involving indebtedness in excess of $0.5 million. If an event of default occurs, the Collateral Agent is entitled to take enforcement action, including acceleration of amounts due under the Loan Agreement.</w:t>
      </w:r>
    </w:p>
    <w:p>
      <w:pPr>
        <w:spacing w:after="0" w:line="56"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Company incurred $0.4 million in debt issuance costs in connection with the closing of the 2020 Term Loan. Debt issuance costs are presented in the consolidated balance sheet as a direct deduction from the associated liability and amortized to interest expense over the term of the related debt.</w:t>
      </w:r>
    </w:p>
    <w:p>
      <w:pPr>
        <w:spacing w:after="0" w:line="1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assessed all terms and features of the 2020 Term Loan to identify any potential embedded features that would require bifurcation. As part of this analysis, the Company assessed the economic characteristics and risks of the 2020 Term Loan, including any put, call, and contingent features. The Company determined that the interest rate collar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prepayment call option did not require bifurcation; whereas the contingent put option and default (contingent) interest rate feature met bifurcation criteria resulting in immaterial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August 31, 2020, in connection with the 2020 Term A Loan, the Company issued warrants to the Lenders to purchase an aggregate of 196,850 shares of its common stock at an exercise price equal to $2.54 per share. In accordance with ASC 815-40, these warrants are classified as permanent equity in the accompanying consolidated balance sheets and will expire ten years from the date of issuance. The initial grant date fair value of the warrants was $0.4 million as determined by the Black-Scholes valuation model and recorded to shareholders' equity, with the SVB portion allocated to the reacquisition price of the 2017 Term Loan and the Oxford fair value portion as a loan discount to the Term A Loan.</w:t>
      </w:r>
    </w:p>
    <w:p>
      <w:pPr>
        <w:spacing w:after="0" w:line="6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Additionally, on August 31, 2020, pursuant to the terms of a Warrant Side Letter agreement among the Company and the Lenders, the Company agreed to issue to the Lenders, on the date the Company draws the Term B Loan and in accordance with each party’s respective pro rata share with respect to the Term B Loan, one or more warrants to purchase an aggregate number of shares of its common stock that is equal to $200,000 divided by the average closing price of the Company’s common stock on The Nasdaq Stock Market LLC for the ten consecutive trading days ending the day before such issuance, rounded down to the nearest whole number of shares, and having an exercise price equal to the Term B Warrant Price.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w:t>
      </w:r>
    </w:p>
    <w:p>
      <w:pPr>
        <w:spacing w:after="0" w:line="117"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On the Funding Date, the Company entered into a payoff letter with SVB, pursuant to which the Company utilized $13.7 million of the 2020 Term Loan to pay off all outstanding obligations under the 2017 Term Loan (as defined below), consisting of the principal payment, final prepayment and accrued interest. During the three months ended September 30, 2020, the Company recognized a loss on extinguishment of debt in the amount of $0.5 million determined as the difference between the reacquisition price and carrying value at August 31,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121"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On September 12, 2017, the Company entered into a term loan of up to $21.0 million (the “2017 Term Loan” and, together with the 2020 Term Loan, the “Term Loans”)) with Silicon Valley Bank. The 2017 Term Loan was governed by a loan and security agreement, dated September 12, 2017, between the Company and SVB. The 2017 Term Loan was funded in full on September 13, 2017.</w:t>
      </w:r>
    </w:p>
    <w:p>
      <w:pPr>
        <w:spacing w:after="0" w:line="7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incurred less than $0.1 million in debt issuance costs in connection with the closing of the 2017 Term Loan. Debt issuance costs were presented in the consolidated balance sheet as a direct deduction from the associated liability and amortized to interest expense over the term of the related debt.</w:t>
      </w:r>
    </w:p>
    <w:p>
      <w:pPr>
        <w:spacing w:after="0" w:line="7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Prior to the extinguishment of the 2017 Term Loan in August 2020 discussed in greater detail above, the 2017 Term Loan was secured by a lien on substantially all of the assets of the Company, other than intellectual property, provided that such lien on substantially all assets included any rights to payments and proceeds from the sale, licensing or disposition of intellectual property. The Company had also granted SVB a negative pledge with respect to its intellectual property. Each advance under the 2017 Term Loan accrued interest at a floating per annum rate equal to one-half of one percent above the prime rate (as published in the money rates section of The Wall Street Journal). The 2017 Term Loan provided for interest-only payments monthly through August 31, 2019. The monthly interest was subject to recalculation upon a change in the prime rate.</w:t>
      </w:r>
    </w:p>
    <w:p>
      <w:pPr>
        <w:spacing w:after="0" w:line="70"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As of December 31, 2020, the outstanding principal balance was $25.0 million under the 2020 Term Loan and as of December 31, 2019, the outstanding principal balance was $18.2 million under the 2017 Term Loan.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340"/>
              <w:spacing w:after="0"/>
              <w:rPr>
                <w:sz w:val="20"/>
                <w:szCs w:val="20"/>
                <w:color w:val="auto"/>
              </w:rPr>
            </w:pPr>
            <w:r>
              <w:rPr>
                <w:rFonts w:ascii="Arial" w:cs="Arial" w:eastAsia="Arial" w:hAnsi="Arial"/>
                <w:sz w:val="18"/>
                <w:szCs w:val="18"/>
                <w:color w:val="auto"/>
                <w:w w:val="91"/>
              </w:rPr>
              <w:t>Future minimum principal and interest payments on the 2020 Term Loan as of December 31, 2020 are as follows (in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w:t>
            </w:r>
          </w:p>
        </w:tc>
      </w:tr>
      <w:tr>
        <w:trPr>
          <w:trHeight w:val="186"/>
        </w:trPr>
        <w:tc>
          <w:tcPr>
            <w:tcW w:w="9720" w:type="dxa"/>
            <w:vAlign w:val="bottom"/>
          </w:tcPr>
          <w:p>
            <w:pPr>
              <w:ind w:left="20"/>
              <w:spacing w:after="0"/>
              <w:rPr>
                <w:sz w:val="20"/>
                <w:szCs w:val="20"/>
                <w:color w:val="auto"/>
              </w:rPr>
            </w:pPr>
            <w:r>
              <w:rPr>
                <w:rFonts w:ascii="Arial" w:cs="Arial" w:eastAsia="Arial" w:hAnsi="Arial"/>
                <w:sz w:val="14"/>
                <w:szCs w:val="14"/>
                <w:color w:val="auto"/>
              </w:rPr>
              <w:t>2022</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7,343</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8,611</w:t>
            </w:r>
          </w:p>
        </w:tc>
      </w:tr>
      <w:tr>
        <w:trPr>
          <w:trHeight w:val="186"/>
        </w:trPr>
        <w:tc>
          <w:tcPr>
            <w:tcW w:w="9720" w:type="dxa"/>
            <w:vAlign w:val="bottom"/>
          </w:tcPr>
          <w:p>
            <w:pPr>
              <w:ind w:left="20"/>
              <w:spacing w:after="0"/>
              <w:rPr>
                <w:sz w:val="20"/>
                <w:szCs w:val="20"/>
                <w:color w:val="auto"/>
              </w:rPr>
            </w:pPr>
            <w:r>
              <w:rPr>
                <w:rFonts w:ascii="Arial" w:cs="Arial" w:eastAsia="Arial" w:hAnsi="Arial"/>
                <w:sz w:val="14"/>
                <w:szCs w:val="14"/>
                <w:color w:val="auto"/>
              </w:rPr>
              <w:t>2024</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8,027</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7,274</w:t>
            </w: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Total minimum debt payments</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33,257</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Amount representing interest</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w:t>
            </w:r>
          </w:p>
        </w:tc>
      </w:tr>
      <w:tr>
        <w:trPr>
          <w:trHeight w:val="186"/>
        </w:trPr>
        <w:tc>
          <w:tcPr>
            <w:tcW w:w="9720" w:type="dxa"/>
            <w:vAlign w:val="bottom"/>
          </w:tcPr>
          <w:p>
            <w:pPr>
              <w:ind w:left="20"/>
              <w:spacing w:after="0"/>
              <w:rPr>
                <w:sz w:val="20"/>
                <w:szCs w:val="20"/>
                <w:color w:val="auto"/>
              </w:rPr>
            </w:pPr>
            <w:r>
              <w:rPr>
                <w:rFonts w:ascii="Arial" w:cs="Arial" w:eastAsia="Arial" w:hAnsi="Arial"/>
                <w:sz w:val="14"/>
                <w:szCs w:val="14"/>
                <w:color w:val="auto"/>
              </w:rPr>
              <w:t>Less: Debt discount and deferred charges</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192"/>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loan payable</w:t>
            </w: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Loan payable, net of current portion</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24,793</w:t>
            </w:r>
          </w:p>
        </w:tc>
      </w:tr>
      <w:tr>
        <w:trPr>
          <w:trHeight w:val="24"/>
        </w:trPr>
        <w:tc>
          <w:tcPr>
            <w:tcW w:w="97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During the years ended December 31, 2020, 2019 and 2018, the Company recognized $1.6 million, $1.5 million and $1.5 million respectively of interest expense related to the 2020 and 2017 Term Loans.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2020 Shelf Registration Statement</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On August 6, 2020, the Company filed an updated universal shelf registration statement on Form S-3 (Reg. No. 333-241692) with the SEC to sell an aggregate amount of up to $200.0 million of certain of its securities. The shelf registration statement was declared effective by the SEC on August 14,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August 2017, the Company entered into a sales agreement (the “2017 Sales Agreement”), with Jefferies LLC, as sales agent, to sell shares of its common stock with an aggregate value of up to $50 million in an “at the market offering.” On August 6, 2020, concurrent with the filing of the updated shelf registration statement, the Company entered into a new sales agreement (the “2020 Sales Agreement”) with Jefferies LLC, as sales agent, pursuant to which the Company may, from time to time, issue and sell common stock with an aggregate value of up to $50 million in an “at the market offering.” The 2017 Sales Agreement terminated pursuant to its terms in August 2020.</w:t>
      </w:r>
    </w:p>
    <w:p>
      <w:pPr>
        <w:spacing w:after="0" w:line="8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Sales of common stock, if any, pursuant to the 2020 Sales Agreement, may be made in sales deemed to be an “at the market offering” as defined in Rule 415(a) of the Securities Act, including sales made directly through the Nasdaq Stock Market or on any other existing trading market for the Company’s common stock. The Company intends to use the proceeds from the offering for working capital and other general corporate purposes. The Company may suspend or terminate the 2020 Sales Agreement at any time.</w:t>
      </w:r>
    </w:p>
    <w:p>
      <w:pPr>
        <w:spacing w:after="0" w:line="7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the year ended December 31, 2019, the Company sold 615,453 shares of its common stock pursuant to the 2017 Sales Agreement at an average price of approximately $1.84 per share for aggregate net proceeds of $1.0 million, after deducting commissions and other transaction costs, pursuant to its shelf registration statement filed in August 2017.</w:t>
      </w:r>
    </w:p>
    <w:p>
      <w:pPr>
        <w:spacing w:after="0" w:line="76"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During the year ended December 31, 2020, the Company sold 1,069,486 shares of its common stock pursuant to the 2017 Sales Agreement and the 2020 Sales Agreement, as applicable, at an average price of approximately $2.16 per share for aggregate net proceeds of $2.1 million, after deducting commissions and other transaction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Sobi Stock Purchase</w:t>
      </w:r>
    </w:p>
    <w:p>
      <w:pPr>
        <w:spacing w:after="0" w:line="11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On June 11, 2020, the Company entered into a stock purchase agreement with Swedish Orphan Biovitrum AB (Publ), pursuant to which the Company sold an aggregate of 5,416,390 shares of its common stock at a purchase price equal to $4.6156 per share, which represented 120% of the 10-day volume-weighted average price of the Company’s common stock prior to signing, for aggregate gross proceeds of $25 million, the Sobi Private Placement. The closing of the Sobi Private Placement occurred on July 31, 2020. The shares of common stock acquired in the Sobi Private Placement are subject to a one-year lock-up from closing, during which time Sobi is prohibited from selling or otherwise disposing of such shares.</w:t>
      </w:r>
    </w:p>
    <w:p>
      <w:pPr>
        <w:spacing w:after="0" w:line="68"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accordance with ASC 815, this forward sale treatment qualified as equity classification as the shares are not within the scope of ASC 480. The gross proceeds of $25 million were determined to include a premium to the fair value of the Company’s shares as of July 28, 2020 of approximately $14.5 million. As a result, such amount was included in the transaction price for revenue recognition of the Sobi License. See Note 12 for details.</w:t>
      </w:r>
    </w:p>
    <w:p>
      <w:pPr>
        <w:spacing w:after="0" w:line="5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Also on June 11, 2020, the Company entered into a registration rights agreement (as amended by that certain letter agreement, dated as of November 4, 2020,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(10) Business Days after the SEC informs the Company that no review of such resale registration statement will be made or that the SEC has no further comments on such resale registration statement.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Financing</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7"/>
          <w:szCs w:val="17"/>
          <w:color w:val="auto"/>
        </w:rPr>
        <w:t>On December 18, 2019, the Company entered into a securities purchase agreement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not apply to the pre-funded warrants. Therefore, the Company is required to account for the common warrants as liabilities and record them at fair value, while the pre-funded warrants met the criteria to be classified as permanent equity.</w:t>
      </w:r>
    </w:p>
    <w:p>
      <w:pPr>
        <w:spacing w:after="0" w:line="6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recorded the fair value of the common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which was paid in the three months ended March 31, 2020.</w:t>
      </w:r>
    </w:p>
    <w:p>
      <w:pPr>
        <w:spacing w:after="0" w:line="7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common warrants were revalued as of December 31, 2020 at $28.7 million. During the years ended December 31, 2020 and 2019, the Company recorded losses on the increases in the fair value of the warrants of $(10.4) million and $(0.9) million, respectively, in the consolidated statements of operations.</w:t>
      </w:r>
    </w:p>
    <w:p>
      <w:pPr>
        <w:spacing w:after="0" w:line="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23, 2019, in connection with the 2019 PIPE, the Company entered into a registration rights agreement (the “2019 Registration Rights Agreement”), pursuant to which the Company agreed to prepare and file a registration statement with the SEC within 45 days after the closing of the 2019 PIPE for purposes of registering the resale of the shares of common stock issued and sold in the 2019 PIPE, shares of common stock issuable upon exercise of the warrants sold in the 2019 PIPE, and any shares of common stock issued as a dividend or other distribution with respect to the shares of common stock or shares of common stock issuable upon exercise of the warrants. The 2019 PIPE registration statement was declared effective by the SEC on February 6, 2020.</w:t>
      </w:r>
    </w:p>
    <w:p>
      <w:pPr>
        <w:spacing w:after="0" w:line="84"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Company agreed, among other things, to indemnify the investors in the 2019 PIPE, and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2019 Registration Rights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Financing</w:t>
      </w:r>
    </w:p>
    <w:p>
      <w:pPr>
        <w:spacing w:after="0" w:line="117"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On June 26, 2017, the Company entered into a securities purchase agreement (the “Institutional Purchase Agreement”) with a select group of institutional investors (the “Institutional Investors”) and a securities purchase agreement with Timothy A. Springer, Ph.D., a member of the board of directors (the “Springer Purchase Agreement”) for a private placement of the Company's securities (the “2017 PIPE”). The closing of the 2017 PIPE occurred on June 27, 2017.</w:t>
      </w:r>
    </w:p>
    <w:p>
      <w:pPr>
        <w:spacing w:after="0" w:line="7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(“Warrant Shares”), exercisable at $17.71 per Warrant Share, and with a term of five years. The purchase price for each warrant was equal to $0.125 for each Warrant Share, consistent with Nasdaq Stock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 After deducting for placement agent fees and offering expenses, the aggregate net proceeds from the 2017 PIPE were approximately $47.1 million.</w:t>
      </w:r>
    </w:p>
    <w:p>
      <w:pPr>
        <w:spacing w:after="0" w:line="5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June 27, 2017, in connection with the 2017 PIPE, the Company entered into a registration rights agreement (the “2017 Registration Rights Agreement”) with the Institutional Investors and Dr. Springer. Pursuant to the 2017 Registration Rights Agreement, the Company agreed to prepare and file a registration statement with the SEC within 20 days after the closing of the 2017 PIPE for purposes of registering the resale of the shares of common stock issued and sold in the 2017 PIPE, the Warrant Shares, and any shares of common stock issued as a dividend or other distribution with respect to the shares of common stock or Warrant Shares. The 2017 PIPE registration statement was declared effective by the SEC on July 21, 2017.</w:t>
      </w:r>
    </w:p>
    <w:p>
      <w:pPr>
        <w:spacing w:after="0" w:line="53"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The Company agreed to indemnify the Institutional Investors and Dr. Springer,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2017 Registration Rights Agreement.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year ended December 31, 2020, warrant holders exercised 10,233,154 common warrants on a cashless basis and received 5,967,808 shares of common stock. In addition, warrant holders exercised 669,800 common warrants and 8,342,128 pre-funded warrants, and paid the exercise price in cash. On August 31, 2020, in connection with the 2020 Term A Loan, 196,850 equity classified warrants were issued to the Lenders.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Number of Warrants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5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Equity</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Liability classified</w:t>
            </w:r>
          </w:p>
        </w:tc>
        <w:tc>
          <w:tcPr>
            <w:tcW w:w="15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34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5"/>
              </w:rPr>
              <w:t>Weighted average</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classified</w:t>
            </w:r>
          </w:p>
        </w:tc>
        <w:tc>
          <w:tcPr>
            <w:tcW w:w="156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4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8,437,747</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22,988,501</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31,426,248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480" w:type="dxa"/>
            <w:vAlign w:val="bottom"/>
          </w:tcPr>
          <w:p>
            <w:pPr>
              <w:jc w:val="right"/>
              <w:spacing w:after="0"/>
              <w:rPr>
                <w:sz w:val="20"/>
                <w:szCs w:val="20"/>
                <w:color w:val="auto"/>
              </w:rPr>
            </w:pPr>
            <w:r>
              <w:rPr>
                <w:rFonts w:ascii="Arial" w:cs="Arial" w:eastAsia="Arial" w:hAnsi="Arial"/>
                <w:sz w:val="14"/>
                <w:szCs w:val="14"/>
                <w:color w:val="auto"/>
              </w:rPr>
              <w:t>(8,342,128)</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(10,902,954)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(19,245,082)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196,850</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292,469</w:t>
            </w:r>
          </w:p>
        </w:tc>
        <w:tc>
          <w:tcPr>
            <w:tcW w:w="10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12,085,547</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12,378,016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As of December 31, 2020, the Company had 200,000,000 shares of common stock authorized for issuance, $0.0001 par value per share, with 108,071,249 shares issued and outstanding. The voting, dividend and liquidation rights of the common stockholders are subject to and qualified by the rights, powers and preferences of the preferred stock. The common stock has the following characteristics: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December 31, 2020, no dividends have been declared or paid on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 ended</w:t>
            </w:r>
          </w:p>
        </w:tc>
      </w:tr>
      <w:tr>
        <w:trPr>
          <w:trHeight w:val="187"/>
        </w:trPr>
        <w:tc>
          <w:tcPr>
            <w:tcW w:w="7800" w:type="dxa"/>
            <w:vAlign w:val="bottom"/>
          </w:tcPr>
          <w:p>
            <w:pPr>
              <w:spacing w:after="0"/>
              <w:rPr>
                <w:sz w:val="16"/>
                <w:szCs w:val="16"/>
                <w:color w:val="auto"/>
              </w:rPr>
            </w:pP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2020</w:t>
            </w:r>
          </w:p>
        </w:tc>
        <w:tc>
          <w:tcPr>
            <w:tcW w:w="16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2019</w:t>
            </w:r>
          </w:p>
        </w:tc>
      </w:tr>
      <w:tr>
        <w:trPr>
          <w:trHeight w:val="18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common warrants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c>
          <w:tcPr>
            <w:tcW w:w="1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31,426,248</w:t>
            </w:r>
          </w:p>
        </w:tc>
      </w:tr>
      <w:tr>
        <w:trPr>
          <w:trHeight w:val="186"/>
        </w:trPr>
        <w:tc>
          <w:tcPr>
            <w:tcW w:w="7800" w:type="dxa"/>
            <w:vAlign w:val="bottom"/>
          </w:tcPr>
          <w:p>
            <w:pPr>
              <w:ind w:left="20"/>
              <w:spacing w:after="0"/>
              <w:rPr>
                <w:sz w:val="20"/>
                <w:szCs w:val="20"/>
                <w:color w:val="auto"/>
              </w:rPr>
            </w:pPr>
            <w:r>
              <w:rPr>
                <w:rFonts w:ascii="Arial" w:cs="Arial" w:eastAsia="Arial" w:hAnsi="Arial"/>
                <w:sz w:val="14"/>
                <w:szCs w:val="14"/>
                <w:color w:val="auto"/>
              </w:rPr>
              <w:t>Shares available for future stock incentive awards</w:t>
            </w:r>
          </w:p>
        </w:tc>
        <w:tc>
          <w:tcPr>
            <w:tcW w:w="1640" w:type="dxa"/>
            <w:vAlign w:val="bottom"/>
          </w:tcPr>
          <w:p>
            <w:pPr>
              <w:jc w:val="right"/>
              <w:spacing w:after="0"/>
              <w:rPr>
                <w:sz w:val="20"/>
                <w:szCs w:val="20"/>
                <w:color w:val="auto"/>
              </w:rPr>
            </w:pPr>
            <w:r>
              <w:rPr>
                <w:rFonts w:ascii="Arial" w:cs="Arial" w:eastAsia="Arial" w:hAnsi="Arial"/>
                <w:sz w:val="14"/>
                <w:szCs w:val="14"/>
                <w:color w:val="auto"/>
              </w:rPr>
              <w:t>4,916,374</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1,765,018</w:t>
            </w:r>
          </w:p>
        </w:tc>
      </w:tr>
      <w:tr>
        <w:trPr>
          <w:trHeight w:val="192"/>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restricted stock units</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181,250</w:t>
            </w:r>
          </w:p>
        </w:tc>
      </w:tr>
      <w:tr>
        <w:trPr>
          <w:trHeight w:val="18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common stock options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7,775,249</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6,796,669</w:t>
            </w:r>
          </w:p>
        </w:tc>
      </w:tr>
      <w:tr>
        <w:trPr>
          <w:trHeight w:val="21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25,157,139</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40,169,185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280" w:firstLine="8"/>
        <w:spacing w:after="0" w:line="378" w:lineRule="auto"/>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ind w:right="60" w:firstLine="324"/>
        <w:spacing w:after="0" w:line="272" w:lineRule="auto"/>
        <w:rPr>
          <w:sz w:val="20"/>
          <w:szCs w:val="20"/>
          <w:color w:val="auto"/>
        </w:rPr>
      </w:pPr>
      <w:r>
        <w:rPr>
          <w:rFonts w:ascii="Arial" w:cs="Arial" w:eastAsia="Arial" w:hAnsi="Arial"/>
          <w:sz w:val="17"/>
          <w:szCs w:val="17"/>
          <w:color w:val="auto"/>
        </w:rPr>
        <w:t>The Company maintains the 2008 Stock Incentive Plan (the “2008 Plan”) for employees, consultants, advisors, and directors. The 2008 Plan provided for the granting of incentive and non-qualified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June 7, 2016, the Company’s stockholders approved the 2016 Incentive Award Plan (the “2016 Plan”), which became effective June 21, 2016.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Shares subject to awards that are granted under the 2016 Plan and that expire, lapse or terminate are available for future grants under the 2016 Plan.</w:t>
      </w:r>
    </w:p>
    <w:p>
      <w:pPr>
        <w:spacing w:after="0" w:line="14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year ended December 31, 2020 and 2019, the number of shares of common stock that may be issued under the 2016 Plan was increased by 3,453,022 shares and 898,871 shares, respectively. As of December 31, 2020, 2,057,593 shares remain available for future issuance under the 2016 Plan.</w:t>
      </w:r>
    </w:p>
    <w:p>
      <w:pPr>
        <w:spacing w:after="0" w:line="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2008 Plan and 2016 Plan provide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and 2016 Plan vest over periods as determined by the Board, which are generally four years and, for options, with terms that generally expire ten years from the grant date.</w:t>
      </w:r>
    </w:p>
    <w:p>
      <w:pPr>
        <w:spacing w:after="0" w:line="8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Company’s 2018 Employment Inducement Incentive Award Plan (the “2018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2018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2018 Inducement Incentive Award Plan. On March 25, 2019, the Board approved the amendment and restatement of the 2018 Inducement Incentive Award Plan to reserve an additional 2,000,000 shares of the Company’s common stock for issuance thereunder. As of December 31, 2020, there are 1,358,333 shares available for future grant under the 2018 Inducement Incentive Award Plan.</w:t>
      </w:r>
    </w:p>
    <w:p>
      <w:pPr>
        <w:spacing w:after="0" w:line="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fair value of each option award was estimated on the grant date using the Black-Scholes option pricing model. Expected volatilities are based on the Company’s historical volatility and the historical volatilities of peer companies because the Company's common stock has not traded for a period that is at least equal to the expected term of its stock option awards. The Company uses the “simplified” method to estimate the expected life of options granted and are expected to be outstanding. The risk-free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stock-based compensation expense only on awards that are expected to vest.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Effective June 25, 2020, the Company entered into transition agreements with two executive officers, under which the right to exercise their vested options was extended for a period of two years following their respective separation dates. The subsequent stock based compensation amount recognized in connection with the option modification in the second quarter was less than $0.1 million.</w:t>
      </w:r>
    </w:p>
    <w:p>
      <w:pPr>
        <w:spacing w:after="0" w:line="76"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65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4"/>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2.85 %</w:t>
            </w:r>
          </w:p>
        </w:tc>
      </w:tr>
      <w:tr>
        <w:trPr>
          <w:trHeight w:val="186"/>
        </w:trPr>
        <w:tc>
          <w:tcPr>
            <w:tcW w:w="65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92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r>
      <w:tr>
        <w:trPr>
          <w:trHeight w:val="186"/>
        </w:trPr>
        <w:tc>
          <w:tcPr>
            <w:tcW w:w="65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7"/>
              </w:rPr>
              <w:t>91.00 %</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87.66 %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85.17 %</w:t>
            </w:r>
          </w:p>
        </w:tc>
      </w:tr>
      <w:tr>
        <w:trPr>
          <w:trHeight w:val="19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fair value of common stock</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8.45</w:t>
            </w:r>
          </w:p>
        </w:tc>
      </w:tr>
    </w:tbl>
    <w:p>
      <w:pPr>
        <w:spacing w:after="0" w:line="9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during the years ended December 31, 2020, 2019 and 2018 was $1.86, $1.47, and $6.17 respectively.</w:t>
      </w:r>
    </w:p>
    <w:p>
      <w:pPr>
        <w:spacing w:after="0" w:line="62"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As of December 31, 2020 and December 31, 2019, total unrecognized compensation expense related to unvested employee stock options was $8.0 million and $9.8 million, respectively, which is expected to be recognized over a weighted average period of 2.3 years and 2.5 years, respectively.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consultants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stock option awards were granted to non-employee consultants during the year ended December 31,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grant date fair values of non-employee consultants stock option awards granted under the 2016 Plan were calculated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based on the following weighted-average assumptions:</w:t>
      </w:r>
    </w:p>
    <w:p>
      <w:pPr>
        <w:spacing w:after="0" w:line="13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80" w:type="dxa"/>
            <w:vAlign w:val="bottom"/>
          </w:tcPr>
          <w:p>
            <w:pPr>
              <w:spacing w:after="0"/>
              <w:rPr>
                <w:sz w:val="16"/>
                <w:szCs w:val="16"/>
                <w:color w:val="auto"/>
              </w:rPr>
            </w:pP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5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4"/>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0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2.77 %</w:t>
            </w:r>
          </w:p>
        </w:tc>
      </w:tr>
      <w:tr>
        <w:trPr>
          <w:trHeight w:val="186"/>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Dividend yield</w:t>
            </w:r>
          </w:p>
        </w:tc>
        <w:tc>
          <w:tcPr>
            <w:tcW w:w="15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r>
      <w:tr>
        <w:trPr>
          <w:trHeight w:val="182"/>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1520" w:type="dxa"/>
            <w:vAlign w:val="bottom"/>
            <w:gridSpan w:val="3"/>
          </w:tcPr>
          <w:p>
            <w:pPr>
              <w:ind w:left="120"/>
              <w:spacing w:after="0"/>
              <w:rPr>
                <w:sz w:val="20"/>
                <w:szCs w:val="20"/>
                <w:color w:val="auto"/>
              </w:rPr>
            </w:pPr>
            <w:r>
              <w:rPr>
                <w:rFonts w:ascii="Arial" w:cs="Arial" w:eastAsia="Arial" w:hAnsi="Arial"/>
                <w:sz w:val="14"/>
                <w:szCs w:val="14"/>
                <w:color w:val="auto"/>
              </w:rPr>
              <w:t>— %</w:t>
            </w:r>
          </w:p>
        </w:tc>
        <w:tc>
          <w:tcPr>
            <w:tcW w:w="540" w:type="dxa"/>
            <w:vAlign w:val="bottom"/>
          </w:tcPr>
          <w:p>
            <w:pPr>
              <w:jc w:val="right"/>
              <w:spacing w:after="0"/>
              <w:rPr>
                <w:sz w:val="20"/>
                <w:szCs w:val="20"/>
                <w:color w:val="auto"/>
              </w:rPr>
            </w:pPr>
            <w:r>
              <w:rPr>
                <w:rFonts w:ascii="Arial" w:cs="Arial" w:eastAsia="Arial" w:hAnsi="Arial"/>
                <w:sz w:val="14"/>
                <w:szCs w:val="14"/>
                <w:color w:val="auto"/>
                <w:w w:val="97"/>
              </w:rPr>
              <w:t>88.60 %</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85.86 %</w:t>
            </w:r>
          </w:p>
        </w:tc>
      </w:tr>
    </w:tbl>
    <w:p>
      <w:pPr>
        <w:spacing w:after="0" w:line="10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weighted average grant date fair value of stock options granted to non-employee consultants during the years ended December 31, 2019 and 2018 was $1.32 and $6.78, respectively. As of December 31, 2020, no unrecognized compensation expense related to unvested non-employee consultants stock options remained.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under the 2008 Plan, 2016 Plan, and 2018 Inducement Incentive Award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6"/>
                <w:szCs w:val="16"/>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4720" w:type="dxa"/>
            <w:vAlign w:val="bottom"/>
          </w:tcPr>
          <w:p>
            <w:pPr>
              <w:spacing w:after="0"/>
              <w:rPr>
                <w:sz w:val="16"/>
                <w:szCs w:val="16"/>
                <w:color w:val="auto"/>
              </w:rPr>
            </w:pP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195"/>
        </w:trPr>
        <w:tc>
          <w:tcPr>
            <w:tcW w:w="4720" w:type="dxa"/>
            <w:vAlign w:val="bottom"/>
          </w:tcPr>
          <w:p>
            <w:pPr>
              <w:spacing w:after="0"/>
              <w:rPr>
                <w:sz w:val="16"/>
                <w:szCs w:val="16"/>
                <w:color w:val="auto"/>
              </w:rPr>
            </w:pPr>
          </w:p>
        </w:tc>
        <w:tc>
          <w:tcPr>
            <w:tcW w:w="1520" w:type="dxa"/>
            <w:vAlign w:val="bottom"/>
          </w:tcPr>
          <w:p>
            <w:pPr>
              <w:jc w:val="right"/>
              <w:ind w:right="46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price ($)</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 thousands)</w:t>
            </w:r>
          </w:p>
        </w:tc>
      </w:tr>
      <w:tr>
        <w:trPr>
          <w:trHeight w:val="188"/>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Employee awards</w:t>
            </w:r>
          </w:p>
        </w:tc>
        <w:tc>
          <w:tcPr>
            <w:tcW w:w="1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520" w:type="dxa"/>
            <w:vAlign w:val="bottom"/>
          </w:tcPr>
          <w:p>
            <w:pPr>
              <w:jc w:val="right"/>
              <w:spacing w:after="0"/>
              <w:rPr>
                <w:sz w:val="20"/>
                <w:szCs w:val="20"/>
                <w:color w:val="auto"/>
              </w:rPr>
            </w:pPr>
            <w:r>
              <w:rPr>
                <w:rFonts w:ascii="Arial" w:cs="Arial" w:eastAsia="Arial" w:hAnsi="Arial"/>
                <w:sz w:val="14"/>
                <w:szCs w:val="14"/>
                <w:color w:val="auto"/>
              </w:rPr>
              <w:t>6,323,596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1,716</w:t>
            </w:r>
          </w:p>
        </w:tc>
      </w:tr>
      <w:tr>
        <w:trPr>
          <w:trHeight w:val="192"/>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3,087,709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20" w:type="dxa"/>
            <w:vAlign w:val="bottom"/>
          </w:tcPr>
          <w:p>
            <w:pPr>
              <w:jc w:val="right"/>
              <w:spacing w:after="0"/>
              <w:rPr>
                <w:sz w:val="20"/>
                <w:szCs w:val="20"/>
                <w:color w:val="auto"/>
              </w:rPr>
            </w:pPr>
            <w:r>
              <w:rPr>
                <w:rFonts w:ascii="Arial" w:cs="Arial" w:eastAsia="Arial" w:hAnsi="Arial"/>
                <w:sz w:val="14"/>
                <w:szCs w:val="14"/>
                <w:color w:val="auto"/>
              </w:rPr>
              <w:t>(76,128)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(2,033,001)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7,302,176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4,456</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75"/>
        </w:trPr>
        <w:tc>
          <w:tcPr>
            <w:tcW w:w="47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Vested at December 31, 2020</w:t>
            </w:r>
          </w:p>
        </w:tc>
        <w:tc>
          <w:tcPr>
            <w:tcW w:w="1520" w:type="dxa"/>
            <w:vAlign w:val="bottom"/>
          </w:tcPr>
          <w:p>
            <w:pPr>
              <w:jc w:val="right"/>
              <w:spacing w:after="0"/>
              <w:rPr>
                <w:sz w:val="20"/>
                <w:szCs w:val="20"/>
                <w:color w:val="auto"/>
              </w:rPr>
            </w:pPr>
            <w:r>
              <w:rPr>
                <w:rFonts w:ascii="Arial" w:cs="Arial" w:eastAsia="Arial" w:hAnsi="Arial"/>
                <w:sz w:val="14"/>
                <w:szCs w:val="14"/>
                <w:color w:val="auto"/>
              </w:rPr>
              <w:t>2,684,785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1,544</w:t>
            </w:r>
          </w:p>
        </w:tc>
      </w:tr>
      <w:tr>
        <w:trPr>
          <w:trHeight w:val="19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6,830,530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4,148</w:t>
            </w:r>
          </w:p>
        </w:tc>
      </w:tr>
      <w:tr>
        <w:trPr>
          <w:trHeight w:val="216"/>
        </w:trPr>
        <w:tc>
          <w:tcPr>
            <w:tcW w:w="4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Non-employee awards</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December 31, 2019</w:t>
            </w:r>
          </w:p>
        </w:tc>
        <w:tc>
          <w:tcPr>
            <w:tcW w:w="1520" w:type="dxa"/>
            <w:vAlign w:val="bottom"/>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38</w:t>
            </w:r>
          </w:p>
        </w:tc>
      </w:tr>
      <w:tr>
        <w:trPr>
          <w:trHeight w:val="192"/>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86</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75"/>
        </w:trPr>
        <w:tc>
          <w:tcPr>
            <w:tcW w:w="47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Vested at December 31, 2020</w:t>
            </w:r>
          </w:p>
        </w:tc>
        <w:tc>
          <w:tcPr>
            <w:tcW w:w="1520" w:type="dxa"/>
            <w:vAlign w:val="bottom"/>
          </w:tcPr>
          <w:p>
            <w:pPr>
              <w:jc w:val="right"/>
              <w:spacing w:after="0"/>
              <w:rPr>
                <w:sz w:val="20"/>
                <w:szCs w:val="20"/>
                <w:color w:val="auto"/>
              </w:rPr>
            </w:pPr>
            <w:r>
              <w:rPr>
                <w:rFonts w:ascii="Arial" w:cs="Arial" w:eastAsia="Arial" w:hAnsi="Arial"/>
                <w:sz w:val="14"/>
                <w:szCs w:val="14"/>
                <w:color w:val="auto"/>
              </w:rPr>
              <w:t>445,855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86</w:t>
            </w:r>
          </w:p>
        </w:tc>
      </w:tr>
      <w:tr>
        <w:trPr>
          <w:trHeight w:val="19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During the second quarter of 2020, the Company entered into a transition agreement with an executive officer under which previously awarded restricted stock units under the Inducement Incentive Award Plan remain eligible to vest in accordance with their terms, notwithstanding the requirement that the executive remain in continuous service with the Company through the applicable vesting date, if the administrator of the Inducement Incentive Award Plan determines the applicable performance conditions are achieved on or prior to December 31, 2020. In accordance with ASC718, the restricted stock units granted were remeasured with a weighted average fair value of $2.92 per share based on the closing price of the Company’s common stock on the date the transition agreement was executed. Since the performance condition is probable of achievement, the restricted stock units were re-valued, resulting in additional expense of less than $0.1 million.</w:t>
      </w:r>
    </w:p>
    <w:p>
      <w:pPr>
        <w:spacing w:after="0" w:line="6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Unrecognized compensation expense for the restricted stock units was $0.5 million as of December 31, 2020, which is expected to be recognized over a weighted average period of 1.9 years.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7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1"/>
                <w:szCs w:val="11"/>
                <w:color w:val="auto"/>
              </w:rPr>
            </w:pPr>
          </w:p>
        </w:tc>
        <w:tc>
          <w:tcPr>
            <w:tcW w:w="14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184"/>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at December 31,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Arial" w:cs="Arial" w:eastAsia="Arial" w:hAnsi="Arial"/>
                <w:sz w:val="14"/>
                <w:szCs w:val="14"/>
                <w:color w:val="auto"/>
              </w:rPr>
              <w:t>Granted</w:t>
            </w: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Arial" w:cs="Arial" w:eastAsia="Arial" w:hAnsi="Arial"/>
                <w:sz w:val="14"/>
                <w:szCs w:val="14"/>
                <w:color w:val="auto"/>
              </w:rPr>
              <w:t>Forfeited</w:t>
            </w: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at December 31, 2020</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52" w:lineRule="exact"/>
        <w:rPr>
          <w:sz w:val="20"/>
          <w:szCs w:val="20"/>
          <w:color w:val="auto"/>
        </w:rPr>
      </w:pPr>
    </w:p>
    <w:p>
      <w:pPr>
        <w:ind w:right="120" w:firstLine="324"/>
        <w:spacing w:after="0" w:line="241" w:lineRule="auto"/>
        <w:rPr>
          <w:sz w:val="20"/>
          <w:szCs w:val="20"/>
          <w:color w:val="auto"/>
        </w:rPr>
      </w:pPr>
      <w:r>
        <w:rPr>
          <w:rFonts w:ascii="Arial" w:cs="Arial" w:eastAsia="Arial" w:hAnsi="Arial"/>
          <w:sz w:val="17"/>
          <w:szCs w:val="17"/>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 The first ESPP offering period began on March 1, 2017.</w:t>
      </w:r>
    </w:p>
    <w:p>
      <w:pPr>
        <w:spacing w:after="0" w:line="9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years ended December 31, 2020 and 2019, the number of shares of common stock that may be issued under the ESPP was increased by 863,254 shares and 224,717 shares, respectively. During the year ended December 31, 2020, the Company issued 110,212 shares of common stock under the ESPP. As of December 31, 2020, 1,500,448 shares remain available for future issuance under the ESPP.</w:t>
      </w:r>
    </w:p>
    <w:p>
      <w:pPr>
        <w:spacing w:after="0" w:line="6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each of the years ended December 31, 2020 and 2019, the Company recognized $0.1 million of stock-based compensation expense under the ESPP.</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66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4"/>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w:t>
            </w:r>
          </w:p>
        </w:tc>
      </w:tr>
      <w:tr>
        <w:trPr>
          <w:trHeight w:val="18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3,261</w:t>
            </w:r>
          </w:p>
        </w:tc>
      </w:tr>
      <w:tr>
        <w:trPr>
          <w:trHeight w:val="211"/>
        </w:trPr>
        <w:tc>
          <w:tcPr>
            <w:tcW w:w="6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stock-based compensation expense</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9120" w:firstLine="8"/>
        <w:spacing w:after="0" w:line="425" w:lineRule="auto"/>
        <w:tabs>
          <w:tab w:leader="none" w:pos="27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Swedish Orphan Biovitrum</w:t>
      </w:r>
    </w:p>
    <w:p>
      <w:pPr>
        <w:spacing w:after="0"/>
        <w:rPr>
          <w:sz w:val="20"/>
          <w:szCs w:val="20"/>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June 11, 2020, the Company and Sobi, entered into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(the “Compound”) and ImmTOR. Pursuant to the Sobi License, in consideration of the license, Sobi agreed to pay the Company a one-time, up-front payment of $75 million. Sobi has also agreed to make milestone payments totaling up to $630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transactions contemplated by the Sobi License were consummated on July 28, 2020 following the expiration or termination of the required waiting periods under the Hart-Scott-Rodino Antitrust Improvements Act of 1976.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8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10 for details.</w:t>
      </w:r>
    </w:p>
    <w:p>
      <w:pPr>
        <w:spacing w:after="0" w:line="1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determining the transaction price, the Company concluded the upfront payment of $75 million and the $5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amount. The Company considered discussions with Sobi as well as probability of regulatory success of SEL-212 in determining the likelihood of exercise.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estimated the standalone selling price of the Combined License Obligation by utilizing a discounted cash flow model.</w:t>
      </w:r>
    </w:p>
    <w:p>
      <w:pPr>
        <w:spacing w:after="0" w:line="10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December 31, 2020, the Company recorded $68.3 million as a short-term contract liability and $24.2 million as a long-term contract liability representing deferred revenue associated with this agreement. In addition, the Company has recorded $1.4 million of contract assets related to incremental costs that would not have been incurred if the Sobi License had not been obtained, of which $1.0 million is presented in prepaid expenses and other current assets and $0.4 million is in other assets in the accompanying Consolidated Balance Sheets. Amortization of contract assets was $0.1 million for the year ended December 31, 2020.</w:t>
      </w:r>
    </w:p>
    <w:p>
      <w:pPr>
        <w:spacing w:after="0" w:line="8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December 31, 2020, the Company recorded a total outstanding receivable of $6.9 million, representing billings for the Phase 3 DISSOLVE program that are subject to reimbursement by Sobi. Revenue of $16.6 million related to the Sobi License was recognized during the year ended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Sarepta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11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June 13, 2020, the Company and Sarepta entered into a Research License and Option Agreement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8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 As of December 31, 2020, all milestones were constrained. The Company will re-evaluate the transaction price in each reporting period, as uncertain</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events are resolved. The Company will recognize the revenue associated with the upfront payment and combined single performance obligation utilizing the output method, over the 24 month term as the Manufactured Supply is delivered to Sarepta.</w:t>
      </w:r>
    </w:p>
    <w:p>
      <w:pPr>
        <w:spacing w:after="0" w:line="62"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 Neither of the amendments had a material impact on deferred revenue or revenue recognition.</w:t>
      </w:r>
    </w:p>
    <w:p>
      <w:pPr>
        <w:spacing w:after="0" w:line="53"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As of December 31, 2020, the Company recorded $2.0 million as a short-term contract liability representing deferred revenue associated with this agreement. Revenue of $0.3 million related to the Sarepta Agreement was recognized during the third quarter and subsequently adjusted during the fourth quarter due to a change in the supply estimate, resulting in de minimis revenue recognition during the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December 17, 2019, the Company and AskBio entered into a license agreement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8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Pursuant to the AskBio License Agreement, the Company will supply AskBio with its ImmTOR platform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4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 (the “AskBio License and Supply Obligation”).</w:t>
      </w:r>
    </w:p>
    <w:p>
      <w:pPr>
        <w:spacing w:after="0" w:line="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December 31, 2020 and December 31, 2019, all milestones were constrained. The Company will re-evaluate the transaction price in each reporting period, as uncertain events are resolved, or as other changes in circumstances occur.</w:t>
      </w:r>
    </w:p>
    <w:p>
      <w:pPr>
        <w:spacing w:after="0" w:line="5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December 31, 2020 and December 31, 2019, the Company recorded $1.7 million as a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year ended December 31, 2020 as no deliveries were made during the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11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pursuant to which the Company and Spark agreed to collaborate on the development of gene therapies for certain targets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utilizing the ImmTOR platform. The Spark License Agreement provides Spark with certain exclusive, worldwide, royalty bearing licenses to the Company’s intellectual property, allowing Spark to develop and commercialize gene therapies in combination with ImmTOR for an initial identified target.</w:t>
      </w:r>
    </w:p>
    <w:p>
      <w:pPr>
        <w:spacing w:after="0" w:line="1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ImmTOR platform for up to four additional targets. The Company was eligible to receive a variable fee up to $2.0 million for each additional target option elected, dependent on the incidence of the applicable indication. The election period in which Spark could have exercised additional targets under the Spark License Agreement was a term of three years from the Contract Date, which expired on December 1, 2019.</w:t>
      </w:r>
    </w:p>
    <w:p>
      <w:pPr>
        <w:spacing w:after="0" w:line="6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5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Beyond the Initial Closing, the Spark Purchase Agreement contemplated potential future sales of shares by the Company to Spark as follows:</w:t>
      </w:r>
    </w:p>
    <w:p>
      <w:pPr>
        <w:spacing w:after="0" w:line="129" w:lineRule="exact"/>
        <w:rPr>
          <w:sz w:val="20"/>
          <w:szCs w:val="20"/>
          <w:color w:val="auto"/>
        </w:rPr>
      </w:pPr>
    </w:p>
    <w:p>
      <w:pPr>
        <w:ind w:left="660" w:right="460" w:hanging="328"/>
        <w:spacing w:after="0" w:line="342"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5" w:lineRule="exact"/>
        <w:rPr>
          <w:rFonts w:ascii="Arial" w:cs="Arial" w:eastAsia="Arial" w:hAnsi="Arial"/>
          <w:sz w:val="16"/>
          <w:szCs w:val="16"/>
          <w:color w:val="auto"/>
        </w:rPr>
      </w:pPr>
    </w:p>
    <w:p>
      <w:pPr>
        <w:ind w:left="660" w:right="40" w:hanging="328"/>
        <w:spacing w:after="0" w:line="275"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Under the Spark Purchase Agreement, Spark agreed not to dispose of any of the shares acquired at either the Initial Closing or the from the subsequent Acquisition Rights that it may acquire until January 1, 2018 and, thereafter, transfers are contractually subject to volume limitations applicable to an “affiliate” under Rule 144 of the Securities Act.</w:t>
      </w:r>
    </w:p>
    <w:p>
      <w:pPr>
        <w:spacing w:after="0" w:line="7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(see Note 14) totaling $2.2 million for the MIT sub-license provided to Spark, and $0.4 million relative to the calculated premium paid by Spark for the equity investments made under the Spark Purchase Agreement.</w:t>
      </w:r>
    </w:p>
    <w:p>
      <w:pPr>
        <w:spacing w:after="0" w:line="7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7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identified the following components of the agreement: (1) certain exclusive, worldwide, royalty bearing licenses to the Company’s intellectual property and a license to conduct certain research activities under the collaboration, (the “Spark License”), (2) options to research, develop and commercialize gene therapies utilizing the ImmTOR platform for up to four additional target therapy options, (the “Option Obligation”), (3) manufactured supply of ImmTOR, (the “Supply Obligation”) at a discount. In exchange, the Company received an upfront payment of $15.0 million and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5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Company determined that the Spark License and Supply Obligation represent a single promise and performance obligation (the “Combined License and Supply Obligation”). This is because Spark cannot derive benefit from the license without the simultaneous transfer of the patent protected ImmTOR supply. The Company also determined that the Option Obligation, which includes the related Supply Obligation, provides the customer with a material right and is considered a performance obligation in the arrangement since it was priced at an incremental discount. Therefore, the Company determined that the Spark agreement contains five distinct performance obligations: the Combined License and Supply Obligation, and the four separate target options.</w:t>
      </w:r>
    </w:p>
    <w:p>
      <w:pPr>
        <w:spacing w:after="0" w:line="84"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December 31, 2020, all future milestones are constrained. The Company will re-evaluate the transaction price in each reporting period, as uncertain events are resolved, or as other changes in circumstances occur.</w:t>
      </w:r>
    </w:p>
    <w:p>
      <w:pPr>
        <w:spacing w:after="0" w:line="7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target options ($1.3 million for each option) using the relative standalone selling price method to each obligation. The standalone selling price for the Combined License and Supply Obligation was determined using a discounted cash flow model. The standalone selling prices for the target options were determined based on the fair values of the licenses minus the strike prices of the option (the probability of exercise was included in the valuation) as well as the estimated discount of the Supply Obligation.</w:t>
      </w:r>
    </w:p>
    <w:p>
      <w:pPr>
        <w:spacing w:after="0" w:line="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estimated proceeds expected to be received from the sale of the Supply Obligation were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was initially estimated to be approximately four years.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December 1, 2019, the term for Spark to exercise additional target options expired; the Company recognized $6.7 million in revenue from deferred revenue as originally allocated. In addition, during the year ended December 31, 2019, there were two deliveries resulting in less than $0.1 million of revenue recognized. No revenue related to the Spark License Agreement was recognized during the year ended December 31, 2020 as no deliveries were made during the period.</w:t>
      </w:r>
    </w:p>
    <w:p>
      <w:pPr>
        <w:spacing w:after="0" w:line="7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31, 2020 and December 31, 2019, there was a contract liability of $9.2 million representing deferred revenue presented as long-term associated with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117"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in an amount not to exceed $2.5 million.</w:t>
      </w:r>
    </w:p>
    <w:p>
      <w:pPr>
        <w:spacing w:after="0" w:line="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represented an amount equal to 115.0% of the average daily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(deficit) equity.</w:t>
      </w:r>
    </w:p>
    <w:p>
      <w:pPr>
        <w:spacing w:after="0" w:line="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were made, the underlying liability was reduced. To the extent that an amount was expected to be applied towards the clinical supply obligation, the analysis of variable consideration was updated accordingly.</w:t>
      </w:r>
    </w:p>
    <w:p>
      <w:pPr>
        <w:spacing w:after="0" w:line="6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5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June 5, 2019, the term of the Reimbursement Period under the Letter Agreement expired. During the year ended December 31, 2019, the Company updated its estimate of variable consideration included in the transaction price to include $1.2 million of unpaid reimbursements to Spark.</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121"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 Company has received grant funding from the Russia-based Development Fund of New Technologies Development and Commercialization Center (“Skolkovo”). From grant inception through December 31, 2020, the Company received $2.0 million from Skolkovo.</w:t>
      </w:r>
    </w:p>
    <w:p>
      <w:pPr>
        <w:spacing w:after="0" w:line="3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6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7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December 31, 2020, a contract liability of $0.1 million remains on the balance sheet and will not be recognized as revenue until the expiration of the three-year audit period, expected April 2021, or sooner, if resolution is reached with Skolkovo or there is a change in the estimate.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As of December 31, 2020, the aggregate amount of the transaction price allocated to remaining performance obligations was $110.8 million.</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Sobi, Sarepta, AskBio, Spark and Skolkovo Foundation</w:t>
      </w:r>
      <w:r>
        <w:rPr>
          <w:rFonts w:ascii="Arial" w:cs="Arial" w:eastAsia="Arial" w:hAnsi="Arial"/>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the Company’s contract liabilities during the year ended December 31,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548"/>
              <w:spacing w:after="0"/>
              <w:rPr>
                <w:sz w:val="20"/>
                <w:szCs w:val="20"/>
                <w:color w:val="auto"/>
              </w:rPr>
            </w:pPr>
            <w:r>
              <w:rPr>
                <w:rFonts w:ascii="Arial" w:cs="Arial" w:eastAsia="Arial" w:hAnsi="Arial"/>
                <w:sz w:val="14"/>
                <w:szCs w:val="14"/>
                <w:b w:val="1"/>
                <w:bCs w:val="1"/>
                <w:color w:val="auto"/>
              </w:rPr>
              <w:t>Balance at</w:t>
            </w:r>
          </w:p>
        </w:tc>
      </w:tr>
      <w:tr>
        <w:trPr>
          <w:trHeight w:val="195"/>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 period</w:t>
            </w:r>
          </w:p>
        </w:tc>
        <w:tc>
          <w:tcPr>
            <w:tcW w:w="360" w:type="dxa"/>
            <w:vAlign w:val="bottom"/>
          </w:tcPr>
          <w:p>
            <w:pPr>
              <w:spacing w:after="0"/>
              <w:rPr>
                <w:sz w:val="16"/>
                <w:szCs w:val="16"/>
                <w:color w:val="auto"/>
              </w:rPr>
            </w:pP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6"/>
                <w:szCs w:val="16"/>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Arial" w:cs="Arial" w:eastAsia="Arial" w:hAnsi="Arial"/>
                <w:sz w:val="14"/>
                <w:szCs w:val="14"/>
                <w:b w:val="1"/>
                <w:bCs w:val="1"/>
                <w:color w:val="auto"/>
              </w:rPr>
              <w:t>end of period</w:t>
            </w:r>
          </w:p>
        </w:tc>
      </w:tr>
      <w:tr>
        <w:trPr>
          <w:trHeight w:val="169"/>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Twelve Months Ended December 31, 2020</w:t>
            </w: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195"/>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6"/>
        </w:trPr>
        <w:tc>
          <w:tcPr>
            <w:tcW w:w="34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110,796</w:t>
            </w:r>
          </w:p>
        </w:tc>
      </w:tr>
      <w:tr>
        <w:trPr>
          <w:trHeight w:val="21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contract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104,158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110,796</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Company incurred expenses for consulting services provided by its founders totaling $0.1 million, $0.5 million and $0.2 million during the years ended December 31, 2020, 2019 and 2018, respectively. The Company entered into consulting agreements with its founders to serve on its Scientific Advisory Board, effective January 1, 2020 to December 31, 2021, under which they will be paid quarterly for their services.</w:t>
      </w:r>
    </w:p>
    <w:p>
      <w:pPr>
        <w:spacing w:after="0" w:line="200" w:lineRule="exact"/>
        <w:rPr>
          <w:sz w:val="20"/>
          <w:szCs w:val="20"/>
          <w:color w:val="auto"/>
        </w:rPr>
      </w:pPr>
    </w:p>
    <w:p>
      <w:pPr>
        <w:spacing w:after="0" w:line="204" w:lineRule="exact"/>
        <w:rPr>
          <w:sz w:val="20"/>
          <w:szCs w:val="20"/>
          <w:color w:val="auto"/>
        </w:rPr>
      </w:pPr>
    </w:p>
    <w:p>
      <w:pPr>
        <w:ind w:right="8600" w:firstLine="8"/>
        <w:spacing w:after="0" w:line="425" w:lineRule="auto"/>
        <w:tabs>
          <w:tab w:leader="none" w:pos="27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Asklepios Biopharmaceutical, Inc.</w:t>
      </w:r>
    </w:p>
    <w:p>
      <w:pPr>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On August 6, 2019, the Company entered into a feasibility study and license agreement with AskBio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6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Pursuant to the AskBio Collaboration Agreement, the Company and AskBio agreed to conduct proof of concept studies to potentially validate the use of ImmTOR in conjunction with AskBio's AAV gene therapy, or MMA-101, for the treatment of MMA,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 candidates utilizing ImmTOR for the treatment of certain agreed serious rare and orphan genetic diseases. If the POC Studies fail to demonstrate a proof-of-concept, and the parties do not mutually agree in writing to proceed with the collaboration, the AskBio Collaboration Agreement will expire.</w:t>
      </w:r>
    </w:p>
    <w:p>
      <w:pPr>
        <w:spacing w:after="0" w:line="7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SEL-399 program combines an empty AAV capsid (EMC-101), which is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w:t>
      </w:r>
    </w:p>
    <w:p>
      <w:pPr>
        <w:spacing w:after="0" w:line="80"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(the “R&amp;D Services”), (2) granting a non-exclusive, non-transferable, royalty-free, fully paid up, worldwide license to certain intellectual property of the Company, (the “IP Rights”) for the purpose of performing the POC Studies, (the “Research License”), (3) granting an exclusive, nontransferable, worldwide license to the IP Rights for use in certain indications (the” Collaboration License”), (4) providing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manufactured supply of preclinical and clinical ImmTOR, (the “Manufactured Supply”), (5) participation on identified steering committees responsible for the oversight of the collaboration,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w:t>
      </w:r>
    </w:p>
    <w:p>
      <w:pPr>
        <w:spacing w:after="0" w:line="1" w:lineRule="exact"/>
        <w:rPr>
          <w:sz w:val="20"/>
          <w:szCs w:val="20"/>
          <w:color w:val="auto"/>
        </w:rPr>
      </w:pPr>
    </w:p>
    <w:p>
      <w:pPr>
        <w:ind w:right="100" w:firstLine="8"/>
        <w:spacing w:after="0" w:line="253"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w:t>
      </w:r>
    </w:p>
    <w:p>
      <w:pPr>
        <w:spacing w:after="0" w:line="83" w:lineRule="exact"/>
        <w:rPr>
          <w:sz w:val="20"/>
          <w:szCs w:val="20"/>
          <w:color w:val="auto"/>
        </w:rPr>
      </w:pPr>
    </w:p>
    <w:p>
      <w:pPr>
        <w:ind w:right="500" w:firstLine="324"/>
        <w:spacing w:after="0" w:line="311" w:lineRule="auto"/>
        <w:rPr>
          <w:sz w:val="20"/>
          <w:szCs w:val="20"/>
          <w:color w:val="auto"/>
        </w:rPr>
      </w:pPr>
      <w:r>
        <w:rPr>
          <w:rFonts w:ascii="Arial" w:cs="Arial" w:eastAsia="Arial" w:hAnsi="Arial"/>
          <w:sz w:val="16"/>
          <w:szCs w:val="16"/>
          <w:color w:val="auto"/>
        </w:rPr>
        <w:t>In accordance with ASC 808, collaboration expenses are recognized within R&amp;D expense and selling, general and administrative expense on the Company's condensed consolidated statements of operations. For the year ended December 31, 2020, the Company recognized $3.8 million, of collaboration expense under the AskBio Collaboration Agreement in which actual costs incurred by both parties approximate a 50% cost share.</w:t>
      </w:r>
    </w:p>
    <w:p>
      <w:pPr>
        <w:spacing w:after="0" w:line="4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12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On November 25, 2008, the Company entered into an exclusive patent license agreement (the “MIT License”)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5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June 12, 2020, the Company entered into a Fifth Amendment (the “MIT Amendment”) to the MIT License, which is effective as of May 15, 2020. Pursuant to the MIT Amendment, certain of the Company’s diligence obligations were extended, including a diligence obligation to commence a Phase 3 trial for a licensed product by a specific date in the second quarter of 2021. Additionally, certain of the Company’s development and regulatory milestones and payments upon achievement of such milestones were adjusted.</w:t>
      </w:r>
    </w:p>
    <w:p>
      <w:pPr>
        <w:spacing w:after="0" w:line="7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As of December 31, 2020,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May 2014, the Company entered into a license agreement (the “3SBio License”) with Shenyang Sunshine Pharmaceutical Co., Ltd. (“3SBio”). The Company has paid to 3SBio an aggregate of $7.0 million in upfront and milestone-based payments under the 3SBio License as of December 31, 2020.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For the years ended December 31, 2020, 2019 and 2018, the Company did not record a current or deferred income tax expense or benefit. The following table reconciles the federal statutory income rate to the Company's effective income tax rate:</w:t>
      </w:r>
    </w:p>
    <w:p>
      <w:pPr>
        <w:spacing w:after="0" w:line="9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r>
      <w:tr>
        <w:trPr>
          <w:trHeight w:val="184"/>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Statutory U.S. federal rate</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6"/>
        </w:trPr>
        <w:tc>
          <w:tcPr>
            <w:tcW w:w="6960" w:type="dxa"/>
            <w:vAlign w:val="bottom"/>
            <w:gridSpan w:val="2"/>
          </w:tcPr>
          <w:p>
            <w:pPr>
              <w:ind w:left="20"/>
              <w:spacing w:after="0"/>
              <w:rPr>
                <w:sz w:val="20"/>
                <w:szCs w:val="20"/>
                <w:color w:val="auto"/>
              </w:rPr>
            </w:pPr>
            <w:r>
              <w:rPr>
                <w:rFonts w:ascii="Arial" w:cs="Arial" w:eastAsia="Arial" w:hAnsi="Arial"/>
                <w:sz w:val="14"/>
                <w:szCs w:val="14"/>
                <w:color w:val="auto"/>
              </w:rPr>
              <w:t>State income taxes - net of federal benefit</w:t>
            </w:r>
          </w:p>
        </w:tc>
        <w:tc>
          <w:tcPr>
            <w:tcW w:w="62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6.3 %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192"/>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Permanent items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r>
      <w:tr>
        <w:trPr>
          <w:trHeight w:val="186"/>
        </w:trPr>
        <w:tc>
          <w:tcPr>
            <w:tcW w:w="6960" w:type="dxa"/>
            <w:vAlign w:val="bottom"/>
            <w:gridSpan w:val="2"/>
          </w:tcPr>
          <w:p>
            <w:pPr>
              <w:ind w:left="20"/>
              <w:spacing w:after="0"/>
              <w:rPr>
                <w:sz w:val="20"/>
                <w:szCs w:val="20"/>
                <w:color w:val="auto"/>
              </w:rPr>
            </w:pPr>
            <w:r>
              <w:rPr>
                <w:rFonts w:ascii="Arial" w:cs="Arial" w:eastAsia="Arial" w:hAnsi="Arial"/>
                <w:sz w:val="14"/>
                <w:szCs w:val="14"/>
                <w:color w:val="auto"/>
              </w:rPr>
              <w:t>Research tax credits/other</w:t>
            </w:r>
          </w:p>
        </w:tc>
        <w:tc>
          <w:tcPr>
            <w:tcW w:w="62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192"/>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Valuation allowance, net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r>
      <w:tr>
        <w:trPr>
          <w:trHeight w:val="18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 Compensation</w:t>
            </w: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06"/>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that give rise to the Company's net deferred tax assets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r>
      <w:tr>
        <w:trPr>
          <w:trHeight w:val="1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color w:val="auto"/>
              </w:rPr>
              <w:t>Net operating loss carryforwards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63,678</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71,270</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credits</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6,586</w:t>
            </w: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color w:val="auto"/>
              </w:rPr>
              <w:t>Stock-based compensations expense</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2,919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2,516</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26,699</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4,468</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8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Patent costs/amortization</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5,379</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5,111</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deferred tax assets</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109,979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90,865</w:t>
            </w:r>
          </w:p>
        </w:tc>
      </w:tr>
      <w:tr>
        <w:trPr>
          <w:trHeight w:val="108"/>
        </w:trPr>
        <w:tc>
          <w:tcPr>
            <w:tcW w:w="7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6"/>
        </w:trPr>
        <w:tc>
          <w:tcPr>
            <w:tcW w:w="786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w:t>
            </w:r>
          </w:p>
        </w:tc>
        <w:tc>
          <w:tcPr>
            <w:tcW w:w="9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7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deferred tax liabilities</w:t>
            </w: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 before valuation allowance</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106,977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90,726</w:t>
            </w:r>
          </w:p>
        </w:tc>
      </w:tr>
      <w:tr>
        <w:trPr>
          <w:trHeight w:val="18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(106,977)</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(90,726)</w:t>
            </w:r>
          </w:p>
        </w:tc>
      </w:tr>
      <w:tr>
        <w:trPr>
          <w:trHeight w:val="21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6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$16.3 million for the year ended December 31, 2020, primarily as a result of an increase in deferred revenue. The valuation allowance increased by $14.6 million for the year ended December 31, 2019, primarily as a result of an increase in net operating loss. In 2014, the Company's Russian subsidiary was granted a 10 year tax holiday in Russia. The Company's foreign operations continue to benefit from the tax holiday, which is set to expire on December 31, 2023, however the Company is in the process of closing down operations in Russia and does not expect any tax liability.</w:t>
      </w:r>
    </w:p>
    <w:p>
      <w:pPr>
        <w:spacing w:after="0" w:line="58"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At December 31, 2020, the Company has federal and state net operating loss carryforwards of $234.5 million and $228.5 million, respectively, which will expire at various times beginning 2028. Of the federal net operating losses, $99.6 million can be carried forward indefinitely. The Company has $4.9 million and $3.5 million, respectively, of federal and state research and development tax credit carryforwards, which will expire at various times through 2040.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Utilization of the net operating loss and research and development credit carryforwards may be subject to a substantial annual limitation under Section</w:t>
      </w:r>
    </w:p>
    <w:p>
      <w:pPr>
        <w:spacing w:after="0" w:line="4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2020, the Company completed a Section 382 study, noting that an ownership change occurred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2017. The Company has determined that all of the $234.5 million of net operating losses are available in the future, with approximately $36.5 million of that total limited under Section 382 and therefore available for future use through 2028.</w:t>
      </w:r>
    </w:p>
    <w:p>
      <w:pPr>
        <w:spacing w:after="0" w:line="6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The Company applies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uncertain tax positions. As of December 31, 2020 and 2019, the Company had no unrecognized tax benefits or related interest and penalties accrued.</w:t>
      </w:r>
    </w:p>
    <w:p>
      <w:pPr>
        <w:spacing w:after="0" w:line="6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w:t>
      </w:r>
    </w:p>
    <w:p>
      <w:pPr>
        <w:spacing w:after="0" w:line="7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Interest and penalty charges, if any, related to unrecognized tax benefits would be classified as income tax expense in the accompanying statement of operations. As of December 31, 2020, the Company had no accrued interest related to uncertain tax positions.</w:t>
      </w:r>
    </w:p>
    <w:p>
      <w:pPr>
        <w:spacing w:after="0" w:line="6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$0.1 million, $0.1 million and $0.2 million during each of the years ended December 31, 2020, 2019 and 2018,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As of December 31, 2020, the Company has an operating lease agreement for an office in Watertown, MA. See Note 8 for additional information regarding the Company's leases.</w:t>
      </w:r>
    </w:p>
    <w:p>
      <w:pPr>
        <w:spacing w:after="0" w:line="6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2020 and December 31, 2019, the Company was not a party to any litigation that could have a material adverse effect on the Company’s business, financial position, results of operations or cash flows.</w:t>
      </w:r>
    </w:p>
    <w:p>
      <w:pPr>
        <w:spacing w:after="0" w:line="62"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At this time, the Company has not accrued a liability for this matter, as any liability has been determined to be either not estimable or probable.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8"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Subsequent to December 31, 2020 through March 5, 2021, the Company sold 4,119,613 shares of its common stock pursuant to the 2020 Sales Agreement, at an average price of approximately $4.59 per share for aggregate net proceeds of $18.3 million, after deducting commissions and other transaction costs of $0.6 million which was paid in the three months ended December 31, 2020.</w:t>
      </w:r>
    </w:p>
    <w:p>
      <w:pPr>
        <w:spacing w:after="0" w:line="200" w:lineRule="exact"/>
        <w:rPr>
          <w:sz w:val="20"/>
          <w:szCs w:val="20"/>
          <w:color w:val="auto"/>
        </w:rPr>
      </w:pPr>
    </w:p>
    <w:p>
      <w:pPr>
        <w:spacing w:after="0" w:line="30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720"/>
          </w:cols>
          <w:pgMar w:left="320" w:top="125" w:right="85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color w:val="auto"/>
        </w:rPr>
        <w:t>Exhibit 4.11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 AS AMENDED</w:t>
      </w:r>
    </w:p>
    <w:p>
      <w:pPr>
        <w:spacing w:after="0" w:line="200" w:lineRule="exact"/>
        <w:rPr>
          <w:sz w:val="20"/>
          <w:szCs w:val="20"/>
          <w:color w:val="auto"/>
        </w:rPr>
      </w:pPr>
    </w:p>
    <w:p>
      <w:pPr>
        <w:spacing w:after="0" w:line="243" w:lineRule="exact"/>
        <w:rPr>
          <w:sz w:val="20"/>
          <w:szCs w:val="20"/>
          <w:color w:val="auto"/>
        </w:rPr>
      </w:pPr>
    </w:p>
    <w:p>
      <w:pPr>
        <w:ind w:right="280" w:firstLine="648"/>
        <w:spacing w:after="0" w:line="369" w:lineRule="auto"/>
        <w:rPr>
          <w:sz w:val="20"/>
          <w:szCs w:val="20"/>
          <w:color w:val="auto"/>
        </w:rPr>
      </w:pPr>
      <w:r>
        <w:rPr>
          <w:rFonts w:ascii="Arial" w:cs="Arial" w:eastAsia="Arial" w:hAnsi="Arial"/>
          <w:sz w:val="16"/>
          <w:szCs w:val="16"/>
          <w:color w:val="auto"/>
        </w:rPr>
        <w:t>As of December 31, 2020, Selecta Biosciences, Inc. (the “Company,” “we,” “us” and “our”) had one class of securities registered under Section 12 of the Securities Exchange Act of 1934, as amended: our common stock, par value $0.0001 per share (“common stock”).</w:t>
      </w:r>
    </w:p>
    <w:p>
      <w:pPr>
        <w:spacing w:after="0" w:line="1"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following description of our common stock is a summary and does not purport to be complete. It is subject to and qualified in its entirety by reference to our Restated Certificate of Incorporation (the “Certificate”), our Amended and Restated Bylaws (the “Bylaws”) and applicable provisions of the Delaware General Corporation Law (“DGCL”). Our Certificate and Bylaws are included as exhibits to the Annual Report on Form 10-K of which this Exhibit 4.11 forms a part. We encourage you to carefully read our Certificate, Bylaws and the applicable provisions of the DGCL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1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8"/>
          <w:szCs w:val="18"/>
          <w:color w:val="auto"/>
        </w:rPr>
        <w:t>Under the Certificate, we have the authority to issue 200,000,000 shares of common stock. Our common stock is listed on The Nasdaq Global Market under the symbol “SELB.” The rights, preferences and privileges of holders of our common stock are subject to, and may be adversely affected by, the rights of the holders of shares of any series of preferred stock we may designate and issue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Outstanding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outstanding shares of our common stock are duly authorized, validly issued, fully paid and nonassessable.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114"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Rights Upon Liquidation</w:t>
      </w:r>
    </w:p>
    <w:p>
      <w:pPr>
        <w:spacing w:after="0" w:line="114"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114"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Holders of common stock are entitled to receive proportionately any dividends as may be declared by our board of directors, subject to any preferential dividend rights of outstanding preferred stock.</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Rights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Holders of common stock have no preemptive, subscription, redemption or conversion rights.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114"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Certain holders our common stock or their transferees are entitled to the following rights with respect to the registration of such shares for public resale under the Securities Act of 1933, as amended (the “Securities Act”).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These registration rights are granted pursuant to (i) a registration rights agreement we entered into in connection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9" w:right="339" w:bottom="1440" w:gutter="0" w:footer="0" w:header="0"/>
        </w:sectPr>
      </w:pPr>
    </w:p>
    <w:bookmarkStart w:id="112" w:name="page113"/>
    <w:bookmarkEnd w:id="112"/>
    <w:p>
      <w:pPr>
        <w:jc w:val="both"/>
        <w:ind w:right="120"/>
        <w:spacing w:after="0" w:line="291" w:lineRule="auto"/>
        <w:rPr>
          <w:sz w:val="20"/>
          <w:szCs w:val="20"/>
          <w:color w:val="auto"/>
        </w:rPr>
      </w:pPr>
      <w:r>
        <w:rPr>
          <w:rFonts w:ascii="Arial" w:cs="Arial" w:eastAsia="Arial" w:hAnsi="Arial"/>
          <w:sz w:val="18"/>
          <w:szCs w:val="18"/>
          <w:color w:val="auto"/>
        </w:rPr>
        <w:t>with the private placement of 37,634,883 shares of our common stock and warrants to purchase 31,330,629 shares of our common stock, or the 2019 Private Placement, which closed on December 23, 2019; and (ii) a registration rights agreement we entered into in connection with the private placement of 5,416,390 shares of our common stock, or the 2020 Private Placement, which closed on July 31, 2020.</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2019 Registration Rights Agreement</w:t>
      </w:r>
    </w:p>
    <w:p>
      <w:pPr>
        <w:spacing w:after="0" w:line="108"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The shares of common stock underlying the warrants and the shares of common stock issued in connection with our 2019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December 23, 2024.</w:t>
      </w:r>
    </w:p>
    <w:p>
      <w:pPr>
        <w:spacing w:after="0" w:line="7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2020 Registration Rights Agreement</w:t>
      </w:r>
    </w:p>
    <w:p>
      <w:pPr>
        <w:spacing w:after="0" w:line="114" w:lineRule="exact"/>
        <w:rPr>
          <w:sz w:val="20"/>
          <w:szCs w:val="20"/>
          <w:color w:val="auto"/>
        </w:rPr>
      </w:pPr>
    </w:p>
    <w:p>
      <w:pPr>
        <w:ind w:right="80" w:firstLine="648"/>
        <w:spacing w:after="0" w:line="278" w:lineRule="auto"/>
        <w:rPr>
          <w:sz w:val="20"/>
          <w:szCs w:val="20"/>
          <w:color w:val="auto"/>
        </w:rPr>
      </w:pPr>
      <w:r>
        <w:rPr>
          <w:rFonts w:ascii="Arial" w:cs="Arial" w:eastAsia="Arial" w:hAnsi="Arial"/>
          <w:sz w:val="18"/>
          <w:szCs w:val="18"/>
          <w:color w:val="auto"/>
        </w:rPr>
        <w:t>Holders of registrable securities under the 2020 Registration Rights Agreement, as amended,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57" w:lineRule="exact"/>
        <w:rPr>
          <w:sz w:val="20"/>
          <w:szCs w:val="20"/>
          <w:color w:val="auto"/>
        </w:rPr>
      </w:pPr>
    </w:p>
    <w:p>
      <w:pPr>
        <w:ind w:right="60" w:firstLine="648"/>
        <w:spacing w:after="0" w:line="263" w:lineRule="auto"/>
        <w:rPr>
          <w:sz w:val="20"/>
          <w:szCs w:val="20"/>
          <w:color w:val="auto"/>
        </w:rPr>
      </w:pPr>
      <w:r>
        <w:rPr>
          <w:rFonts w:ascii="Arial" w:cs="Arial" w:eastAsia="Arial" w:hAnsi="Arial"/>
          <w:sz w:val="19"/>
          <w:szCs w:val="19"/>
          <w:i w:val="1"/>
          <w:iCs w:val="1"/>
          <w:color w:val="auto"/>
        </w:rPr>
        <w:t>Piggyback Registration Rights</w:t>
      </w:r>
      <w:r>
        <w:rPr>
          <w:rFonts w:ascii="Arial" w:cs="Arial" w:eastAsia="Arial" w:hAnsi="Arial"/>
          <w:sz w:val="19"/>
          <w:szCs w:val="19"/>
          <w:color w:val="auto"/>
        </w:rPr>
        <w:t>. Any time we propose to register any shares of our common stock under the Securities Act,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8"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i w:val="1"/>
          <w:iCs w:val="1"/>
          <w:color w:val="auto"/>
        </w:rPr>
        <w:t>Demand Registration Rights</w:t>
      </w:r>
      <w:r>
        <w:rPr>
          <w:rFonts w:ascii="Arial" w:cs="Arial" w:eastAsia="Arial" w:hAnsi="Arial"/>
          <w:sz w:val="20"/>
          <w:szCs w:val="20"/>
          <w:color w:val="auto"/>
        </w:rPr>
        <w:t>. If the holders of registrable securities request in writing that we effect a registration with respect to all</w:t>
      </w:r>
      <w:r>
        <w:rPr>
          <w:rFonts w:ascii="Arial" w:cs="Arial" w:eastAsia="Arial" w:hAnsi="Arial"/>
          <w:sz w:val="20"/>
          <w:szCs w:val="20"/>
          <w:i w:val="1"/>
          <w:iCs w:val="1"/>
          <w:color w:val="auto"/>
        </w:rPr>
        <w:t xml:space="preserve"> </w:t>
      </w:r>
      <w:r>
        <w:rPr>
          <w:rFonts w:ascii="Arial" w:cs="Arial" w:eastAsia="Arial" w:hAnsi="Arial"/>
          <w:sz w:val="20"/>
          <w:szCs w:val="20"/>
          <w:color w:val="auto"/>
        </w:rPr>
        <w:t>of the registrable securities, we will be required to effect such registration.</w:t>
      </w:r>
    </w:p>
    <w:p>
      <w:pPr>
        <w:spacing w:after="0" w:line="6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i w:val="1"/>
          <w:iCs w:val="1"/>
          <w:color w:val="auto"/>
        </w:rPr>
        <w:t>Expenses</w:t>
      </w:r>
      <w:r>
        <w:rPr>
          <w:rFonts w:ascii="Arial" w:cs="Arial" w:eastAsia="Arial" w:hAnsi="Arial"/>
          <w:sz w:val="20"/>
          <w:szCs w:val="20"/>
          <w:color w:val="auto"/>
        </w:rPr>
        <w:t>. Ordinarily, other than underwriting discounts and commissions, we will be required to pay all expenses incurred by us</w:t>
      </w:r>
      <w:r>
        <w:rPr>
          <w:rFonts w:ascii="Arial" w:cs="Arial" w:eastAsia="Arial" w:hAnsi="Arial"/>
          <w:sz w:val="20"/>
          <w:szCs w:val="20"/>
          <w:i w:val="1"/>
          <w:iCs w:val="1"/>
          <w:color w:val="auto"/>
        </w:rPr>
        <w:t xml:space="preserve"> </w:t>
      </w:r>
      <w:r>
        <w:rPr>
          <w:rFonts w:ascii="Arial" w:cs="Arial" w:eastAsia="Arial" w:hAnsi="Arial"/>
          <w:sz w:val="20"/>
          <w:szCs w:val="20"/>
          <w:color w:val="auto"/>
        </w:rPr>
        <w:t>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83"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i w:val="1"/>
          <w:iCs w:val="1"/>
          <w:color w:val="auto"/>
        </w:rPr>
        <w:t>Termination of Registration Rights</w:t>
      </w:r>
      <w:r>
        <w:rPr>
          <w:rFonts w:ascii="Arial" w:cs="Arial" w:eastAsia="Arial" w:hAnsi="Arial"/>
          <w:sz w:val="20"/>
          <w:szCs w:val="20"/>
          <w:color w:val="auto"/>
        </w:rPr>
        <w:t>. The registration rights terminate upon the earlier of (i) such time as there are no longer any</w:t>
      </w:r>
      <w:r>
        <w:rPr>
          <w:rFonts w:ascii="Arial" w:cs="Arial" w:eastAsia="Arial" w:hAnsi="Arial"/>
          <w:sz w:val="20"/>
          <w:szCs w:val="20"/>
          <w:i w:val="1"/>
          <w:iCs w:val="1"/>
          <w:color w:val="auto"/>
        </w:rPr>
        <w:t xml:space="preserve"> </w:t>
      </w:r>
      <w:r>
        <w:rPr>
          <w:rFonts w:ascii="Arial" w:cs="Arial" w:eastAsia="Arial" w:hAnsi="Arial"/>
          <w:sz w:val="20"/>
          <w:szCs w:val="20"/>
          <w:color w:val="auto"/>
        </w:rPr>
        <w:t>registrable securities held by the purchaser, its affiliates or permitted transferees and (ii) such time as all of the securities can otherwise be sold without regard to the volume or manner-of-sale restrictions pursuant to Rule 144.</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114"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Some provisions of the DGCL, our Certificate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86" w:lineRule="exact"/>
        <w:rPr>
          <w:sz w:val="20"/>
          <w:szCs w:val="20"/>
          <w:color w:val="auto"/>
        </w:rPr>
      </w:pPr>
    </w:p>
    <w:p>
      <w:pPr>
        <w:jc w:val="both"/>
        <w:ind w:right="220" w:firstLine="648"/>
        <w:spacing w:after="0" w:line="250"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79" w:right="359" w:bottom="1440" w:gutter="0" w:footer="0" w:header="0"/>
        </w:sectPr>
      </w:pPr>
    </w:p>
    <w:bookmarkStart w:id="113" w:name="page114"/>
    <w:bookmarkEnd w:id="113"/>
    <w:p>
      <w:pPr>
        <w:ind w:right="380"/>
        <w:spacing w:after="0" w:line="260" w:lineRule="auto"/>
        <w:rPr>
          <w:sz w:val="20"/>
          <w:szCs w:val="20"/>
          <w:color w:val="auto"/>
        </w:rPr>
      </w:pPr>
      <w:r>
        <w:rPr>
          <w:rFonts w:ascii="Arial" w:cs="Arial" w:eastAsia="Arial" w:hAnsi="Arial"/>
          <w:sz w:val="20"/>
          <w:szCs w:val="20"/>
          <w:color w:val="auto"/>
        </w:rPr>
        <w:t>with the proponent of an unfriendly or unsolicited proposal to acquire or restructure us outweigh the disadvantages of discouraging these proposals because negotiation of these proposals could result in an improvement of their terms.</w:t>
      </w:r>
    </w:p>
    <w:p>
      <w:pPr>
        <w:spacing w:after="0" w:line="69" w:lineRule="exact"/>
        <w:rPr>
          <w:sz w:val="20"/>
          <w:szCs w:val="20"/>
          <w:color w:val="auto"/>
        </w:rPr>
      </w:pPr>
    </w:p>
    <w:p>
      <w:pPr>
        <w:jc w:val="both"/>
        <w:ind w:right="300" w:firstLine="648"/>
        <w:spacing w:after="0" w:line="246" w:lineRule="auto"/>
        <w:rPr>
          <w:sz w:val="20"/>
          <w:szCs w:val="20"/>
          <w:color w:val="auto"/>
        </w:rPr>
      </w:pPr>
      <w:r>
        <w:rPr>
          <w:rFonts w:ascii="Arial" w:cs="Arial" w:eastAsia="Arial" w:hAnsi="Arial"/>
          <w:sz w:val="20"/>
          <w:szCs w:val="20"/>
          <w:i w:val="1"/>
          <w:iCs w:val="1"/>
          <w:color w:val="auto"/>
        </w:rPr>
        <w:t>Undesignated Preferred Stock</w:t>
      </w:r>
      <w:r>
        <w:rPr>
          <w:rFonts w:ascii="Arial" w:cs="Arial" w:eastAsia="Arial" w:hAnsi="Arial"/>
          <w:sz w:val="20"/>
          <w:szCs w:val="20"/>
          <w:color w:val="auto"/>
        </w:rPr>
        <w:t>. The ability of our board of directors, without action by the stockholders, to issue up to 10,000,000</w:t>
      </w:r>
      <w:r>
        <w:rPr>
          <w:rFonts w:ascii="Arial" w:cs="Arial" w:eastAsia="Arial" w:hAnsi="Arial"/>
          <w:sz w:val="20"/>
          <w:szCs w:val="20"/>
          <w:i w:val="1"/>
          <w:iCs w:val="1"/>
          <w:color w:val="auto"/>
        </w:rPr>
        <w:t xml:space="preserve"> </w:t>
      </w:r>
      <w:r>
        <w:rPr>
          <w:rFonts w:ascii="Arial" w:cs="Arial" w:eastAsia="Arial" w:hAnsi="Arial"/>
          <w:sz w:val="20"/>
          <w:szCs w:val="20"/>
          <w:color w:val="auto"/>
        </w:rPr>
        <w:t>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83"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i w:val="1"/>
          <w:iCs w:val="1"/>
          <w:color w:val="auto"/>
        </w:rPr>
        <w:t>Stockholder Meetings</w:t>
      </w:r>
      <w:r>
        <w:rPr>
          <w:rFonts w:ascii="Arial" w:cs="Arial" w:eastAsia="Arial" w:hAnsi="Arial"/>
          <w:sz w:val="20"/>
          <w:szCs w:val="20"/>
          <w:color w:val="auto"/>
        </w:rPr>
        <w:t>. Our Bylaws provide that a special meeting of stockholders may be called only by our chairman of the board,</w:t>
      </w:r>
      <w:r>
        <w:rPr>
          <w:rFonts w:ascii="Arial" w:cs="Arial" w:eastAsia="Arial" w:hAnsi="Arial"/>
          <w:sz w:val="20"/>
          <w:szCs w:val="20"/>
          <w:i w:val="1"/>
          <w:iCs w:val="1"/>
          <w:color w:val="auto"/>
        </w:rPr>
        <w:t xml:space="preserve"> </w:t>
      </w:r>
      <w:r>
        <w:rPr>
          <w:rFonts w:ascii="Arial" w:cs="Arial" w:eastAsia="Arial" w:hAnsi="Arial"/>
          <w:sz w:val="20"/>
          <w:szCs w:val="20"/>
          <w:color w:val="auto"/>
        </w:rPr>
        <w:t>chief executive officer or president (in the absence of a chief executive officer), or by a resolution adopted by a majority of our board of directors.</w:t>
      </w:r>
    </w:p>
    <w:p>
      <w:pPr>
        <w:spacing w:after="0" w:line="78"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Our Bylaws establish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44"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i w:val="1"/>
          <w:iCs w:val="1"/>
          <w:color w:val="auto"/>
        </w:rPr>
        <w:t>Elimination of Stockholder Action by Written Consent</w:t>
      </w:r>
      <w:r>
        <w:rPr>
          <w:rFonts w:ascii="Arial" w:cs="Arial" w:eastAsia="Arial" w:hAnsi="Arial"/>
          <w:sz w:val="20"/>
          <w:szCs w:val="20"/>
          <w:color w:val="auto"/>
        </w:rPr>
        <w:t>. Our Certificate eliminates the right of stockholders to act by written consent</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a meeting.</w:t>
      </w:r>
    </w:p>
    <w:p>
      <w:pPr>
        <w:spacing w:after="0" w:line="69"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20"/>
          <w:szCs w:val="20"/>
          <w:i w:val="1"/>
          <w:iCs w:val="1"/>
          <w:color w:val="auto"/>
        </w:rPr>
        <w:t>Staggered Board</w:t>
      </w:r>
      <w:r>
        <w:rPr>
          <w:rFonts w:ascii="Arial" w:cs="Arial" w:eastAsia="Arial" w:hAnsi="Arial"/>
          <w:sz w:val="20"/>
          <w:szCs w:val="20"/>
          <w:color w:val="auto"/>
        </w:rPr>
        <w:t>. Our board of directors is divided into three classes. The directors in each class will serve for a three-year term, one</w:t>
      </w:r>
      <w:r>
        <w:rPr>
          <w:rFonts w:ascii="Arial" w:cs="Arial" w:eastAsia="Arial" w:hAnsi="Arial"/>
          <w:sz w:val="20"/>
          <w:szCs w:val="20"/>
          <w:i w:val="1"/>
          <w:iCs w:val="1"/>
          <w:color w:val="auto"/>
        </w:rPr>
        <w:t xml:space="preserve"> </w:t>
      </w:r>
      <w:r>
        <w:rPr>
          <w:rFonts w:ascii="Arial" w:cs="Arial" w:eastAsia="Arial" w:hAnsi="Arial"/>
          <w:sz w:val="20"/>
          <w:szCs w:val="20"/>
          <w:color w:val="auto"/>
        </w:rPr>
        <w:t>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83"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i w:val="1"/>
          <w:iCs w:val="1"/>
          <w:color w:val="auto"/>
        </w:rPr>
        <w:t>Removal of Directors</w:t>
      </w:r>
      <w:r>
        <w:rPr>
          <w:rFonts w:ascii="Arial" w:cs="Arial" w:eastAsia="Arial" w:hAnsi="Arial"/>
          <w:sz w:val="20"/>
          <w:szCs w:val="20"/>
          <w:color w:val="auto"/>
        </w:rPr>
        <w:t>. Our Certificate provides that no member of our board of directors may be removed from office by our</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78"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i w:val="1"/>
          <w:iCs w:val="1"/>
          <w:color w:val="auto"/>
        </w:rPr>
        <w:t>Stockholders Not Entitled to Cumulative Voting</w:t>
      </w:r>
      <w:r>
        <w:rPr>
          <w:rFonts w:ascii="Arial" w:cs="Arial" w:eastAsia="Arial" w:hAnsi="Arial"/>
          <w:sz w:val="20"/>
          <w:szCs w:val="20"/>
          <w:color w:val="auto"/>
        </w:rPr>
        <w:t>. Our Certificate does not permit stockholders to cumulate their votes in the election</w:t>
      </w:r>
      <w:r>
        <w:rPr>
          <w:rFonts w:ascii="Arial" w:cs="Arial" w:eastAsia="Arial" w:hAnsi="Arial"/>
          <w:sz w:val="20"/>
          <w:szCs w:val="20"/>
          <w:i w:val="1"/>
          <w:iCs w:val="1"/>
          <w:color w:val="auto"/>
        </w:rPr>
        <w:t xml:space="preserve"> </w:t>
      </w:r>
      <w:r>
        <w:rPr>
          <w:rFonts w:ascii="Arial" w:cs="Arial" w:eastAsia="Arial" w:hAnsi="Arial"/>
          <w:sz w:val="20"/>
          <w:szCs w:val="20"/>
          <w:color w:val="auto"/>
        </w:rPr>
        <w:t>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8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DGCL, which prohibits persons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60"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Certificate provides that, unless we consent in writing to the selection of an alternative form, the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or Bylaws; or (4) any action asserting a claim governed by the internal affairs doctrine. Our Certificate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is inapplicable or unenforceable if it is challenged in a proceeding or otherwise.</w:t>
      </w:r>
    </w:p>
    <w:p>
      <w:pPr>
        <w:spacing w:after="0" w:line="60" w:lineRule="exact"/>
        <w:rPr>
          <w:sz w:val="20"/>
          <w:szCs w:val="20"/>
          <w:color w:val="auto"/>
        </w:rPr>
      </w:pPr>
    </w:p>
    <w:p>
      <w:pPr>
        <w:jc w:val="both"/>
        <w:ind w:right="520" w:firstLine="648"/>
        <w:spacing w:after="0" w:line="269" w:lineRule="auto"/>
        <w:rPr>
          <w:sz w:val="20"/>
          <w:szCs w:val="20"/>
          <w:color w:val="auto"/>
        </w:rPr>
      </w:pPr>
      <w:r>
        <w:rPr>
          <w:rFonts w:ascii="Arial" w:cs="Arial" w:eastAsia="Arial" w:hAnsi="Arial"/>
          <w:sz w:val="19"/>
          <w:szCs w:val="19"/>
          <w:i w:val="1"/>
          <w:iCs w:val="1"/>
          <w:color w:val="auto"/>
        </w:rPr>
        <w:t>Amendment of Certificate</w:t>
      </w:r>
      <w:r>
        <w:rPr>
          <w:rFonts w:ascii="Arial" w:cs="Arial" w:eastAsia="Arial" w:hAnsi="Arial"/>
          <w:sz w:val="19"/>
          <w:szCs w:val="19"/>
          <w:color w:val="auto"/>
        </w:rPr>
        <w:t>. The amendment of any of the above provisions in our Certificate, except for the provision making it</w:t>
      </w:r>
      <w:r>
        <w:rPr>
          <w:rFonts w:ascii="Arial" w:cs="Arial" w:eastAsia="Arial" w:hAnsi="Arial"/>
          <w:sz w:val="19"/>
          <w:szCs w:val="19"/>
          <w:i w:val="1"/>
          <w:iCs w:val="1"/>
          <w:color w:val="auto"/>
        </w:rPr>
        <w:t xml:space="preserve"> </w:t>
      </w:r>
      <w:r>
        <w:rPr>
          <w:rFonts w:ascii="Arial" w:cs="Arial" w:eastAsia="Arial" w:hAnsi="Arial"/>
          <w:sz w:val="19"/>
          <w:szCs w:val="19"/>
          <w:color w:val="auto"/>
        </w:rPr>
        <w:t>possible for our board of directors to issue preferred stock and the provision prohibiting cumulative voting, would require approval by holders of at least two-thirds in voting power of the outstanding shares of stock entitled to vote thereon.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879" w:right="359" w:bottom="1440" w:gutter="0" w:footer="0" w:header="0"/>
        </w:sectPr>
      </w:pPr>
    </w:p>
    <w:bookmarkStart w:id="114" w:name="page115"/>
    <w:bookmarkEnd w:id="114"/>
    <w:p>
      <w:pPr>
        <w:ind w:firstLine="648"/>
        <w:spacing w:after="0" w:line="244" w:lineRule="auto"/>
        <w:rPr>
          <w:sz w:val="20"/>
          <w:szCs w:val="20"/>
          <w:color w:val="auto"/>
        </w:rPr>
      </w:pPr>
      <w:r>
        <w:rPr>
          <w:rFonts w:ascii="Arial" w:cs="Arial" w:eastAsia="Arial" w:hAnsi="Arial"/>
          <w:sz w:val="20"/>
          <w:szCs w:val="20"/>
          <w:color w:val="auto"/>
        </w:rPr>
        <w:t>The provisions of the DGCL, our Certificate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879" w:right="37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660" w:right="100" w:hanging="328"/>
        <w:spacing w:after="0" w:line="277"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File No. 333-212215) pertaining to the 2008 Stock Incentive Plan, as amended, the 2016 Incentive Award Plan and the 2016 Employee Stock Purchase Plan of Selecta Biosciences, Inc.,</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File No. 333-224109) pertaining to the 2016 Incentive Award Plan and the 2016 Employee Stock Purchase Plan,</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File No. 333-228264) pertaining to the 2018 Employment Inducement Incentive Award Plan,</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File No. 333-230501) pertaining to the 2018 Employment Inducement Incentive Award Plan,</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S-8, File No. 333-239075) pertaining to the 2016 Incentive Award Plan and the 2016 Employee Stock Purchase Plan,</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S-3, File No. 333-236147),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Registration Statement (Form S-3, File No. 333-241692);</w:t>
      </w:r>
    </w:p>
    <w:p>
      <w:pPr>
        <w:spacing w:after="0" w:line="200" w:lineRule="exact"/>
        <w:rPr>
          <w:sz w:val="20"/>
          <w:szCs w:val="20"/>
          <w:color w:val="auto"/>
        </w:rPr>
      </w:pP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our report dated March 12, 2021 with respect to the consolidated financial statements of Selecta Biosciences, Inc. included in this Annual Report (Form 10-K) of Selecta Biosciences, Inc. for the year ended December 31,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ectPr>
          <w:pgSz w:w="11900" w:h="16838" w:orient="portrait"/>
          <w:cols w:equalWidth="0" w:num="1">
            <w:col w:w="11240"/>
          </w:cols>
          <w:pgMar w:left="320" w:top="76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216" w:lineRule="exact"/>
        <w:rPr>
          <w:sz w:val="20"/>
          <w:szCs w:val="20"/>
          <w:color w:val="auto"/>
        </w:rPr>
      </w:pPr>
    </w:p>
    <w:p>
      <w:pPr>
        <w:ind w:left="680" w:hanging="348"/>
        <w:spacing w:after="0"/>
        <w:tabs>
          <w:tab w:leader="none" w:pos="6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5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5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5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March 12, 2021</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3"/>
              </w:rPr>
              <w:t>(Principal Executive Officer)</w:t>
            </w:r>
          </w:p>
        </w:tc>
      </w:tr>
    </w:tbl>
    <w:p>
      <w:pPr>
        <w:sectPr>
          <w:pgSz w:w="11900" w:h="16838" w:orient="portrait"/>
          <w:cols w:equalWidth="0" w:num="1">
            <w:col w:w="11240"/>
          </w:cols>
          <w:pgMar w:left="320" w:top="765"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Bradford D. Dahms, certify that:</w:t>
      </w:r>
    </w:p>
    <w:p>
      <w:pPr>
        <w:spacing w:after="0" w:line="216" w:lineRule="exact"/>
        <w:rPr>
          <w:sz w:val="20"/>
          <w:szCs w:val="20"/>
          <w:color w:val="auto"/>
        </w:rPr>
      </w:pPr>
    </w:p>
    <w:p>
      <w:pPr>
        <w:ind w:left="680" w:hanging="348"/>
        <w:spacing w:after="0"/>
        <w:tabs>
          <w:tab w:leader="none" w:pos="6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5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920" w:type="dxa"/>
            <w:vAlign w:val="bottom"/>
          </w:tcPr>
          <w:p>
            <w:pPr>
              <w:spacing w:after="0"/>
              <w:rPr>
                <w:sz w:val="20"/>
                <w:szCs w:val="20"/>
                <w:color w:val="auto"/>
              </w:rPr>
            </w:pPr>
            <w:r>
              <w:rPr>
                <w:rFonts w:ascii="Arial" w:cs="Arial" w:eastAsia="Arial" w:hAnsi="Arial"/>
                <w:sz w:val="20"/>
                <w:szCs w:val="20"/>
                <w:color w:val="2C2C2C"/>
              </w:rPr>
              <w:t>March 12, 2021</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Bradford D. Dahms</w:t>
            </w:r>
          </w:p>
        </w:tc>
      </w:tr>
      <w:tr>
        <w:trPr>
          <w:trHeight w:val="233"/>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1"/>
              </w:rPr>
              <w:t>Bradford D. Dahms</w:t>
            </w:r>
          </w:p>
        </w:tc>
      </w:tr>
      <w:tr>
        <w:trPr>
          <w:trHeight w:val="243"/>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3"/>
              </w:rPr>
              <w:t>(Principal Financial and Accounting Officer)</w:t>
            </w:r>
          </w:p>
        </w:tc>
      </w:tr>
    </w:tbl>
    <w:p>
      <w:pPr>
        <w:sectPr>
          <w:pgSz w:w="11900" w:h="16838" w:orient="portrait"/>
          <w:cols w:equalWidth="0" w:num="1">
            <w:col w:w="11240"/>
          </w:cols>
          <w:pgMar w:left="320" w:top="765"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Ph.D., President and Chief Executive Officer of Selecta Biosciences, Inc. (the “Company”), hereby certify, pursuant to 18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U.S.C. §1350, as adopted pursuant to §906 of the Sarbanes-Oxley Act of 2002, that, to the best of my knowledge:</w:t>
      </w:r>
    </w:p>
    <w:p>
      <w:pPr>
        <w:spacing w:after="0" w:line="200" w:lineRule="exact"/>
        <w:rPr>
          <w:sz w:val="20"/>
          <w:szCs w:val="20"/>
          <w:color w:val="auto"/>
        </w:rPr>
      </w:pPr>
    </w:p>
    <w:p>
      <w:pPr>
        <w:ind w:left="660" w:right="220" w:hanging="328"/>
        <w:spacing w:after="0" w:line="260" w:lineRule="auto"/>
        <w:tabs>
          <w:tab w:leader="none" w:pos="679"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2020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March 12, 2021</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3"/>
              </w:rPr>
              <w:t>(Principal Executive Officer)</w:t>
            </w:r>
          </w:p>
        </w:tc>
      </w:tr>
    </w:tbl>
    <w:p>
      <w:pPr>
        <w:sectPr>
          <w:pgSz w:w="11900" w:h="16838" w:orient="portrait"/>
          <w:cols w:equalWidth="0" w:num="1">
            <w:col w:w="11240"/>
          </w:cols>
          <w:pgMar w:left="320" w:top="76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Bradford D. Dahms,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220" w:hanging="328"/>
        <w:spacing w:after="0" w:line="260" w:lineRule="auto"/>
        <w:tabs>
          <w:tab w:leader="none" w:pos="679"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2020 (the “Report”) fully complies with the requirements of Section 13(a) or 15(d) of the Securities Exchange Act of 1934, as amended; and</w:t>
      </w:r>
    </w:p>
    <w:p>
      <w:pPr>
        <w:spacing w:after="0" w:line="149"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320" w:type="dxa"/>
            <w:vAlign w:val="bottom"/>
          </w:tcPr>
          <w:p>
            <w:pPr>
              <w:spacing w:after="0"/>
              <w:rPr>
                <w:sz w:val="20"/>
                <w:szCs w:val="20"/>
                <w:color w:val="auto"/>
              </w:rPr>
            </w:pPr>
            <w:r>
              <w:rPr>
                <w:rFonts w:ascii="Arial" w:cs="Arial" w:eastAsia="Arial" w:hAnsi="Arial"/>
                <w:sz w:val="20"/>
                <w:szCs w:val="20"/>
                <w:color w:val="2C2C2C"/>
              </w:rPr>
              <w:t>March 12, 2021</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Bradford D. Dahms</w:t>
            </w:r>
          </w:p>
        </w:tc>
      </w:tr>
      <w:tr>
        <w:trPr>
          <w:trHeight w:val="233"/>
        </w:trPr>
        <w:tc>
          <w:tcPr>
            <w:tcW w:w="63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20"/>
                <w:szCs w:val="20"/>
                <w:color w:val="auto"/>
                <w:w w:val="92"/>
              </w:rPr>
              <w:t>Bradford D. Dahms</w:t>
            </w:r>
          </w:p>
        </w:tc>
      </w:tr>
      <w:tr>
        <w:trPr>
          <w:trHeight w:val="243"/>
        </w:trPr>
        <w:tc>
          <w:tcPr>
            <w:tcW w:w="6320" w:type="dxa"/>
            <w:vAlign w:val="bottom"/>
          </w:tcPr>
          <w:p>
            <w:pPr>
              <w:spacing w:after="0"/>
              <w:rPr>
                <w:sz w:val="21"/>
                <w:szCs w:val="21"/>
                <w:color w:val="auto"/>
              </w:rPr>
            </w:pPr>
          </w:p>
        </w:tc>
        <w:tc>
          <w:tcPr>
            <w:tcW w:w="486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6320" w:type="dxa"/>
            <w:vAlign w:val="bottom"/>
          </w:tcPr>
          <w:p>
            <w:pPr>
              <w:spacing w:after="0"/>
              <w:rPr>
                <w:sz w:val="21"/>
                <w:szCs w:val="21"/>
                <w:color w:val="auto"/>
              </w:rPr>
            </w:pPr>
          </w:p>
        </w:tc>
        <w:tc>
          <w:tcPr>
            <w:tcW w:w="4860" w:type="dxa"/>
            <w:vAlign w:val="bottom"/>
          </w:tcPr>
          <w:p>
            <w:pPr>
              <w:jc w:val="center"/>
              <w:spacing w:after="0"/>
              <w:rPr>
                <w:sz w:val="20"/>
                <w:szCs w:val="20"/>
                <w:color w:val="auto"/>
              </w:rPr>
            </w:pPr>
            <w:r>
              <w:rPr>
                <w:rFonts w:ascii="Arial" w:cs="Arial" w:eastAsia="Arial" w:hAnsi="Arial"/>
                <w:sz w:val="20"/>
                <w:szCs w:val="20"/>
                <w:i w:val="1"/>
                <w:iCs w:val="1"/>
                <w:color w:val="auto"/>
                <w:w w:val="94"/>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upperLetter"/>
      <w:start w:val="35"/>
    </w:lvl>
  </w:abstractNum>
  <w:abstractNum w:abstractNumId="8">
    <w:nsid w:val="419AC241"/>
    <w:multiLevelType w:val="hybridMultilevel"/>
    <w:lvl w:ilvl="0">
      <w:lvlJc w:val="left"/>
      <w:lvlText w:val="•"/>
      <w:numFmt w:val="bullet"/>
      <w:start w:val="1"/>
    </w:lvl>
    <w:lvl w:ilvl="1">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lowerRoman"/>
      <w:start w:val="2"/>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lowerRoman"/>
      <w:start w:val="3"/>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lowerRoman"/>
      <w:start w:val="1"/>
    </w:lvl>
  </w:abstractNum>
  <w:abstractNum w:abstractNumId="50">
    <w:nsid w:val="649BB77C"/>
    <w:multiLevelType w:val="hybridMultilevel"/>
    <w:lvl w:ilvl="0">
      <w:lvlJc w:val="left"/>
      <w:lvlText w:val="%1."/>
      <w:numFmt w:val="decimal"/>
      <w:start w:val="11"/>
    </w:lvl>
  </w:abstractNum>
  <w:abstractNum w:abstractNumId="51">
    <w:nsid w:val="275AC794"/>
    <w:multiLevelType w:val="hybridMultilevel"/>
    <w:lvl w:ilvl="0">
      <w:lvlJc w:val="left"/>
      <w:lvlText w:val="%1."/>
      <w:numFmt w:val="decimal"/>
      <w:start w:val="12"/>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4"/>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110" Type="http://schemas.openxmlformats.org/officeDocument/2006/relationships/image" Target="media/image80.png"/><Relationship Id="rId12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85" Type="http://schemas.openxmlformats.org/officeDocument/2006/relationships/hyperlink" Target="http://www.sec.gov/Archives/edgar/data/1453687/000110465916129891/a16-14002_1ex3d1.htm" TargetMode="External"/><Relationship Id="rId86" Type="http://schemas.openxmlformats.org/officeDocument/2006/relationships/hyperlink" Target="http://www.sec.gov/Archives/edgar/data/1453687/000110465916129891/a16-14002_1ex3d2.htm" TargetMode="External"/><Relationship Id="rId87" Type="http://schemas.openxmlformats.org/officeDocument/2006/relationships/hyperlink" Target="http://www.sec.gov/Archives/edgar/data/1453687/000104746916013398/a2228672zex-4_2.htm" TargetMode="External"/><Relationship Id="rId88" Type="http://schemas.openxmlformats.org/officeDocument/2006/relationships/hyperlink" Target="http://www.sec.gov/Archives/edgar/data/1453687/000104746916013398/a2228672zex-4_5.htm" TargetMode="External"/><Relationship Id="rId89" Type="http://schemas.openxmlformats.org/officeDocument/2006/relationships/hyperlink" Target="http://www.sec.gov/Archives/edgar/data/1453687/000104746916013398/a2228672zex-4_6.htm" TargetMode="External"/><Relationship Id="rId90" Type="http://schemas.openxmlformats.org/officeDocument/2006/relationships/hyperlink" Target="http://www.sec.gov/Archives/edgar/data/1453687/000145368717000048/exhibit41_selectabioscienc.htm" TargetMode="External"/><Relationship Id="rId93" Type="http://schemas.openxmlformats.org/officeDocument/2006/relationships/hyperlink" Target="http://www.sec.gov/Archives/edgar/data/1453687/000110465919075844/tm1926772d1_ex10-2.htm" TargetMode="External"/><Relationship Id="rId94" Type="http://schemas.openxmlformats.org/officeDocument/2006/relationships/hyperlink" Target="http://www.sec.gov/Archives/edgar/data/1453687/000145368720000096/exhibit41sobiregistrat.htm" TargetMode="External"/><Relationship Id="rId95" Type="http://schemas.openxmlformats.org/officeDocument/2006/relationships/hyperlink" Target="http://www.sec.gov/Archives/edgar/data/1453687/000145368720000129/exhibit42sobirraandame.htm" TargetMode="External"/><Relationship Id="rId96" Type="http://schemas.openxmlformats.org/officeDocument/2006/relationships/hyperlink" Target="http://www.sec.gov/Archives/edgar/data/1453687/000110465919075844/tm1926772d1_ex4-1.htm" TargetMode="External"/><Relationship Id="rId97" Type="http://schemas.openxmlformats.org/officeDocument/2006/relationships/hyperlink" Target="http://www.sec.gov/Archives/edgar/data/1453687/000110465919075844/tm1926772d1_ex4-2.htm" TargetMode="External"/><Relationship Id="rId98" Type="http://schemas.openxmlformats.org/officeDocument/2006/relationships/hyperlink" Target="http://www.sec.gov/Archives/edgar/data/1453687/000145368720000104/exhibit41formofwarrant.htm" TargetMode="External"/><Relationship Id="rId99" Type="http://schemas.openxmlformats.org/officeDocument/2006/relationships/hyperlink" Target="http://www.sec.gov/Archives/edgar/data/1453687/000104746916013718/a2228810zex-10_2.htm" TargetMode="External"/><Relationship Id="rId100" Type="http://schemas.openxmlformats.org/officeDocument/2006/relationships/hyperlink" Target="http://www.sec.gov/Archives/edgar/data/1453687/000104746916013718/a2228810zex-10_3.htm" TargetMode="External"/><Relationship Id="rId101" Type="http://schemas.openxmlformats.org/officeDocument/2006/relationships/hyperlink" Target="http://www.sec.gov/Archives/edgar/data/1453687/000145368718000061/exhibit101_2018employmenti.htm" TargetMode="External"/><Relationship Id="rId102" Type="http://schemas.openxmlformats.org/officeDocument/2006/relationships/hyperlink" Target="http://www.sec.gov/Archives/edgar/data/1453687/000104746916013886/a2228960zex-10_1.htm" TargetMode="External"/><Relationship Id="rId103" Type="http://schemas.openxmlformats.org/officeDocument/2006/relationships/hyperlink" Target="http://www.sec.gov/Archives/edgar/data/1453687/000145368720000052/exhibit101non-eedircom.htm" TargetMode="External"/><Relationship Id="rId104" Type="http://schemas.openxmlformats.org/officeDocument/2006/relationships/hyperlink" Target="http://www.sec.gov/Archives/edgar/data/1453687/000104746916013398/a2228672zex-10_5.htm" TargetMode="External"/><Relationship Id="rId105" Type="http://schemas.openxmlformats.org/officeDocument/2006/relationships/hyperlink" Target="http://www.sec.gov/Archives/edgar/data/1453687/000104746916013398/a2228672zex-10_7a.htm" TargetMode="External"/><Relationship Id="rId106" Type="http://schemas.openxmlformats.org/officeDocument/2006/relationships/hyperlink" Target="http://www.sec.gov/Archives/edgar/data/1453687/000104746916013398/a2228672zex-10_7b.htm" TargetMode="External"/><Relationship Id="rId107" Type="http://schemas.openxmlformats.org/officeDocument/2006/relationships/hyperlink" Target="http://www.sec.gov/Archives/edgar/data/1453687/000104746916013398/a2228672zex-10_7c.htm" TargetMode="External"/><Relationship Id="rId108" Type="http://schemas.openxmlformats.org/officeDocument/2006/relationships/hyperlink" Target="http://www.sec.gov/Archives/edgar/data/1453687/000104746916013398/a2228672zex-10_7d.htm" TargetMode="External"/><Relationship Id="rId109" Type="http://schemas.openxmlformats.org/officeDocument/2006/relationships/hyperlink" Target="http://www.sec.gov/Archives/edgar/data/1453687/000104746916013398/a2228672zex-10_7e.htm" TargetMode="External"/><Relationship Id="rId111" Type="http://schemas.openxmlformats.org/officeDocument/2006/relationships/hyperlink" Target="http://www.sec.gov/Archives/edgar/data/1453687/000145368716000020/exhibit103a-3rdamendmentto.htm" TargetMode="External"/><Relationship Id="rId112" Type="http://schemas.openxmlformats.org/officeDocument/2006/relationships/hyperlink" Target="http://www.sec.gov/Archives/edgar/data/1453687/000145368716000020/exhibit103b-selectamit2xwa.htm" TargetMode="External"/><Relationship Id="rId113" Type="http://schemas.openxmlformats.org/officeDocument/2006/relationships/hyperlink" Target="http://www.sec.gov/Archives/edgar/data/1453687/000145368716000020/exhibit103c-sparkxselectam.htm" TargetMode="External"/><Relationship Id="rId114" Type="http://schemas.openxmlformats.org/officeDocument/2006/relationships/hyperlink" Target="http://www.sec.gov/Archives/edgar/data/1453687/000145368720000028/exhibit107imassachuset.htm" TargetMode="External"/><Relationship Id="rId115" Type="http://schemas.openxmlformats.org/officeDocument/2006/relationships/hyperlink" Target="http://www.sec.gov/Archives/edgar/data/1453687/000145368720000096/exhibit101mitfifthamen.htm" TargetMode="External"/><Relationship Id="rId116" Type="http://schemas.openxmlformats.org/officeDocument/2006/relationships/hyperlink" Target="http://www.sec.gov/Archives/edgar/data/1453687/000145368717000053/exhibit106_63017.htm" TargetMode="External"/><Relationship Id="rId117" Type="http://schemas.openxmlformats.org/officeDocument/2006/relationships/hyperlink" Target="http://www.sec.gov/Archives/edgar/data/1453687/000104746916013398/a2228672zex-10_10.htm" TargetMode="External"/><Relationship Id="rId118" Type="http://schemas.openxmlformats.org/officeDocument/2006/relationships/hyperlink" Target="http://www.sec.gov/Archives/edgar/data/1453687/000104746916013398/a2228672zex-10_13.htm" TargetMode="External"/><Relationship Id="rId119" Type="http://schemas.openxmlformats.org/officeDocument/2006/relationships/hyperlink" Target="http://www.sec.gov/Archives/edgar/data/1453687/000110465916144668/a16-18458_1ex10d1.htm" TargetMode="External"/><Relationship Id="rId120" Type="http://schemas.openxmlformats.org/officeDocument/2006/relationships/hyperlink" Target="http://www.sec.gov/Archives/edgar/data/1453687/000145368719000157/exhibit103leaseagreeme.htm" TargetMode="External"/><Relationship Id="rId121" Type="http://schemas.openxmlformats.org/officeDocument/2006/relationships/hyperlink" Target="http://www.sec.gov/Archives/edgar/data/1453687/000145368718000061/exhibit102_brunnemployment.htm" TargetMode="External"/><Relationship Id="rId122" Type="http://schemas.openxmlformats.org/officeDocument/2006/relationships/hyperlink" Target="http://www.sec.gov/Archives/edgar/data/1453687/000104746916013718/a2228810zex-10_18.htm" TargetMode="External"/><Relationship Id="rId123" Type="http://schemas.openxmlformats.org/officeDocument/2006/relationships/hyperlink" Target="http://www.sec.gov/Archives/edgar/data/1453687/000104746916013718/a2228810zex-10_21.htm" TargetMode="External"/><Relationship Id="rId124" Type="http://schemas.openxmlformats.org/officeDocument/2006/relationships/hyperlink" Target="http://www.sec.gov/Archives/edgar/data/1453687/000145368719000157/exhibit101cfoemploymen.htm" TargetMode="External"/><Relationship Id="rId126" Type="http://schemas.openxmlformats.org/officeDocument/2006/relationships/hyperlink" Target="http://www.sec.gov/Archives/edgar/data/1453687/000145368720000129/exhibit101ptraberemplo.htm" TargetMode="External"/><Relationship Id="rId127" Type="http://schemas.openxmlformats.org/officeDocument/2006/relationships/hyperlink" Target="http://www.sec.gov/Archives/edgar/data/1453687/000145368716000020/exhibit102-sparkspaedgarre.htm" TargetMode="External"/><Relationship Id="rId128" Type="http://schemas.openxmlformats.org/officeDocument/2006/relationships/hyperlink" Target="http://www.sec.gov/Archives/edgar/data/1453687/000145368719000157/exhibit102feasibilitys.htm" TargetMode="External"/><Relationship Id="rId129" Type="http://schemas.openxmlformats.org/officeDocument/2006/relationships/hyperlink" Target="http://www.sec.gov/Archives/edgar/data/1453687/000145368720000096/exhibit102sobilicensea.htm" TargetMode="External"/><Relationship Id="rId130" Type="http://schemas.openxmlformats.org/officeDocument/2006/relationships/hyperlink" Target="http://www.sec.gov/Archives/edgar/data/1453687/000145368717000048/exhibit102_selectabioscien.htm" TargetMode="External"/><Relationship Id="rId131" Type="http://schemas.openxmlformats.org/officeDocument/2006/relationships/hyperlink" Target="http://www.sec.gov/Archives/edgar/data/1453687/000141057819000832/tv527995_ex10-1.htm" TargetMode="External"/><Relationship Id="rId132" Type="http://schemas.openxmlformats.org/officeDocument/2006/relationships/hyperlink" Target="http://www.sec.gov/Archives/edgar/data/1453687/000110465919075844/tm1926772d1_ex10-1.htm" TargetMode="External"/><Relationship Id="rId133" Type="http://schemas.openxmlformats.org/officeDocument/2006/relationships/hyperlink" Target="http://www.sec.gov/Archives/edgar/data/1453687/000145368720000096/exhibit103sobistockpur.htm" TargetMode="External"/><Relationship Id="rId134" Type="http://schemas.openxmlformats.org/officeDocument/2006/relationships/hyperlink" Target="http://www.sec.gov/Archives/edgar/data/1453687/000145368720000104/exhibit1011loanandsecu.htm" TargetMode="External"/><Relationship Id="rId135" Type="http://schemas.openxmlformats.org/officeDocument/2006/relationships/hyperlink" Target="http://www.sec.gov/Archives/edgar/data/1453687/000104746916013398/a222867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2021-03-12T15:52:29Z</dcterms:created>
  <dcterms:modified xsi:type="dcterms:W3CDTF">2021-03-12T15:52:29Z</dcterms:modified>
</cp:coreProperties>
</file>