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#816212302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#816212302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2,722,589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2,722,656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2,722,656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12.734%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#816212302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2,722,656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2,722,656</w:t>
      </w:r>
    </w:p>
    <w:p>
      <w:pPr>
        <w:spacing w:after="0"/>
        <w:rPr>
          <w:sz w:val="20"/>
          <w:szCs w:val="20"/>
          <w:color w:val="auto"/>
        </w:rPr>
      </w:pPr>
      <w:r>
        <w:rPr>
          <w:rFonts w:ascii="Courier New" w:cs="Courier New" w:eastAsia="Courier New" w:hAnsi="Courier New"/>
          <w:sz w:val="18"/>
          <w:szCs w:val="18"/>
          <w:color w:val="auto"/>
        </w:rPr>
        <w:t>Item 11: 12.734%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704 QUINCE ORCHARD RD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GAITHERSBURG, MD 20878</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816212302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2,722,656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12.734%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2,722,656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96" w:orient="portrait"/>
          <w:cols w:equalWidth="0" w:num="1">
            <w:col w:w="10139"/>
          </w:cols>
          <w:pgMar w:left="320" w:top="110"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August 9, 2024, agree and consent to the joint filing on their behalf of this Schedule 13G in connection with their beneficial ownership of the COMMON STOCK of CARTESIAN THERAPEUTICS INC at July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2024-08-12T08:45:07Z</dcterms:created>
  <dcterms:modified xsi:type="dcterms:W3CDTF">2024-08-12T08:45:07Z</dcterms:modified>
</cp:coreProperties>
</file>