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3380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SELECTA BIOSCIENCES,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par value $0.0001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816212104</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January 23,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117" w:lineRule="exact"/>
        <w:rPr>
          <w:sz w:val="24"/>
          <w:szCs w:val="24"/>
          <w:color w:val="auto"/>
        </w:rPr>
      </w:pPr>
    </w:p>
    <w:p>
      <w:pPr>
        <w:ind w:left="4800"/>
        <w:spacing w:after="0"/>
        <w:tabs>
          <w:tab w:leader="none" w:pos="5760" w:val="left"/>
        </w:tabs>
        <w:rPr>
          <w:sz w:val="20"/>
          <w:szCs w:val="20"/>
          <w:color w:val="auto"/>
        </w:rPr>
      </w:pPr>
      <w:r>
        <w:rPr>
          <w:rFonts w:ascii="Arial" w:cs="Arial" w:eastAsia="Arial" w:hAnsi="Arial"/>
          <w:sz w:val="18"/>
          <w:szCs w:val="18"/>
          <w:color w:val="auto"/>
        </w:rPr>
        <w:t>[ X ]</w:t>
      </w:r>
      <w:r>
        <w:rPr>
          <w:sz w:val="20"/>
          <w:szCs w:val="20"/>
          <w:color w:val="auto"/>
        </w:rPr>
        <w:tab/>
      </w:r>
      <w:r>
        <w:rPr>
          <w:rFonts w:ascii="Arial" w:cs="Arial" w:eastAsia="Arial" w:hAnsi="Arial"/>
          <w:sz w:val="16"/>
          <w:szCs w:val="16"/>
          <w:color w:val="auto"/>
        </w:rPr>
        <w:t>Rule 13d-1(c)</w:t>
      </w:r>
    </w:p>
    <w:p>
      <w:pPr>
        <w:spacing w:after="0" w:line="117" w:lineRule="exact"/>
        <w:rPr>
          <w:sz w:val="24"/>
          <w:szCs w:val="24"/>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13d-1(d)</w:t>
      </w:r>
    </w:p>
    <w:p>
      <w:pPr>
        <w:spacing w:after="0" w:line="225" w:lineRule="exact"/>
        <w:rPr>
          <w:sz w:val="24"/>
          <w:szCs w:val="24"/>
          <w:color w:val="auto"/>
        </w:rPr>
      </w:pPr>
    </w:p>
    <w:p>
      <w:pPr>
        <w:ind w:firstLine="8"/>
        <w:spacing w:after="0" w:line="277" w:lineRule="auto"/>
        <w:tabs>
          <w:tab w:leader="none" w:pos="13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8 Pages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3380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149" w:right="1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6540" w:type="dxa"/>
            <w:vAlign w:val="bottom"/>
          </w:tcPr>
          <w:p>
            <w:pPr>
              <w:ind w:left="2380"/>
              <w:spacing w:after="0"/>
              <w:rPr>
                <w:sz w:val="20"/>
                <w:szCs w:val="20"/>
                <w:color w:val="auto"/>
              </w:rPr>
            </w:pPr>
            <w:r>
              <w:rPr>
                <w:rFonts w:ascii="Arial" w:cs="Arial" w:eastAsia="Arial" w:hAnsi="Arial"/>
                <w:sz w:val="18"/>
                <w:szCs w:val="18"/>
                <w:color w:val="auto"/>
              </w:rPr>
              <w:t>SCHEDULE 13G</w:t>
            </w:r>
          </w:p>
        </w:tc>
        <w:tc>
          <w:tcPr>
            <w:tcW w:w="2280" w:type="dxa"/>
            <w:vAlign w:val="bottom"/>
          </w:tcPr>
          <w:p>
            <w:pPr>
              <w:ind w:left="940"/>
              <w:spacing w:after="0"/>
              <w:rPr>
                <w:sz w:val="20"/>
                <w:szCs w:val="20"/>
                <w:color w:val="auto"/>
              </w:rPr>
            </w:pPr>
            <w:r>
              <w:rPr>
                <w:rFonts w:ascii="Arial" w:cs="Arial" w:eastAsia="Arial" w:hAnsi="Arial"/>
                <w:sz w:val="18"/>
                <w:szCs w:val="18"/>
                <w:color w:val="auto"/>
                <w:w w:val="84"/>
              </w:rPr>
              <w:t>Page 2 o 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900" w:type="dxa"/>
            <w:vAlign w:val="bottom"/>
            <w:tcBorders>
              <w:bottom w:val="single" w:sz="8" w:color="auto"/>
            </w:tcBorders>
            <w:gridSpan w:val="4"/>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00" w:type="dxa"/>
            <w:vAlign w:val="bottom"/>
            <w:gridSpan w:val="4"/>
          </w:tcPr>
          <w:p>
            <w:pPr>
              <w:ind w:left="40"/>
              <w:spacing w:after="0"/>
              <w:rPr>
                <w:sz w:val="20"/>
                <w:szCs w:val="20"/>
                <w:color w:val="auto"/>
              </w:rPr>
            </w:pPr>
            <w:r>
              <w:rPr>
                <w:rFonts w:ascii="Arial" w:cs="Arial" w:eastAsia="Arial" w:hAnsi="Arial"/>
                <w:sz w:val="18"/>
                <w:szCs w:val="18"/>
                <w:color w:val="auto"/>
              </w:rPr>
              <w:t>GLG PARTNERS LP</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gridSpan w:val="4"/>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6540" w:type="dxa"/>
            <w:vAlign w:val="bottom"/>
            <w:shd w:val="clear" w:color="auto" w:fill="BFBFBF"/>
          </w:tcPr>
          <w:p>
            <w:pPr>
              <w:spacing w:after="0"/>
              <w:rPr>
                <w:sz w:val="20"/>
                <w:szCs w:val="20"/>
                <w:color w:val="auto"/>
              </w:rPr>
            </w:pPr>
          </w:p>
        </w:tc>
        <w:tc>
          <w:tcPr>
            <w:tcW w:w="2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6540" w:type="dxa"/>
            <w:vAlign w:val="bottom"/>
            <w:shd w:val="clear" w:color="auto" w:fill="BFBFBF"/>
          </w:tcPr>
          <w:p>
            <w:pPr>
              <w:spacing w:after="0"/>
              <w:rPr>
                <w:sz w:val="24"/>
                <w:szCs w:val="24"/>
                <w:color w:val="auto"/>
              </w:rPr>
            </w:pPr>
          </w:p>
        </w:tc>
        <w:tc>
          <w:tcPr>
            <w:tcW w:w="2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540" w:type="dxa"/>
            <w:vAlign w:val="bottom"/>
            <w:tcBorders>
              <w:bottom w:val="single" w:sz="8" w:color="auto"/>
            </w:tcBorders>
            <w:shd w:val="clear" w:color="auto" w:fill="BFBFBF"/>
          </w:tcPr>
          <w:p>
            <w:pPr>
              <w:spacing w:after="0"/>
              <w:rPr>
                <w:sz w:val="23"/>
                <w:szCs w:val="23"/>
                <w:color w:val="auto"/>
              </w:rPr>
            </w:pPr>
          </w:p>
        </w:tc>
        <w:tc>
          <w:tcPr>
            <w:tcW w:w="2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w w:val="99"/>
              </w:rPr>
              <w:t>United Kingdom</w:t>
            </w: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5</w:t>
            </w:r>
          </w:p>
        </w:tc>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0</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3,672,618</w:t>
            </w: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54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6540" w:type="dxa"/>
            <w:vAlign w:val="bottom"/>
            <w:vMerge w:val="continue"/>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6540" w:type="dxa"/>
            <w:vAlign w:val="bottom"/>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3,672,618</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3,672,618</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8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1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654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45" w:right="17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816212104</w:t>
            </w:r>
          </w:p>
        </w:tc>
        <w:tc>
          <w:tcPr>
            <w:tcW w:w="520" w:type="dxa"/>
            <w:vAlign w:val="bottom"/>
          </w:tcPr>
          <w:p>
            <w:pPr>
              <w:spacing w:after="0"/>
              <w:rPr>
                <w:sz w:val="20"/>
                <w:szCs w:val="20"/>
                <w:color w:val="auto"/>
              </w:rPr>
            </w:pPr>
          </w:p>
        </w:tc>
        <w:tc>
          <w:tcPr>
            <w:tcW w:w="6540" w:type="dxa"/>
            <w:vAlign w:val="bottom"/>
          </w:tcPr>
          <w:p>
            <w:pPr>
              <w:ind w:left="2380"/>
              <w:spacing w:after="0"/>
              <w:rPr>
                <w:sz w:val="20"/>
                <w:szCs w:val="20"/>
                <w:color w:val="auto"/>
              </w:rPr>
            </w:pPr>
            <w:r>
              <w:rPr>
                <w:rFonts w:ascii="Arial" w:cs="Arial" w:eastAsia="Arial" w:hAnsi="Arial"/>
                <w:sz w:val="18"/>
                <w:szCs w:val="18"/>
                <w:color w:val="auto"/>
              </w:rPr>
              <w:t>SCHEDULE 13G</w:t>
            </w:r>
          </w:p>
        </w:tc>
        <w:tc>
          <w:tcPr>
            <w:tcW w:w="2280" w:type="dxa"/>
            <w:vAlign w:val="bottom"/>
          </w:tcPr>
          <w:p>
            <w:pPr>
              <w:ind w:left="940"/>
              <w:spacing w:after="0"/>
              <w:rPr>
                <w:sz w:val="20"/>
                <w:szCs w:val="20"/>
                <w:color w:val="auto"/>
              </w:rPr>
            </w:pPr>
            <w:r>
              <w:rPr>
                <w:rFonts w:ascii="Arial" w:cs="Arial" w:eastAsia="Arial" w:hAnsi="Arial"/>
                <w:sz w:val="18"/>
                <w:szCs w:val="18"/>
                <w:color w:val="auto"/>
                <w:w w:val="84"/>
              </w:rPr>
              <w:t>Page 3 o 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900" w:type="dxa"/>
            <w:vAlign w:val="bottom"/>
            <w:tcBorders>
              <w:bottom w:val="single" w:sz="8" w:color="auto"/>
            </w:tcBorders>
            <w:gridSpan w:val="4"/>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00" w:type="dxa"/>
            <w:vAlign w:val="bottom"/>
            <w:gridSpan w:val="4"/>
          </w:tcPr>
          <w:p>
            <w:pPr>
              <w:ind w:left="40"/>
              <w:spacing w:after="0"/>
              <w:rPr>
                <w:sz w:val="20"/>
                <w:szCs w:val="20"/>
                <w:color w:val="auto"/>
              </w:rPr>
            </w:pPr>
            <w:r>
              <w:rPr>
                <w:rFonts w:ascii="Arial" w:cs="Arial" w:eastAsia="Arial" w:hAnsi="Arial"/>
                <w:sz w:val="18"/>
                <w:szCs w:val="18"/>
                <w:color w:val="auto"/>
              </w:rPr>
              <w:t>MAN GROUP PLC</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gridSpan w:val="4"/>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6540" w:type="dxa"/>
            <w:vAlign w:val="bottom"/>
            <w:shd w:val="clear" w:color="auto" w:fill="BFBFBF"/>
          </w:tcPr>
          <w:p>
            <w:pPr>
              <w:spacing w:after="0"/>
              <w:rPr>
                <w:sz w:val="20"/>
                <w:szCs w:val="20"/>
                <w:color w:val="auto"/>
              </w:rPr>
            </w:pPr>
          </w:p>
        </w:tc>
        <w:tc>
          <w:tcPr>
            <w:tcW w:w="2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6540" w:type="dxa"/>
            <w:vAlign w:val="bottom"/>
            <w:shd w:val="clear" w:color="auto" w:fill="BFBFBF"/>
          </w:tcPr>
          <w:p>
            <w:pPr>
              <w:spacing w:after="0"/>
              <w:rPr>
                <w:sz w:val="24"/>
                <w:szCs w:val="24"/>
                <w:color w:val="auto"/>
              </w:rPr>
            </w:pPr>
          </w:p>
        </w:tc>
        <w:tc>
          <w:tcPr>
            <w:tcW w:w="2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540" w:type="dxa"/>
            <w:vAlign w:val="bottom"/>
            <w:tcBorders>
              <w:bottom w:val="single" w:sz="8" w:color="auto"/>
            </w:tcBorders>
            <w:shd w:val="clear" w:color="auto" w:fill="BFBFBF"/>
          </w:tcPr>
          <w:p>
            <w:pPr>
              <w:spacing w:after="0"/>
              <w:rPr>
                <w:sz w:val="23"/>
                <w:szCs w:val="23"/>
                <w:color w:val="auto"/>
              </w:rPr>
            </w:pPr>
          </w:p>
        </w:tc>
        <w:tc>
          <w:tcPr>
            <w:tcW w:w="2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w w:val="99"/>
              </w:rPr>
              <w:t>United Kingdom</w:t>
            </w: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5</w:t>
            </w:r>
          </w:p>
        </w:tc>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0</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3,672,618</w:t>
            </w: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540" w:type="dxa"/>
            <w:vAlign w:val="bottom"/>
            <w:vMerge w:val="continue"/>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6540" w:type="dxa"/>
            <w:vAlign w:val="bottom"/>
            <w:vMerge w:val="continue"/>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6540" w:type="dxa"/>
            <w:vAlign w:val="bottom"/>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3,672,618</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3,672,618</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8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1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6540" w:type="dxa"/>
            <w:vAlign w:val="bottom"/>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654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9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OO, HC</w:t>
            </w:r>
          </w:p>
        </w:tc>
        <w:tc>
          <w:tcPr>
            <w:tcW w:w="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45" w:right="179" w:bottom="1440" w:gutter="0" w:footer="0" w:header="0"/>
        </w:sectPr>
      </w:pPr>
    </w:p>
    <w:bookmarkStart w:id="3" w:name="page4"/>
    <w:bookmarkEnd w:id="3"/>
    <w:p>
      <w:pPr>
        <w:jc w:val="right"/>
        <w:spacing w:after="0"/>
        <w:tabs>
          <w:tab w:leader="none" w:pos="1300" w:val="left"/>
        </w:tabs>
        <w:rPr>
          <w:sz w:val="20"/>
          <w:szCs w:val="20"/>
          <w:color w:val="auto"/>
        </w:rPr>
      </w:pP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 f 8 Pages</w:t>
      </w:r>
    </w:p>
    <w:p>
      <w:pPr>
        <w:spacing w:after="0" w:line="24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Selecta Biosciences, Inc. (the “Issuer”)</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480 Arsenal Way, Watertown, MA 024720</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52" w:lineRule="exact"/>
        <w:rPr>
          <w:sz w:val="20"/>
          <w:szCs w:val="20"/>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GLG Partners LP (the “Investment Manager”); and</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 Group plc (the “Parent Company”).</w:t>
      </w:r>
    </w:p>
    <w:p>
      <w:pPr>
        <w:spacing w:after="0" w:line="238" w:lineRule="exact"/>
        <w:rPr>
          <w:sz w:val="20"/>
          <w:szCs w:val="20"/>
          <w:color w:val="auto"/>
        </w:rPr>
      </w:pPr>
    </w:p>
    <w:p>
      <w:pPr>
        <w:ind w:right="160" w:firstLine="1296"/>
        <w:spacing w:after="0" w:line="342" w:lineRule="auto"/>
        <w:rPr>
          <w:sz w:val="20"/>
          <w:szCs w:val="20"/>
          <w:color w:val="auto"/>
        </w:rPr>
      </w:pPr>
      <w:r>
        <w:rPr>
          <w:rFonts w:ascii="Arial" w:cs="Arial" w:eastAsia="Arial" w:hAnsi="Arial"/>
          <w:sz w:val="16"/>
          <w:szCs w:val="16"/>
          <w:color w:val="auto"/>
        </w:rPr>
        <w:t>This Statement relates to Shares (as defined herein) held by certain funds and/or managed accounts to which the Investment Manager serves as investment manager (collectively, the “GLG Funds”). Parent Company indirectly, through various intermediate entities, controls the Investment Manager.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980" w:type="dxa"/>
            <w:vAlign w:val="bottom"/>
          </w:tcPr>
          <w:p>
            <w:pPr>
              <w:ind w:left="40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0" w:type="dxa"/>
            <w:vAlign w:val="bottom"/>
          </w:tcPr>
          <w:p>
            <w:pPr>
              <w:spacing w:after="0"/>
              <w:rPr>
                <w:sz w:val="1"/>
                <w:szCs w:val="1"/>
                <w:color w:val="auto"/>
              </w:rPr>
            </w:pPr>
          </w:p>
        </w:tc>
      </w:tr>
      <w:tr>
        <w:trPr>
          <w:trHeight w:val="459"/>
        </w:trPr>
        <w:tc>
          <w:tcPr>
            <w:tcW w:w="1040" w:type="dxa"/>
            <w:vAlign w:val="bottom"/>
            <w:vMerge w:val="restart"/>
          </w:tcPr>
          <w:p>
            <w:pPr>
              <w:spacing w:after="0"/>
              <w:rPr>
                <w:sz w:val="20"/>
                <w:szCs w:val="20"/>
                <w:color w:val="auto"/>
              </w:rPr>
            </w:pPr>
            <w:r>
              <w:rPr>
                <w:rFonts w:ascii="Arial" w:cs="Arial" w:eastAsia="Arial" w:hAnsi="Arial"/>
                <w:sz w:val="18"/>
                <w:szCs w:val="18"/>
                <w:color w:val="auto"/>
              </w:rPr>
              <w:t>Kingdom.</w:t>
            </w:r>
          </w:p>
        </w:tc>
        <w:tc>
          <w:tcPr>
            <w:tcW w:w="9980" w:type="dxa"/>
            <w:vAlign w:val="bottom"/>
          </w:tcPr>
          <w:p>
            <w:pPr>
              <w:ind w:left="260"/>
              <w:spacing w:after="0"/>
              <w:rPr>
                <w:sz w:val="20"/>
                <w:szCs w:val="20"/>
                <w:color w:val="auto"/>
              </w:rPr>
            </w:pPr>
            <w:r>
              <w:rPr>
                <w:rFonts w:ascii="Arial" w:cs="Arial" w:eastAsia="Arial" w:hAnsi="Arial"/>
                <w:sz w:val="18"/>
                <w:szCs w:val="18"/>
                <w:color w:val="auto"/>
                <w:w w:val="91"/>
              </w:rPr>
              <w:t>The address of the principal business office of each Reporting Person is Riverbank House, 2 Swan Lane, London EC4R 3AD, United</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980" w:type="dxa"/>
            <w:vAlign w:val="bottom"/>
          </w:tcPr>
          <w:p>
            <w:pPr>
              <w:ind w:left="380"/>
              <w:spacing w:after="0"/>
              <w:rPr>
                <w:sz w:val="20"/>
                <w:szCs w:val="20"/>
                <w:color w:val="auto"/>
              </w:rPr>
            </w:pPr>
            <w:r>
              <w:rPr>
                <w:rFonts w:ascii="Arial" w:cs="Arial" w:eastAsia="Arial" w:hAnsi="Arial"/>
                <w:sz w:val="18"/>
                <w:szCs w:val="18"/>
                <w:b w:val="1"/>
                <w:bCs w:val="1"/>
                <w:color w:val="auto"/>
              </w:rPr>
              <w:t>Citizenship:</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1"/>
              </w:rPr>
              <w:t>The Investment Manager is a United Kingdom limited partnership. The Parent Company is a United Kingdom public limited company.</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980" w:type="dxa"/>
            <w:vAlign w:val="bottom"/>
          </w:tcPr>
          <w:p>
            <w:pPr>
              <w:ind w:left="400"/>
              <w:spacing w:after="0"/>
              <w:rPr>
                <w:sz w:val="20"/>
                <w:szCs w:val="20"/>
                <w:color w:val="auto"/>
              </w:rPr>
            </w:pPr>
            <w:r>
              <w:rPr>
                <w:rFonts w:ascii="Arial" w:cs="Arial" w:eastAsia="Arial" w:hAnsi="Arial"/>
                <w:sz w:val="18"/>
                <w:szCs w:val="18"/>
                <w:b w:val="1"/>
                <w:bCs w:val="1"/>
                <w:color w:val="auto"/>
              </w:rPr>
              <w:t>Title of Class of Securities:</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Common stock, par value $0.0001 per share (the “Shares”)</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980" w:type="dxa"/>
            <w:vAlign w:val="bottom"/>
          </w:tcPr>
          <w:p>
            <w:pPr>
              <w:ind w:left="380"/>
              <w:spacing w:after="0"/>
              <w:rPr>
                <w:sz w:val="20"/>
                <w:szCs w:val="20"/>
                <w:color w:val="auto"/>
              </w:rPr>
            </w:pPr>
            <w:r>
              <w:rPr>
                <w:rFonts w:ascii="Arial" w:cs="Arial" w:eastAsia="Arial" w:hAnsi="Arial"/>
                <w:sz w:val="18"/>
                <w:szCs w:val="18"/>
                <w:b w:val="1"/>
                <w:bCs w:val="1"/>
                <w:color w:val="auto"/>
              </w:rPr>
              <w:t>CUSIP Number:</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816212104</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80" w:type="dxa"/>
            <w:vAlign w:val="bottom"/>
          </w:tcPr>
          <w:p>
            <w:pPr>
              <w:ind w:left="400"/>
              <w:spacing w:after="0"/>
              <w:rPr>
                <w:sz w:val="20"/>
                <w:szCs w:val="20"/>
                <w:color w:val="auto"/>
              </w:rPr>
            </w:pPr>
            <w:r>
              <w:rPr>
                <w:rFonts w:ascii="Arial" w:cs="Arial" w:eastAsia="Arial" w:hAnsi="Arial"/>
                <w:sz w:val="18"/>
                <w:szCs w:val="18"/>
                <w:b w:val="1"/>
                <w:bCs w:val="1"/>
                <w:color w:val="auto"/>
              </w:rPr>
              <w:t>If This Statement is Filed Pursuant to §§240.13d-1(b) or 240.13d-2(b) or (c),</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b w:val="1"/>
                <w:bCs w:val="1"/>
                <w:color w:val="auto"/>
              </w:rPr>
              <w:t>Check Whether the Person Filing is a:</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This Item 3 is not applicable.</w:t>
            </w:r>
          </w:p>
        </w:tc>
        <w:tc>
          <w:tcPr>
            <w:tcW w:w="0" w:type="dxa"/>
            <w:vAlign w:val="bottom"/>
          </w:tcPr>
          <w:p>
            <w:pPr>
              <w:spacing w:after="0"/>
              <w:rPr>
                <w:sz w:val="1"/>
                <w:szCs w:val="1"/>
                <w:color w:val="auto"/>
              </w:rPr>
            </w:pPr>
          </w:p>
        </w:tc>
      </w:tr>
      <w:tr>
        <w:trPr>
          <w:trHeight w:val="44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980" w:type="dxa"/>
            <w:vAlign w:val="bottom"/>
          </w:tcPr>
          <w:p>
            <w:pPr>
              <w:ind w:left="40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980" w:type="dxa"/>
            <w:vAlign w:val="bottom"/>
          </w:tcPr>
          <w:p>
            <w:pPr>
              <w:ind w:left="400"/>
              <w:spacing w:after="0"/>
              <w:rPr>
                <w:sz w:val="20"/>
                <w:szCs w:val="20"/>
                <w:color w:val="auto"/>
              </w:rPr>
            </w:pPr>
            <w:r>
              <w:rPr>
                <w:rFonts w:ascii="Arial" w:cs="Arial" w:eastAsia="Arial" w:hAnsi="Arial"/>
                <w:sz w:val="18"/>
                <w:szCs w:val="18"/>
                <w:b w:val="1"/>
                <w:bCs w:val="1"/>
                <w:color w:val="auto"/>
              </w:rPr>
              <w:t>Amount Beneficially Owned:</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00" w:firstLine="1296"/>
        <w:spacing w:after="0" w:line="277" w:lineRule="auto"/>
        <w:rPr>
          <w:sz w:val="20"/>
          <w:szCs w:val="20"/>
          <w:color w:val="auto"/>
        </w:rPr>
      </w:pPr>
      <w:r>
        <w:rPr>
          <w:rFonts w:ascii="Arial" w:cs="Arial" w:eastAsia="Arial" w:hAnsi="Arial"/>
          <w:sz w:val="18"/>
          <w:szCs w:val="18"/>
          <w:color w:val="auto"/>
        </w:rPr>
        <w:t>As of January 31, 2019, each of the Reporting Persons may be deemed to be the beneficial owner of 3,672,618 Shares held by the GLG Funds. The Parent Company hereby disclaims any beneficial ownership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3380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4" w:name="page5"/>
    <w:bookmarkEnd w:id="4"/>
    <w:p>
      <w:pPr>
        <w:jc w:val="right"/>
        <w:spacing w:after="0"/>
        <w:tabs>
          <w:tab w:leader="none" w:pos="1300" w:val="left"/>
        </w:tabs>
        <w:rPr>
          <w:sz w:val="20"/>
          <w:szCs w:val="20"/>
          <w:color w:val="auto"/>
        </w:rPr>
      </w:pP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 f 8 Pages</w:t>
      </w:r>
    </w:p>
    <w:p>
      <w:pPr>
        <w:spacing w:after="0" w:line="24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56"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As of January 31, 2019, each of the Reporting Persons may be deemed the beneficial owner of approximately 8.65% of Shares outstanding. (This percentage is based on the sum of (i) 22,471,776 Shares outstanding as of December 31, 2018, and (ii) 20,000,000 Shares offered by the Issuer in a follow-on offering on January 23, 2019, which was expected to close on or about January 25, 2019, each as reported in the Issuer’s prospectus on Form 424B5 dated January 23,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6860" w:type="dxa"/>
            <w:vAlign w:val="bottom"/>
          </w:tcPr>
          <w:p>
            <w:pPr>
              <w:ind w:left="360"/>
              <w:spacing w:after="0"/>
              <w:rPr>
                <w:sz w:val="20"/>
                <w:szCs w:val="20"/>
                <w:color w:val="auto"/>
              </w:rPr>
            </w:pPr>
            <w:r>
              <w:rPr>
                <w:rFonts w:ascii="Arial" w:cs="Arial" w:eastAsia="Arial" w:hAnsi="Arial"/>
                <w:sz w:val="18"/>
                <w:szCs w:val="18"/>
                <w:b w:val="1"/>
                <w:bCs w:val="1"/>
                <w:color w:val="auto"/>
              </w:rPr>
              <w:t>Number of Shares as to which such person has:</w:t>
            </w:r>
          </w:p>
        </w:tc>
        <w:tc>
          <w:tcPr>
            <w:tcW w:w="3600" w:type="dxa"/>
            <w:vAlign w:val="bottom"/>
          </w:tcPr>
          <w:p>
            <w:pPr>
              <w:spacing w:after="0"/>
              <w:rPr>
                <w:sz w:val="20"/>
                <w:szCs w:val="20"/>
                <w:color w:val="auto"/>
              </w:rPr>
            </w:pPr>
          </w:p>
        </w:tc>
      </w:tr>
      <w:tr>
        <w:trPr>
          <w:trHeight w:val="378"/>
        </w:trPr>
        <w:tc>
          <w:tcPr>
            <w:tcW w:w="7920" w:type="dxa"/>
            <w:vAlign w:val="bottom"/>
            <w:gridSpan w:val="2"/>
          </w:tcPr>
          <w:p>
            <w:pPr>
              <w:ind w:left="60"/>
              <w:spacing w:after="0"/>
              <w:rPr>
                <w:sz w:val="20"/>
                <w:szCs w:val="20"/>
                <w:color w:val="auto"/>
              </w:rPr>
            </w:pPr>
            <w:r>
              <w:rPr>
                <w:rFonts w:ascii="Arial" w:cs="Arial" w:eastAsia="Arial" w:hAnsi="Arial"/>
                <w:sz w:val="18"/>
                <w:szCs w:val="18"/>
                <w:color w:val="auto"/>
              </w:rPr>
              <w:t>(i) Sole power to vote or direct the vote:</w:t>
            </w:r>
          </w:p>
        </w:tc>
        <w:tc>
          <w:tcPr>
            <w:tcW w:w="36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7920" w:type="dxa"/>
            <w:vAlign w:val="bottom"/>
            <w:gridSpan w:val="2"/>
          </w:tcPr>
          <w:p>
            <w:pPr>
              <w:ind w:left="60"/>
              <w:spacing w:after="0"/>
              <w:rPr>
                <w:sz w:val="20"/>
                <w:szCs w:val="20"/>
                <w:color w:val="auto"/>
              </w:rPr>
            </w:pPr>
            <w:r>
              <w:rPr>
                <w:rFonts w:ascii="Arial" w:cs="Arial" w:eastAsia="Arial" w:hAnsi="Arial"/>
                <w:sz w:val="18"/>
                <w:szCs w:val="18"/>
                <w:color w:val="auto"/>
              </w:rPr>
              <w:t>(ii) Shared power to vote or direct the vote:</w:t>
            </w:r>
          </w:p>
        </w:tc>
        <w:tc>
          <w:tcPr>
            <w:tcW w:w="3600" w:type="dxa"/>
            <w:vAlign w:val="bottom"/>
          </w:tcPr>
          <w:p>
            <w:pPr>
              <w:jc w:val="right"/>
              <w:spacing w:after="0"/>
              <w:rPr>
                <w:sz w:val="20"/>
                <w:szCs w:val="20"/>
                <w:color w:val="auto"/>
              </w:rPr>
            </w:pPr>
            <w:r>
              <w:rPr>
                <w:rFonts w:ascii="Arial" w:cs="Arial" w:eastAsia="Arial" w:hAnsi="Arial"/>
                <w:sz w:val="18"/>
                <w:szCs w:val="18"/>
                <w:color w:val="auto"/>
              </w:rPr>
              <w:t>3,672,618</w:t>
            </w:r>
          </w:p>
        </w:tc>
      </w:tr>
      <w:tr>
        <w:trPr>
          <w:trHeight w:val="324"/>
        </w:trPr>
        <w:tc>
          <w:tcPr>
            <w:tcW w:w="7920" w:type="dxa"/>
            <w:vAlign w:val="bottom"/>
            <w:gridSpan w:val="2"/>
          </w:tcPr>
          <w:p>
            <w:pPr>
              <w:ind w:left="60"/>
              <w:spacing w:after="0"/>
              <w:rPr>
                <w:sz w:val="20"/>
                <w:szCs w:val="20"/>
                <w:color w:val="auto"/>
              </w:rPr>
            </w:pPr>
            <w:r>
              <w:rPr>
                <w:rFonts w:ascii="Arial" w:cs="Arial" w:eastAsia="Arial" w:hAnsi="Arial"/>
                <w:sz w:val="18"/>
                <w:szCs w:val="18"/>
                <w:color w:val="auto"/>
              </w:rPr>
              <w:t>(iii) Sole power to dispose or direct the disposition of:</w:t>
            </w:r>
          </w:p>
        </w:tc>
        <w:tc>
          <w:tcPr>
            <w:tcW w:w="36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24"/>
        </w:trPr>
        <w:tc>
          <w:tcPr>
            <w:tcW w:w="7920" w:type="dxa"/>
            <w:vAlign w:val="bottom"/>
            <w:gridSpan w:val="2"/>
          </w:tcPr>
          <w:p>
            <w:pPr>
              <w:ind w:left="60"/>
              <w:spacing w:after="0"/>
              <w:rPr>
                <w:sz w:val="20"/>
                <w:szCs w:val="20"/>
                <w:color w:val="auto"/>
              </w:rPr>
            </w:pPr>
            <w:r>
              <w:rPr>
                <w:rFonts w:ascii="Arial" w:cs="Arial" w:eastAsia="Arial" w:hAnsi="Arial"/>
                <w:sz w:val="18"/>
                <w:szCs w:val="18"/>
                <w:color w:val="auto"/>
              </w:rPr>
              <w:t>(iv) Shared power to dispose or direct the disposition of:</w:t>
            </w:r>
          </w:p>
        </w:tc>
        <w:tc>
          <w:tcPr>
            <w:tcW w:w="3600" w:type="dxa"/>
            <w:vAlign w:val="bottom"/>
          </w:tcPr>
          <w:p>
            <w:pPr>
              <w:jc w:val="right"/>
              <w:spacing w:after="0"/>
              <w:rPr>
                <w:sz w:val="20"/>
                <w:szCs w:val="20"/>
                <w:color w:val="auto"/>
              </w:rPr>
            </w:pPr>
            <w:r>
              <w:rPr>
                <w:rFonts w:ascii="Arial" w:cs="Arial" w:eastAsia="Arial" w:hAnsi="Arial"/>
                <w:sz w:val="18"/>
                <w:szCs w:val="18"/>
                <w:color w:val="auto"/>
              </w:rPr>
              <w:t>3,672,618</w:t>
            </w:r>
          </w:p>
        </w:tc>
      </w:tr>
    </w:tbl>
    <w:p>
      <w:pPr>
        <w:spacing w:after="0" w:line="25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Item 5 is not applicable.</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See disclosure in Items 2 and 4 hereof. The GLG Funds have the right to receive or the power to direct the receipt of dividends from, or the proceeds from the sale of, the Shares covered by this Statement.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Being Reported on By the Parent Holding Company or Control Person:</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disclosure in Item 2 hereof.</w:t>
      </w:r>
    </w:p>
    <w:p>
      <w:pPr>
        <w:spacing w:after="0" w:line="24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Item 8 is not applicable.</w:t>
      </w:r>
    </w:p>
    <w:p>
      <w:pPr>
        <w:spacing w:after="0" w:line="24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Item 9 is not applicable.</w:t>
      </w:r>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3380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 f 8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9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GLG PARTNERS LP</w:t>
      </w:r>
    </w:p>
    <w:p>
      <w:pPr>
        <w:spacing w:after="0" w:line="22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Katherine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562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Katherine Squire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MAN GROUP PLC</w:t>
      </w:r>
    </w:p>
    <w:p>
      <w:pPr>
        <w:spacing w:after="0" w:line="22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Michelle Robyn Grew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Michelle Robyn Grew</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Administrative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3380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880" w:type="dxa"/>
            <w:vAlign w:val="bottom"/>
            <w:gridSpan w:val="2"/>
          </w:tcPr>
          <w:p>
            <w:pPr>
              <w:jc w:val="right"/>
              <w:spacing w:after="0"/>
              <w:rPr>
                <w:sz w:val="20"/>
                <w:szCs w:val="20"/>
                <w:color w:val="auto"/>
              </w:rPr>
            </w:pPr>
            <w:r>
              <w:rPr>
                <w:rFonts w:ascii="Arial" w:cs="Arial" w:eastAsia="Arial" w:hAnsi="Arial"/>
                <w:sz w:val="18"/>
                <w:szCs w:val="18"/>
                <w:color w:val="auto"/>
              </w:rPr>
              <w:t>Page 7 o f 8 Pages</w:t>
            </w:r>
          </w:p>
        </w:tc>
      </w:tr>
      <w:tr>
        <w:trPr>
          <w:trHeight w:val="496"/>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880" w:type="dxa"/>
            <w:vAlign w:val="bottom"/>
            <w:gridSpan w:val="2"/>
          </w:tcPr>
          <w:p>
            <w:pPr>
              <w:jc w:val="right"/>
              <w:ind w:right="4850"/>
              <w:spacing w:after="0"/>
              <w:rPr>
                <w:sz w:val="20"/>
                <w:szCs w:val="20"/>
                <w:color w:val="auto"/>
              </w:rPr>
            </w:pPr>
            <w:r>
              <w:rPr>
                <w:rFonts w:ascii="Arial" w:cs="Arial" w:eastAsia="Arial" w:hAnsi="Arial"/>
                <w:sz w:val="22"/>
                <w:szCs w:val="22"/>
                <w:b w:val="1"/>
                <w:bCs w:val="1"/>
                <w:color w:val="auto"/>
              </w:rPr>
              <w:t>EXHIBIT INDEX</w:t>
            </w:r>
          </w:p>
        </w:tc>
      </w:tr>
      <w:tr>
        <w:trPr>
          <w:trHeight w:val="89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453"/>
        </w:trPr>
        <w:tc>
          <w:tcPr>
            <w:tcW w:w="480" w:type="dxa"/>
            <w:vAlign w:val="bottom"/>
            <w:gridSpan w:val="2"/>
          </w:tcPr>
          <w:p>
            <w:pPr>
              <w:spacing w:after="0"/>
              <w:rPr>
                <w:sz w:val="20"/>
                <w:szCs w:val="20"/>
                <w:color w:val="auto"/>
              </w:rPr>
            </w:pPr>
            <w:r>
              <w:rPr>
                <w:rFonts w:ascii="Arial" w:cs="Arial" w:eastAsia="Arial" w:hAnsi="Arial"/>
                <w:sz w:val="18"/>
                <w:szCs w:val="18"/>
                <w:color w:val="auto"/>
              </w:rPr>
              <w:t>A</w:t>
            </w:r>
          </w:p>
        </w:tc>
        <w:tc>
          <w:tcPr>
            <w:tcW w:w="3200" w:type="dxa"/>
            <w:vAlign w:val="bottom"/>
          </w:tcPr>
          <w:p>
            <w:pPr>
              <w:ind w:left="240"/>
              <w:spacing w:after="0"/>
              <w:rPr>
                <w:sz w:val="20"/>
                <w:szCs w:val="20"/>
                <w:color w:val="auto"/>
              </w:rPr>
            </w:pPr>
            <w:r>
              <w:rPr>
                <w:rFonts w:ascii="Arial" w:cs="Arial" w:eastAsia="Arial" w:hAnsi="Arial"/>
                <w:sz w:val="18"/>
                <w:szCs w:val="18"/>
                <w:color w:val="auto"/>
              </w:rPr>
              <w:t>Joint Filing Agreement</w:t>
            </w:r>
          </w:p>
        </w:tc>
        <w:tc>
          <w:tcPr>
            <w:tcW w:w="78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1154"/>
        </w:trPr>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45" w:right="1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Page 8 o f 8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as of January 31,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GLG PARTNERS LP</w:t>
      </w:r>
    </w:p>
    <w:p>
      <w:pPr>
        <w:spacing w:after="0" w:line="22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Katherine Squire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Katherine Squire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MAN GROUP PLC</w:t>
      </w:r>
    </w:p>
    <w:p>
      <w:pPr>
        <w:spacing w:after="0" w:line="22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Michelle Robyn Grew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Michelle Robyn Grew</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3380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sectPr>
      <w:pgSz w:w="11900" w:h="16838" w:orient="portrait"/>
      <w:cols w:equalWidth="0" w:num="1">
        <w:col w:w="11560"/>
      </w:cols>
      <w:pgMar w:left="160" w:top="45"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2019-11-24T19:18:19Z</dcterms:created>
  <dcterms:modified xsi:type="dcterms:W3CDTF">2019-11-24T19:18:19Z</dcterms:modified>
</cp:coreProperties>
</file>