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16, 2023</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SELECTA BIOSCIENCES,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244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Delaware</w:t>
            </w:r>
          </w:p>
        </w:tc>
        <w:tc>
          <w:tcPr>
            <w:tcW w:w="4980" w:type="dxa"/>
            <w:vAlign w:val="bottom"/>
          </w:tcPr>
          <w:p>
            <w:pPr>
              <w:jc w:val="right"/>
              <w:ind w:right="2110"/>
              <w:spacing w:after="0"/>
              <w:rPr>
                <w:sz w:val="20"/>
                <w:szCs w:val="20"/>
                <w:color w:val="auto"/>
              </w:rPr>
            </w:pPr>
            <w:r>
              <w:rPr>
                <w:rFonts w:ascii="Arial" w:cs="Arial" w:eastAsia="Arial" w:hAnsi="Arial"/>
                <w:sz w:val="18"/>
                <w:szCs w:val="18"/>
                <w:b w:val="1"/>
                <w:bCs w:val="1"/>
                <w:color w:val="auto"/>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40" w:type="dxa"/>
            <w:vAlign w:val="bottom"/>
          </w:tcPr>
          <w:p>
            <w:pPr>
              <w:jc w:val="center"/>
              <w:ind w:right="450"/>
              <w:spacing w:after="0" w:line="176" w:lineRule="exact"/>
              <w:rPr>
                <w:sz w:val="20"/>
                <w:szCs w:val="20"/>
                <w:color w:val="auto"/>
              </w:rPr>
            </w:pPr>
            <w:r>
              <w:rPr>
                <w:rFonts w:ascii="Arial" w:cs="Arial" w:eastAsia="Arial" w:hAnsi="Arial"/>
                <w:sz w:val="18"/>
                <w:szCs w:val="18"/>
                <w:color w:val="auto"/>
                <w:w w:val="92"/>
              </w:rPr>
              <w:t>(State or other jurisdiction</w:t>
            </w:r>
          </w:p>
        </w:tc>
        <w:tc>
          <w:tcPr>
            <w:tcW w:w="49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1"/>
              </w:rPr>
              <w:t>(Commission</w:t>
            </w:r>
          </w:p>
        </w:tc>
        <w:tc>
          <w:tcPr>
            <w:tcW w:w="1960" w:type="dxa"/>
            <w:vAlign w:val="bottom"/>
          </w:tcPr>
          <w:p>
            <w:pPr>
              <w:jc w:val="center"/>
              <w:ind w:left="5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2440" w:type="dxa"/>
            <w:vAlign w:val="bottom"/>
          </w:tcPr>
          <w:p>
            <w:pPr>
              <w:jc w:val="center"/>
              <w:ind w:right="450"/>
              <w:spacing w:after="0"/>
              <w:rPr>
                <w:sz w:val="20"/>
                <w:szCs w:val="20"/>
                <w:color w:val="auto"/>
              </w:rPr>
            </w:pPr>
            <w:r>
              <w:rPr>
                <w:rFonts w:ascii="Arial" w:cs="Arial" w:eastAsia="Arial" w:hAnsi="Arial"/>
                <w:sz w:val="18"/>
                <w:szCs w:val="18"/>
                <w:color w:val="auto"/>
                <w:w w:val="93"/>
              </w:rPr>
              <w:t>of incorporation)</w:t>
            </w:r>
          </w:p>
        </w:tc>
        <w:tc>
          <w:tcPr>
            <w:tcW w:w="498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30"/>
        </w:trPr>
        <w:tc>
          <w:tcPr>
            <w:tcW w:w="2440" w:type="dxa"/>
            <w:vAlign w:val="bottom"/>
          </w:tcPr>
          <w:p>
            <w:pPr>
              <w:spacing w:after="0"/>
              <w:rPr>
                <w:sz w:val="24"/>
                <w:szCs w:val="24"/>
                <w:color w:val="auto"/>
              </w:rPr>
            </w:pPr>
          </w:p>
        </w:tc>
        <w:tc>
          <w:tcPr>
            <w:tcW w:w="4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498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40" w:type="dxa"/>
            <w:vAlign w:val="bottom"/>
          </w:tcPr>
          <w:p>
            <w:pPr>
              <w:spacing w:after="0"/>
              <w:rPr>
                <w:sz w:val="24"/>
                <w:szCs w:val="24"/>
                <w:color w:val="auto"/>
              </w:rPr>
            </w:pPr>
          </w:p>
        </w:tc>
        <w:tc>
          <w:tcPr>
            <w:tcW w:w="4980" w:type="dxa"/>
            <w:vAlign w:val="bottom"/>
          </w:tcPr>
          <w:p>
            <w:pPr>
              <w:jc w:val="right"/>
              <w:ind w:right="1950"/>
              <w:spacing w:after="0"/>
              <w:rPr>
                <w:sz w:val="20"/>
                <w:szCs w:val="20"/>
                <w:color w:val="auto"/>
              </w:rPr>
            </w:pPr>
            <w:r>
              <w:rPr>
                <w:rFonts w:ascii="Arial" w:cs="Arial" w:eastAsia="Arial" w:hAnsi="Arial"/>
                <w:sz w:val="18"/>
                <w:szCs w:val="18"/>
                <w:b w:val="1"/>
                <w:bCs w:val="1"/>
                <w:color w:val="auto"/>
              </w:rPr>
              <w:t>(617) 923-1400</w:t>
            </w:r>
          </w:p>
        </w:tc>
        <w:tc>
          <w:tcPr>
            <w:tcW w:w="196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4980" w:type="dxa"/>
            <w:vAlign w:val="bottom"/>
          </w:tcPr>
          <w:p>
            <w:pPr>
              <w:jc w:val="center"/>
              <w:ind w:right="90"/>
              <w:spacing w:after="0"/>
              <w:rPr>
                <w:sz w:val="20"/>
                <w:szCs w:val="20"/>
                <w:color w:val="auto"/>
              </w:rPr>
            </w:pPr>
            <w:r>
              <w:rPr>
                <w:rFonts w:ascii="Arial" w:cs="Arial" w:eastAsia="Arial" w:hAnsi="Arial"/>
                <w:sz w:val="18"/>
                <w:szCs w:val="18"/>
                <w:color w:val="auto"/>
                <w:w w:val="89"/>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40" w:hanging="751"/>
        <w:spacing w:after="0"/>
        <w:tabs>
          <w:tab w:leader="none" w:pos="1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40" w:hanging="751"/>
        <w:spacing w:after="0"/>
        <w:tabs>
          <w:tab w:leader="none" w:pos="1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40" w:hanging="751"/>
        <w:spacing w:after="0"/>
        <w:tabs>
          <w:tab w:leader="none" w:pos="1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40" w:hanging="751"/>
        <w:spacing w:after="0"/>
        <w:tabs>
          <w:tab w:leader="none" w:pos="1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50"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5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On June 16, 2023, Selecta Biosciences, Inc. (the “Company”) held its 2023 Annual Meeting of Stockholders. A total of 102,390,960 shares of the Company’s common stock, par value $0.0001 per share (the “common stock”), were present electronically or represented by proxy at the meeting, representing approximately 66.74% of the Company’s outstanding common stock as of the April 17, 2023 record date. The following are the voting results for the proposals considered and voted upon at the meeting, all of which were described in the Company’s definitive proxy statement filed with the Securities and Exchange Commission on April 28, 2023, as supplemented on June 13, 2023.</w:t>
      </w:r>
    </w:p>
    <w:p>
      <w:pPr>
        <w:spacing w:after="0" w:line="311" w:lineRule="exact"/>
        <w:rPr>
          <w:sz w:val="20"/>
          <w:szCs w:val="20"/>
          <w:color w:val="auto"/>
        </w:rPr>
      </w:pPr>
    </w:p>
    <w:p>
      <w:pPr>
        <w:ind w:right="40" w:firstLine="324"/>
        <w:spacing w:after="0" w:line="273" w:lineRule="auto"/>
        <w:rPr>
          <w:sz w:val="20"/>
          <w:szCs w:val="20"/>
          <w:color w:val="auto"/>
        </w:rPr>
      </w:pPr>
      <w:r>
        <w:rPr>
          <w:rFonts w:ascii="Arial" w:cs="Arial" w:eastAsia="Arial" w:hAnsi="Arial"/>
          <w:sz w:val="18"/>
          <w:szCs w:val="18"/>
          <w:color w:val="auto"/>
        </w:rPr>
        <w:t>Proposal 1 - Election of three Class I Directors to serve until the 2026 Annual Meeting of Stockholders, and until their respective successors have been duly elected and qualified.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NOMINEE</w:t>
            </w:r>
          </w:p>
        </w:tc>
        <w:tc>
          <w:tcPr>
            <w:tcW w:w="2560" w:type="dxa"/>
            <w:vAlign w:val="bottom"/>
          </w:tcPr>
          <w:p>
            <w:pPr>
              <w:ind w:left="900"/>
              <w:spacing w:after="0"/>
              <w:rPr>
                <w:sz w:val="20"/>
                <w:szCs w:val="20"/>
                <w:color w:val="auto"/>
              </w:rPr>
            </w:pPr>
            <w:r>
              <w:rPr>
                <w:rFonts w:ascii="Arial" w:cs="Arial" w:eastAsia="Arial" w:hAnsi="Arial"/>
                <w:sz w:val="18"/>
                <w:szCs w:val="18"/>
                <w:color w:val="auto"/>
              </w:rPr>
              <w:t>Votes FOR</w:t>
            </w:r>
          </w:p>
        </w:tc>
        <w:tc>
          <w:tcPr>
            <w:tcW w:w="2980" w:type="dxa"/>
            <w:vAlign w:val="bottom"/>
          </w:tcPr>
          <w:p>
            <w:pPr>
              <w:ind w:left="860"/>
              <w:spacing w:after="0"/>
              <w:rPr>
                <w:sz w:val="20"/>
                <w:szCs w:val="20"/>
                <w:color w:val="auto"/>
              </w:rPr>
            </w:pPr>
            <w:r>
              <w:rPr>
                <w:rFonts w:ascii="Arial" w:cs="Arial" w:eastAsia="Arial" w:hAnsi="Arial"/>
                <w:sz w:val="18"/>
                <w:szCs w:val="18"/>
                <w:color w:val="auto"/>
              </w:rPr>
              <w:t>Votes WITHHELD</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92"/>
              </w:rPr>
              <w:t>Broker Non-Votes</w:t>
            </w:r>
          </w:p>
        </w:tc>
      </w:tr>
      <w:tr>
        <w:trPr>
          <w:trHeight w:val="256"/>
        </w:trPr>
        <w:tc>
          <w:tcPr>
            <w:tcW w:w="2900" w:type="dxa"/>
            <w:vAlign w:val="bottom"/>
          </w:tcPr>
          <w:p>
            <w:pPr>
              <w:spacing w:after="0"/>
              <w:rPr>
                <w:sz w:val="20"/>
                <w:szCs w:val="20"/>
                <w:color w:val="auto"/>
              </w:rPr>
            </w:pPr>
            <w:r>
              <w:rPr>
                <w:rFonts w:ascii="Arial" w:cs="Arial" w:eastAsia="Arial" w:hAnsi="Arial"/>
                <w:sz w:val="18"/>
                <w:szCs w:val="18"/>
                <w:color w:val="auto"/>
              </w:rPr>
              <w:t>Scott D. Myers</w:t>
            </w:r>
          </w:p>
        </w:tc>
        <w:tc>
          <w:tcPr>
            <w:tcW w:w="2560" w:type="dxa"/>
            <w:vAlign w:val="bottom"/>
          </w:tcPr>
          <w:p>
            <w:pPr>
              <w:ind w:left="900"/>
              <w:spacing w:after="0"/>
              <w:rPr>
                <w:sz w:val="20"/>
                <w:szCs w:val="20"/>
                <w:color w:val="auto"/>
              </w:rPr>
            </w:pPr>
            <w:r>
              <w:rPr>
                <w:rFonts w:ascii="Arial" w:cs="Arial" w:eastAsia="Arial" w:hAnsi="Arial"/>
                <w:sz w:val="18"/>
                <w:szCs w:val="18"/>
                <w:color w:val="auto"/>
              </w:rPr>
              <w:t>57,117,703</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0"/>
              </w:rPr>
              <w:t>12,779,024</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32,494,233</w:t>
            </w:r>
          </w:p>
        </w:tc>
      </w:tr>
      <w:tr>
        <w:trPr>
          <w:trHeight w:val="257"/>
        </w:trPr>
        <w:tc>
          <w:tcPr>
            <w:tcW w:w="2900" w:type="dxa"/>
            <w:vAlign w:val="bottom"/>
          </w:tcPr>
          <w:p>
            <w:pPr>
              <w:spacing w:after="0"/>
              <w:rPr>
                <w:sz w:val="20"/>
                <w:szCs w:val="20"/>
                <w:color w:val="auto"/>
              </w:rPr>
            </w:pPr>
            <w:r>
              <w:rPr>
                <w:rFonts w:ascii="Arial" w:cs="Arial" w:eastAsia="Arial" w:hAnsi="Arial"/>
                <w:sz w:val="18"/>
                <w:szCs w:val="18"/>
                <w:color w:val="auto"/>
              </w:rPr>
              <w:t>Timothy A. Springer, Ph.D.</w:t>
            </w:r>
          </w:p>
        </w:tc>
        <w:tc>
          <w:tcPr>
            <w:tcW w:w="2560" w:type="dxa"/>
            <w:vAlign w:val="bottom"/>
          </w:tcPr>
          <w:p>
            <w:pPr>
              <w:ind w:left="900"/>
              <w:spacing w:after="0"/>
              <w:rPr>
                <w:sz w:val="20"/>
                <w:szCs w:val="20"/>
                <w:color w:val="auto"/>
              </w:rPr>
            </w:pPr>
            <w:r>
              <w:rPr>
                <w:rFonts w:ascii="Arial" w:cs="Arial" w:eastAsia="Arial" w:hAnsi="Arial"/>
                <w:sz w:val="18"/>
                <w:szCs w:val="18"/>
                <w:color w:val="auto"/>
              </w:rPr>
              <w:t>60,365,992</w:t>
            </w:r>
          </w:p>
        </w:tc>
        <w:tc>
          <w:tcPr>
            <w:tcW w:w="2980" w:type="dxa"/>
            <w:vAlign w:val="bottom"/>
          </w:tcPr>
          <w:p>
            <w:pPr>
              <w:jc w:val="center"/>
              <w:ind w:left="10"/>
              <w:spacing w:after="0"/>
              <w:rPr>
                <w:sz w:val="20"/>
                <w:szCs w:val="20"/>
                <w:color w:val="auto"/>
              </w:rPr>
            </w:pPr>
            <w:r>
              <w:rPr>
                <w:rFonts w:ascii="Arial" w:cs="Arial" w:eastAsia="Arial" w:hAnsi="Arial"/>
                <w:sz w:val="18"/>
                <w:szCs w:val="18"/>
                <w:color w:val="auto"/>
                <w:w w:val="89"/>
              </w:rPr>
              <w:t>9,530,735</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32,494,233</w:t>
            </w:r>
          </w:p>
        </w:tc>
      </w:tr>
      <w:tr>
        <w:trPr>
          <w:trHeight w:val="257"/>
        </w:trPr>
        <w:tc>
          <w:tcPr>
            <w:tcW w:w="2900" w:type="dxa"/>
            <w:vAlign w:val="bottom"/>
          </w:tcPr>
          <w:p>
            <w:pPr>
              <w:spacing w:after="0"/>
              <w:rPr>
                <w:sz w:val="20"/>
                <w:szCs w:val="20"/>
                <w:color w:val="auto"/>
              </w:rPr>
            </w:pPr>
            <w:r>
              <w:rPr>
                <w:rFonts w:ascii="Arial" w:cs="Arial" w:eastAsia="Arial" w:hAnsi="Arial"/>
                <w:sz w:val="18"/>
                <w:szCs w:val="18"/>
                <w:color w:val="auto"/>
              </w:rPr>
              <w:t>Patrick Zenner</w:t>
            </w:r>
          </w:p>
        </w:tc>
        <w:tc>
          <w:tcPr>
            <w:tcW w:w="2560" w:type="dxa"/>
            <w:vAlign w:val="bottom"/>
          </w:tcPr>
          <w:p>
            <w:pPr>
              <w:ind w:left="900"/>
              <w:spacing w:after="0"/>
              <w:rPr>
                <w:sz w:val="20"/>
                <w:szCs w:val="20"/>
                <w:color w:val="auto"/>
              </w:rPr>
            </w:pPr>
            <w:r>
              <w:rPr>
                <w:rFonts w:ascii="Arial" w:cs="Arial" w:eastAsia="Arial" w:hAnsi="Arial"/>
                <w:sz w:val="18"/>
                <w:szCs w:val="18"/>
                <w:color w:val="auto"/>
              </w:rPr>
              <w:t>59,798,777</w:t>
            </w:r>
          </w:p>
        </w:tc>
        <w:tc>
          <w:tcPr>
            <w:tcW w:w="2980" w:type="dxa"/>
            <w:vAlign w:val="bottom"/>
          </w:tcPr>
          <w:p>
            <w:pPr>
              <w:jc w:val="center"/>
              <w:ind w:left="30"/>
              <w:spacing w:after="0"/>
              <w:rPr>
                <w:sz w:val="20"/>
                <w:szCs w:val="20"/>
                <w:color w:val="auto"/>
              </w:rPr>
            </w:pPr>
            <w:r>
              <w:rPr>
                <w:rFonts w:ascii="Arial" w:cs="Arial" w:eastAsia="Arial" w:hAnsi="Arial"/>
                <w:sz w:val="18"/>
                <w:szCs w:val="18"/>
                <w:color w:val="auto"/>
                <w:w w:val="90"/>
              </w:rPr>
              <w:t>10,097,950</w:t>
            </w:r>
          </w:p>
        </w:tc>
        <w:tc>
          <w:tcPr>
            <w:tcW w:w="2040" w:type="dxa"/>
            <w:vAlign w:val="bottom"/>
          </w:tcPr>
          <w:p>
            <w:pPr>
              <w:jc w:val="center"/>
              <w:ind w:left="630"/>
              <w:spacing w:after="0"/>
              <w:rPr>
                <w:sz w:val="20"/>
                <w:szCs w:val="20"/>
                <w:color w:val="auto"/>
              </w:rPr>
            </w:pPr>
            <w:r>
              <w:rPr>
                <w:rFonts w:ascii="Arial" w:cs="Arial" w:eastAsia="Arial" w:hAnsi="Arial"/>
                <w:sz w:val="18"/>
                <w:szCs w:val="18"/>
                <w:color w:val="auto"/>
                <w:w w:val="88"/>
              </w:rPr>
              <w:t>32,494,233</w:t>
            </w:r>
          </w:p>
        </w:tc>
      </w:tr>
    </w:tbl>
    <w:p>
      <w:pPr>
        <w:spacing w:after="0" w:line="3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Based on the votes set forth above, each director nominee was duly elected to serve until the Company’s 2026 Annual Meeting of Stockholders, and until their respective successors have been duly elected and qualified.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Proposal 2 - Approval, on a non-binding and advisory basis, of a resolution approving the compensation of the Company’s named executive officers.</w:t>
      </w:r>
    </w:p>
    <w:p>
      <w:pPr>
        <w:sectPr>
          <w:pgSz w:w="11900" w:h="16838" w:orient="portrait"/>
          <w:cols w:equalWidth="0" w:num="1">
            <w:col w:w="11240"/>
          </w:cols>
          <w:pgMar w:left="320" w:top="877" w:right="339" w:bottom="1440" w:gutter="0" w:footer="0" w:header="0"/>
        </w:sectPr>
      </w:pPr>
    </w:p>
    <w:p>
      <w:pPr>
        <w:spacing w:after="0" w:line="7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Votes FOR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Votes AGAINST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Votes ABSTAINED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w:t>
      </w:r>
    </w:p>
    <w:p>
      <w:pPr>
        <w:spacing w:after="0" w:line="73" w:lineRule="exact"/>
        <w:rPr>
          <w:sz w:val="20"/>
          <w:szCs w:val="20"/>
          <w:color w:val="auto"/>
        </w:rPr>
      </w:pPr>
    </w:p>
    <w:p>
      <w:pPr>
        <w:sectPr>
          <w:pgSz w:w="11900" w:h="16838" w:orient="portrait"/>
          <w:cols w:equalWidth="0" w:num="4">
            <w:col w:w="2880" w:space="720"/>
            <w:col w:w="1980" w:space="720"/>
            <w:col w:w="2160" w:space="720"/>
            <w:col w:w="2060"/>
          </w:cols>
          <w:pgMar w:left="320" w:top="877" w:right="3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63,731,591</w:t>
      </w:r>
    </w:p>
    <w:p>
      <w:pPr>
        <w:spacing w:after="0" w:line="20" w:lineRule="exact"/>
        <w:rPr>
          <w:sz w:val="20"/>
          <w:szCs w:val="20"/>
          <w:color w:val="auto"/>
        </w:rPr>
      </w:pPr>
      <w:r>
        <w:rPr>
          <w:sz w:val="20"/>
          <w:szCs w:val="20"/>
          <w:color w:val="auto"/>
        </w:rPr>
        <w:br w:type="column"/>
      </w:r>
    </w:p>
    <w:p>
      <w:pPr>
        <w:jc w:val="center"/>
        <w:ind w:right="1360"/>
        <w:spacing w:after="0"/>
        <w:rPr>
          <w:sz w:val="20"/>
          <w:szCs w:val="20"/>
          <w:color w:val="auto"/>
        </w:rPr>
      </w:pPr>
      <w:r>
        <w:rPr>
          <w:rFonts w:ascii="Arial" w:cs="Arial" w:eastAsia="Arial" w:hAnsi="Arial"/>
          <w:sz w:val="16"/>
          <w:szCs w:val="16"/>
          <w:color w:val="auto"/>
        </w:rPr>
        <w:t>5,090,940</w:t>
      </w:r>
    </w:p>
    <w:p>
      <w:pPr>
        <w:spacing w:after="0" w:line="20" w:lineRule="exact"/>
        <w:rPr>
          <w:sz w:val="20"/>
          <w:szCs w:val="20"/>
          <w:color w:val="auto"/>
        </w:rPr>
      </w:pPr>
      <w:r>
        <w:rPr>
          <w:sz w:val="20"/>
          <w:szCs w:val="20"/>
          <w:color w:val="auto"/>
        </w:rPr>
        <w:br w:type="column"/>
      </w:r>
    </w:p>
    <w:p>
      <w:pPr>
        <w:jc w:val="center"/>
        <w:ind w:right="1340"/>
        <w:spacing w:after="0"/>
        <w:rPr>
          <w:sz w:val="20"/>
          <w:szCs w:val="20"/>
          <w:color w:val="auto"/>
        </w:rPr>
      </w:pPr>
      <w:r>
        <w:rPr>
          <w:rFonts w:ascii="Arial" w:cs="Arial" w:eastAsia="Arial" w:hAnsi="Arial"/>
          <w:sz w:val="16"/>
          <w:szCs w:val="16"/>
          <w:color w:val="auto"/>
        </w:rPr>
        <w:t>1,074,196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32,494,233</w:t>
      </w:r>
    </w:p>
    <w:p>
      <w:pPr>
        <w:spacing w:after="0" w:line="211" w:lineRule="exact"/>
        <w:rPr>
          <w:sz w:val="20"/>
          <w:szCs w:val="20"/>
          <w:color w:val="auto"/>
        </w:rPr>
      </w:pPr>
    </w:p>
    <w:p>
      <w:pPr>
        <w:sectPr>
          <w:pgSz w:w="11900" w:h="16838" w:orient="portrait"/>
          <w:cols w:equalWidth="0" w:num="4">
            <w:col w:w="3140" w:space="720"/>
            <w:col w:w="2080" w:space="720"/>
            <w:col w:w="2060" w:space="720"/>
            <w:col w:w="1800"/>
          </w:cols>
          <w:pgMar w:left="320" w:top="877" w:right="339" w:bottom="1440" w:gutter="0" w:footer="0" w:header="0"/>
          <w:type w:val="continuous"/>
        </w:sectPr>
      </w:pPr>
    </w:p>
    <w:p>
      <w:pPr>
        <w:spacing w:after="0" w:line="19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Based on the votes set forth above, the stockholders approved, on a non-binding and advisory basis, a resolution approving the compensation of our named executive officers.</w:t>
      </w:r>
    </w:p>
    <w:p>
      <w:pPr>
        <w:spacing w:after="0" w:line="200" w:lineRule="exact"/>
        <w:rPr>
          <w:sz w:val="20"/>
          <w:szCs w:val="20"/>
          <w:color w:val="auto"/>
        </w:rPr>
      </w:pPr>
    </w:p>
    <w:p>
      <w:pPr>
        <w:spacing w:after="0" w:line="24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Proposal 3 - Approval of an amendment to the Company’s Restated Certificate of Incorporation, as amended, to change the vote required for stockholders to approve an amendment to the Company's Amended and Restated Bylaws from two-thirds to a majority of the outstanding shares of capital stock of the Company entitled to vote thereon.</w:t>
      </w:r>
    </w:p>
    <w:p>
      <w:pPr>
        <w:sectPr>
          <w:pgSz w:w="11900" w:h="16838" w:orient="portrait"/>
          <w:cols w:equalWidth="0" w:num="1">
            <w:col w:w="11240"/>
          </w:cols>
          <w:pgMar w:left="320" w:top="877" w:right="339" w:bottom="1440" w:gutter="0" w:footer="0" w:header="0"/>
          <w:type w:val="continuous"/>
        </w:sectPr>
      </w:pPr>
    </w:p>
    <w:p>
      <w:pPr>
        <w:spacing w:after="0" w:line="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Votes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Votes AGAINST</w:t>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Arial" w:cs="Arial" w:eastAsia="Arial" w:hAnsi="Arial"/>
          <w:sz w:val="16"/>
          <w:szCs w:val="16"/>
          <w:color w:val="auto"/>
        </w:rPr>
        <w:t>Votes ABSTAINED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Broker Non-Votes</w:t>
      </w:r>
    </w:p>
    <w:p>
      <w:pPr>
        <w:spacing w:after="0" w:line="73" w:lineRule="exact"/>
        <w:rPr>
          <w:sz w:val="20"/>
          <w:szCs w:val="20"/>
          <w:color w:val="auto"/>
        </w:rPr>
      </w:pPr>
    </w:p>
    <w:p>
      <w:pPr>
        <w:sectPr>
          <w:pgSz w:w="11900" w:h="16838" w:orient="portrait"/>
          <w:cols w:equalWidth="0" w:num="4">
            <w:col w:w="2880" w:space="720"/>
            <w:col w:w="1980" w:space="720"/>
            <w:col w:w="2160" w:space="720"/>
            <w:col w:w="2060"/>
          </w:cols>
          <w:pgMar w:left="320" w:top="877" w:right="339" w:bottom="1440" w:gutter="0" w:footer="0" w:header="0"/>
          <w:type w:val="continuous"/>
        </w:sectPr>
      </w:pPr>
    </w:p>
    <w:p>
      <w:pPr>
        <w:ind w:left="1000"/>
        <w:spacing w:after="0"/>
        <w:rPr>
          <w:sz w:val="20"/>
          <w:szCs w:val="20"/>
          <w:color w:val="auto"/>
        </w:rPr>
      </w:pPr>
      <w:r>
        <w:rPr>
          <w:rFonts w:ascii="Arial" w:cs="Arial" w:eastAsia="Arial" w:hAnsi="Arial"/>
          <w:sz w:val="16"/>
          <w:szCs w:val="16"/>
          <w:color w:val="auto"/>
        </w:rPr>
        <w:t>67,852,901</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Arial" w:cs="Arial" w:eastAsia="Arial" w:hAnsi="Arial"/>
          <w:sz w:val="16"/>
          <w:szCs w:val="16"/>
          <w:color w:val="auto"/>
        </w:rPr>
        <w:t>1,742,501</w:t>
      </w:r>
    </w:p>
    <w:p>
      <w:pPr>
        <w:spacing w:after="0" w:line="20" w:lineRule="exact"/>
        <w:rPr>
          <w:sz w:val="20"/>
          <w:szCs w:val="20"/>
          <w:color w:val="auto"/>
        </w:rPr>
      </w:pPr>
      <w:r>
        <w:rPr>
          <w:sz w:val="20"/>
          <w:szCs w:val="20"/>
          <w:color w:val="auto"/>
        </w:rPr>
        <w:br w:type="column"/>
      </w:r>
    </w:p>
    <w:p>
      <w:pPr>
        <w:jc w:val="center"/>
        <w:ind w:right="1400"/>
        <w:spacing w:after="0"/>
        <w:rPr>
          <w:sz w:val="20"/>
          <w:szCs w:val="20"/>
          <w:color w:val="auto"/>
        </w:rPr>
      </w:pPr>
      <w:r>
        <w:rPr>
          <w:rFonts w:ascii="Arial" w:cs="Arial" w:eastAsia="Arial" w:hAnsi="Arial"/>
          <w:sz w:val="16"/>
          <w:szCs w:val="16"/>
          <w:color w:val="auto"/>
        </w:rPr>
        <w:t>301,325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32,494,233</w:t>
      </w:r>
    </w:p>
    <w:p>
      <w:pPr>
        <w:spacing w:after="0" w:line="211" w:lineRule="exact"/>
        <w:rPr>
          <w:sz w:val="20"/>
          <w:szCs w:val="20"/>
          <w:color w:val="auto"/>
        </w:rPr>
      </w:pPr>
    </w:p>
    <w:p>
      <w:pPr>
        <w:sectPr>
          <w:pgSz w:w="11900" w:h="16838" w:orient="portrait"/>
          <w:cols w:equalWidth="0" w:num="4">
            <w:col w:w="3140" w:space="720"/>
            <w:col w:w="2160" w:space="720"/>
            <w:col w:w="1980" w:space="720"/>
            <w:col w:w="1800"/>
          </w:cols>
          <w:pgMar w:left="320" w:top="877" w:right="339" w:bottom="1440" w:gutter="0" w:footer="0" w:header="0"/>
          <w:type w:val="continuous"/>
        </w:sectPr>
      </w:pPr>
    </w:p>
    <w:p>
      <w:pPr>
        <w:spacing w:after="0" w:line="183"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The proportion of outstanding shares voting in favor of the amendment to the Company’s Restated Certificate of Incorporation, as amended, was less than two-thirds of the outstanding shares of capital stock of the Company entitled to vote thereon. Based on the results of this proposal, the stockholders did not approve the amendment to the Company’s Restated Certificate of Incorporation, as amended, to change the vote required for stockholders to approve an amendment to the Company's Amended and Restated Bylaws from two-thirds to a majority of the outstanding shares of capital stock of the Company entitled to vote thereon.</w:t>
      </w:r>
    </w:p>
    <w:p>
      <w:pPr>
        <w:spacing w:after="0" w:line="200" w:lineRule="exact"/>
        <w:rPr>
          <w:sz w:val="20"/>
          <w:szCs w:val="20"/>
          <w:color w:val="auto"/>
        </w:rPr>
      </w:pPr>
    </w:p>
    <w:p>
      <w:pPr>
        <w:spacing w:after="0" w:line="272" w:lineRule="exact"/>
        <w:rPr>
          <w:sz w:val="20"/>
          <w:szCs w:val="20"/>
          <w:color w:val="auto"/>
        </w:rPr>
      </w:pPr>
    </w:p>
    <w:p>
      <w:pPr>
        <w:ind w:right="500" w:firstLine="324"/>
        <w:spacing w:after="0" w:line="273" w:lineRule="auto"/>
        <w:rPr>
          <w:sz w:val="20"/>
          <w:szCs w:val="20"/>
          <w:color w:val="auto"/>
        </w:rPr>
      </w:pPr>
      <w:r>
        <w:rPr>
          <w:rFonts w:ascii="Arial" w:cs="Arial" w:eastAsia="Arial" w:hAnsi="Arial"/>
          <w:sz w:val="18"/>
          <w:szCs w:val="18"/>
          <w:color w:val="auto"/>
        </w:rPr>
        <w:t>Proposal 4 - Ratification of the appointment of Ernst &amp; Young LLP as the Company’s independent registered public accounting firm for the year ending December 31, 2023.</w:t>
      </w:r>
    </w:p>
    <w:p>
      <w:pPr>
        <w:sectPr>
          <w:pgSz w:w="11900" w:h="16838" w:orient="portrait"/>
          <w:cols w:equalWidth="0" w:num="1">
            <w:col w:w="11240"/>
          </w:cols>
          <w:pgMar w:left="320" w:top="877" w:right="339" w:bottom="1440" w:gutter="0" w:footer="0" w:header="0"/>
          <w:type w:val="continuous"/>
        </w:sectPr>
      </w:pPr>
    </w:p>
    <w:p>
      <w:pPr>
        <w:spacing w:after="0" w:line="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Votes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Votes AGAINST</w:t>
      </w:r>
    </w:p>
    <w:p>
      <w:pPr>
        <w:spacing w:after="0" w:line="20" w:lineRule="exact"/>
        <w:rPr>
          <w:sz w:val="20"/>
          <w:szCs w:val="20"/>
          <w:color w:val="auto"/>
        </w:rPr>
      </w:pPr>
      <w:r>
        <w:rPr>
          <w:sz w:val="20"/>
          <w:szCs w:val="20"/>
          <w:color w:val="auto"/>
        </w:rPr>
        <w:br w:type="column"/>
      </w:r>
    </w:p>
    <w:p>
      <w:pPr>
        <w:jc w:val="center"/>
        <w:ind w:right="720"/>
        <w:spacing w:after="0"/>
        <w:rPr>
          <w:sz w:val="20"/>
          <w:szCs w:val="20"/>
          <w:color w:val="auto"/>
        </w:rPr>
      </w:pPr>
      <w:r>
        <w:rPr>
          <w:rFonts w:ascii="Arial" w:cs="Arial" w:eastAsia="Arial" w:hAnsi="Arial"/>
          <w:sz w:val="16"/>
          <w:szCs w:val="16"/>
          <w:color w:val="auto"/>
        </w:rPr>
        <w:t>Votes ABSTAINED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Broker Non-Votes</w:t>
      </w:r>
    </w:p>
    <w:p>
      <w:pPr>
        <w:spacing w:after="0" w:line="73" w:lineRule="exact"/>
        <w:rPr>
          <w:sz w:val="20"/>
          <w:szCs w:val="20"/>
          <w:color w:val="auto"/>
        </w:rPr>
      </w:pPr>
    </w:p>
    <w:p>
      <w:pPr>
        <w:sectPr>
          <w:pgSz w:w="11900" w:h="16838" w:orient="portrait"/>
          <w:cols w:equalWidth="0" w:num="4">
            <w:col w:w="2900" w:space="720"/>
            <w:col w:w="1980" w:space="720"/>
            <w:col w:w="2140" w:space="720"/>
            <w:col w:w="2060"/>
          </w:cols>
          <w:pgMar w:left="320" w:top="877" w:right="33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101,433,021</w:t>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Arial" w:cs="Arial" w:eastAsia="Arial" w:hAnsi="Arial"/>
          <w:sz w:val="16"/>
          <w:szCs w:val="16"/>
          <w:color w:val="auto"/>
        </w:rPr>
        <w:t>923,103</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6"/>
          <w:szCs w:val="16"/>
          <w:color w:val="auto"/>
        </w:rPr>
        <w:t>34,836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200" w:space="720"/>
            <w:col w:w="2140" w:space="720"/>
            <w:col w:w="2240" w:space="720"/>
            <w:col w:w="1500"/>
          </w:cols>
          <w:pgMar w:left="320" w:top="877" w:right="339" w:bottom="1440" w:gutter="0" w:footer="0" w:header="0"/>
          <w:type w:val="continuous"/>
        </w:sectPr>
      </w:pPr>
    </w:p>
    <w:p>
      <w:pPr>
        <w:spacing w:after="0" w:line="17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Based on the votes set forth above, the stockholders ratified the appointment of Ernst &amp; Young LLP as the Company’s independent registered public accounting firm for the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40" w:type="dxa"/>
            <w:vAlign w:val="bottom"/>
            <w:gridSpan w:val="2"/>
          </w:tcPr>
          <w:p>
            <w:pPr>
              <w:ind w:left="2000"/>
              <w:spacing w:after="0"/>
              <w:rPr>
                <w:sz w:val="20"/>
                <w:szCs w:val="20"/>
                <w:color w:val="auto"/>
              </w:rPr>
            </w:pPr>
            <w:r>
              <w:rPr>
                <w:rFonts w:ascii="Arial" w:cs="Arial" w:eastAsia="Arial" w:hAnsi="Arial"/>
                <w:sz w:val="18"/>
                <w:szCs w:val="18"/>
                <w:color w:val="auto"/>
              </w:rPr>
              <w:t>SELECTA BIOSCIENCES, INC.</w:t>
            </w:r>
          </w:p>
        </w:tc>
      </w:tr>
      <w:tr>
        <w:trPr>
          <w:trHeight w:val="702"/>
        </w:trPr>
        <w:tc>
          <w:tcPr>
            <w:tcW w:w="3460" w:type="dxa"/>
            <w:vAlign w:val="bottom"/>
          </w:tcPr>
          <w:p>
            <w:pPr>
              <w:spacing w:after="0"/>
              <w:rPr>
                <w:sz w:val="20"/>
                <w:szCs w:val="20"/>
                <w:color w:val="auto"/>
              </w:rPr>
            </w:pPr>
            <w:r>
              <w:rPr>
                <w:rFonts w:ascii="Arial" w:cs="Arial" w:eastAsia="Arial" w:hAnsi="Arial"/>
                <w:sz w:val="18"/>
                <w:szCs w:val="18"/>
                <w:color w:val="auto"/>
              </w:rPr>
              <w:t>Date: June 16, 2023</w:t>
            </w: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20"/>
      </w:cols>
      <w:pgMar w:left="320" w:top="7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2023-06-16T15:26:12Z</dcterms:created>
  <dcterms:modified xsi:type="dcterms:W3CDTF">2023-06-16T15:26:12Z</dcterms:modified>
</cp:coreProperties>
</file>