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235"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9"/>
          <w:szCs w:val="19"/>
          <w:u w:val="single" w:color="auto"/>
          <w:color w:val="0000EE"/>
        </w:rPr>
      </w:pPr>
      <w:hyperlink w:anchor="page232">
        <w:r>
          <w:rPr>
            <w:rFonts w:ascii="Arial" w:cs="Arial" w:eastAsia="Arial" w:hAnsi="Arial"/>
            <w:sz w:val="19"/>
            <w:szCs w:val="19"/>
            <w:u w:val="single" w:color="auto"/>
            <w:color w:val="0000EE"/>
          </w:rPr>
          <w:t>TABLE OF CONTENTS 2</w:t>
        </w:r>
      </w:hyperlink>
    </w:p>
    <w:p>
      <w:pPr>
        <w:spacing w:after="0" w:line="1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June 20, 2016</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333-211555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368300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122555</wp:posOffset>
            </wp:positionV>
            <wp:extent cx="18313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AMENDMENT NO. 2</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TO</w:t>
      </w:r>
    </w:p>
    <w:p>
      <w:pPr>
        <w:jc w:val="center"/>
        <w:spacing w:after="0"/>
        <w:rPr>
          <w:sz w:val="20"/>
          <w:szCs w:val="20"/>
          <w:color w:val="auto"/>
        </w:rPr>
      </w:pPr>
      <w:r>
        <w:rPr>
          <w:rFonts w:ascii="Arial" w:cs="Arial" w:eastAsia="Arial" w:hAnsi="Arial"/>
          <w:sz w:val="28"/>
          <w:szCs w:val="28"/>
          <w:b w:val="1"/>
          <w:bCs w:val="1"/>
          <w:color w:val="auto"/>
        </w:rPr>
        <w:t>FORM S-1</w:t>
      </w:r>
    </w:p>
    <w:p>
      <w:pPr>
        <w:jc w:val="center"/>
        <w:spacing w:after="0"/>
        <w:rPr>
          <w:sz w:val="20"/>
          <w:szCs w:val="20"/>
          <w:color w:val="auto"/>
        </w:rPr>
      </w:pPr>
      <w:r>
        <w:rPr>
          <w:rFonts w:ascii="Arial" w:cs="Arial" w:eastAsia="Arial" w:hAnsi="Arial"/>
          <w:sz w:val="15"/>
          <w:szCs w:val="15"/>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UNDER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127000</wp:posOffset>
            </wp:positionV>
            <wp:extent cx="1831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Selecta Biosciences,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82" w:lineRule="exact"/>
        <w:rPr>
          <w:sz w:val="24"/>
          <w:szCs w:val="24"/>
          <w:color w:val="auto"/>
        </w:rPr>
      </w:pPr>
    </w:p>
    <w:tbl>
      <w:tblPr>
        <w:tblLayout w:type="fixed"/>
        <w:tblInd w:w="2820" w:type="dxa"/>
        <w:tblCellMar>
          <w:top w:w="0" w:type="dxa"/>
          <w:left w:w="0" w:type="dxa"/>
          <w:bottom w:w="0" w:type="dxa"/>
          <w:right w:w="0" w:type="dxa"/>
        </w:tblCellMar>
      </w:tblPr>
      <w:tr>
        <w:trPr>
          <w:trHeight w:val="189"/>
        </w:trPr>
        <w:tc>
          <w:tcPr>
            <w:tcW w:w="1880" w:type="dxa"/>
            <w:vAlign w:val="bottom"/>
          </w:tcPr>
          <w:p>
            <w:pPr>
              <w:jc w:val="center"/>
              <w:ind w:right="65"/>
              <w:spacing w:after="0"/>
              <w:rPr>
                <w:sz w:val="20"/>
                <w:szCs w:val="20"/>
                <w:color w:val="auto"/>
              </w:rPr>
            </w:pPr>
            <w:r>
              <w:rPr>
                <w:rFonts w:ascii="Arial" w:cs="Arial" w:eastAsia="Arial" w:hAnsi="Arial"/>
                <w:sz w:val="15"/>
                <w:szCs w:val="15"/>
                <w:b w:val="1"/>
                <w:bCs w:val="1"/>
                <w:color w:val="auto"/>
                <w:w w:val="94"/>
              </w:rPr>
              <w:t>Delaware</w:t>
            </w:r>
          </w:p>
        </w:tc>
        <w:tc>
          <w:tcPr>
            <w:tcW w:w="2180" w:type="dxa"/>
            <w:vAlign w:val="bottom"/>
          </w:tcPr>
          <w:p>
            <w:pPr>
              <w:jc w:val="center"/>
              <w:ind w:right="85"/>
              <w:spacing w:after="0"/>
              <w:rPr>
                <w:sz w:val="20"/>
                <w:szCs w:val="20"/>
                <w:color w:val="auto"/>
              </w:rPr>
            </w:pPr>
            <w:r>
              <w:rPr>
                <w:rFonts w:ascii="Arial" w:cs="Arial" w:eastAsia="Arial" w:hAnsi="Arial"/>
                <w:sz w:val="15"/>
                <w:szCs w:val="15"/>
                <w:b w:val="1"/>
                <w:bCs w:val="1"/>
                <w:color w:val="auto"/>
                <w:w w:val="89"/>
              </w:rPr>
              <w:t>2834</w:t>
            </w:r>
          </w:p>
        </w:tc>
        <w:tc>
          <w:tcPr>
            <w:tcW w:w="1420" w:type="dxa"/>
            <w:vAlign w:val="bottom"/>
          </w:tcPr>
          <w:p>
            <w:pPr>
              <w:jc w:val="center"/>
              <w:ind w:left="225"/>
              <w:spacing w:after="0"/>
              <w:rPr>
                <w:sz w:val="20"/>
                <w:szCs w:val="20"/>
                <w:color w:val="auto"/>
              </w:rPr>
            </w:pPr>
            <w:r>
              <w:rPr>
                <w:rFonts w:ascii="Arial" w:cs="Arial" w:eastAsia="Arial" w:hAnsi="Arial"/>
                <w:sz w:val="15"/>
                <w:szCs w:val="15"/>
                <w:b w:val="1"/>
                <w:bCs w:val="1"/>
                <w:color w:val="auto"/>
                <w:w w:val="89"/>
              </w:rPr>
              <w:t>26-1622110</w:t>
            </w:r>
          </w:p>
        </w:tc>
      </w:tr>
      <w:tr>
        <w:trPr>
          <w:trHeight w:val="185"/>
        </w:trPr>
        <w:tc>
          <w:tcPr>
            <w:tcW w:w="1880" w:type="dxa"/>
            <w:vAlign w:val="bottom"/>
          </w:tcPr>
          <w:p>
            <w:pPr>
              <w:jc w:val="center"/>
              <w:ind w:right="65"/>
              <w:spacing w:after="0"/>
              <w:rPr>
                <w:sz w:val="20"/>
                <w:szCs w:val="20"/>
                <w:color w:val="auto"/>
              </w:rPr>
            </w:pPr>
            <w:r>
              <w:rPr>
                <w:rFonts w:ascii="Arial" w:cs="Arial" w:eastAsia="Arial" w:hAnsi="Arial"/>
                <w:sz w:val="15"/>
                <w:szCs w:val="15"/>
                <w:color w:val="auto"/>
                <w:w w:val="92"/>
              </w:rPr>
              <w:t>(State or other jurisdiction of</w:t>
            </w:r>
          </w:p>
        </w:tc>
        <w:tc>
          <w:tcPr>
            <w:tcW w:w="2180" w:type="dxa"/>
            <w:vAlign w:val="bottom"/>
          </w:tcPr>
          <w:p>
            <w:pPr>
              <w:jc w:val="center"/>
              <w:ind w:right="65"/>
              <w:spacing w:after="0"/>
              <w:rPr>
                <w:sz w:val="20"/>
                <w:szCs w:val="20"/>
                <w:color w:val="auto"/>
              </w:rPr>
            </w:pPr>
            <w:r>
              <w:rPr>
                <w:rFonts w:ascii="Arial" w:cs="Arial" w:eastAsia="Arial" w:hAnsi="Arial"/>
                <w:sz w:val="15"/>
                <w:szCs w:val="15"/>
                <w:color w:val="auto"/>
                <w:w w:val="92"/>
              </w:rPr>
              <w:t>(Primary Standard Industrial</w:t>
            </w:r>
          </w:p>
        </w:tc>
        <w:tc>
          <w:tcPr>
            <w:tcW w:w="1420" w:type="dxa"/>
            <w:vAlign w:val="bottom"/>
          </w:tcPr>
          <w:p>
            <w:pPr>
              <w:jc w:val="center"/>
              <w:ind w:left="225"/>
              <w:spacing w:after="0"/>
              <w:rPr>
                <w:sz w:val="20"/>
                <w:szCs w:val="20"/>
                <w:color w:val="auto"/>
              </w:rPr>
            </w:pPr>
            <w:r>
              <w:rPr>
                <w:rFonts w:ascii="Arial" w:cs="Arial" w:eastAsia="Arial" w:hAnsi="Arial"/>
                <w:sz w:val="15"/>
                <w:szCs w:val="15"/>
                <w:color w:val="auto"/>
                <w:w w:val="94"/>
              </w:rPr>
              <w:t>(I.R.S. Employer</w:t>
            </w:r>
          </w:p>
        </w:tc>
      </w:tr>
      <w:tr>
        <w:trPr>
          <w:trHeight w:val="185"/>
        </w:trPr>
        <w:tc>
          <w:tcPr>
            <w:tcW w:w="1880" w:type="dxa"/>
            <w:vAlign w:val="bottom"/>
          </w:tcPr>
          <w:p>
            <w:pPr>
              <w:jc w:val="center"/>
              <w:ind w:right="65"/>
              <w:spacing w:after="0"/>
              <w:rPr>
                <w:sz w:val="20"/>
                <w:szCs w:val="20"/>
                <w:color w:val="auto"/>
              </w:rPr>
            </w:pPr>
            <w:r>
              <w:rPr>
                <w:rFonts w:ascii="Arial" w:cs="Arial" w:eastAsia="Arial" w:hAnsi="Arial"/>
                <w:sz w:val="15"/>
                <w:szCs w:val="15"/>
                <w:color w:val="auto"/>
                <w:w w:val="93"/>
              </w:rPr>
              <w:t>incorporation or</w:t>
            </w:r>
          </w:p>
        </w:tc>
        <w:tc>
          <w:tcPr>
            <w:tcW w:w="2180" w:type="dxa"/>
            <w:vAlign w:val="bottom"/>
          </w:tcPr>
          <w:p>
            <w:pPr>
              <w:jc w:val="center"/>
              <w:ind w:right="65"/>
              <w:spacing w:after="0"/>
              <w:rPr>
                <w:sz w:val="20"/>
                <w:szCs w:val="20"/>
                <w:color w:val="auto"/>
              </w:rPr>
            </w:pPr>
            <w:r>
              <w:rPr>
                <w:rFonts w:ascii="Arial" w:cs="Arial" w:eastAsia="Arial" w:hAnsi="Arial"/>
                <w:sz w:val="15"/>
                <w:szCs w:val="15"/>
                <w:color w:val="auto"/>
                <w:w w:val="92"/>
              </w:rPr>
              <w:t>Classification Code Number)</w:t>
            </w:r>
          </w:p>
        </w:tc>
        <w:tc>
          <w:tcPr>
            <w:tcW w:w="1420" w:type="dxa"/>
            <w:vAlign w:val="bottom"/>
          </w:tcPr>
          <w:p>
            <w:pPr>
              <w:jc w:val="center"/>
              <w:ind w:left="225"/>
              <w:spacing w:after="0"/>
              <w:rPr>
                <w:sz w:val="20"/>
                <w:szCs w:val="20"/>
                <w:color w:val="auto"/>
              </w:rPr>
            </w:pPr>
            <w:r>
              <w:rPr>
                <w:rFonts w:ascii="Arial" w:cs="Arial" w:eastAsia="Arial" w:hAnsi="Arial"/>
                <w:sz w:val="15"/>
                <w:szCs w:val="15"/>
                <w:color w:val="auto"/>
                <w:w w:val="95"/>
              </w:rPr>
              <w:t>Identification No.)</w:t>
            </w:r>
          </w:p>
        </w:tc>
      </w:tr>
      <w:tr>
        <w:trPr>
          <w:trHeight w:val="190"/>
        </w:trPr>
        <w:tc>
          <w:tcPr>
            <w:tcW w:w="1880" w:type="dxa"/>
            <w:vAlign w:val="bottom"/>
          </w:tcPr>
          <w:p>
            <w:pPr>
              <w:jc w:val="center"/>
              <w:ind w:right="85"/>
              <w:spacing w:after="0"/>
              <w:rPr>
                <w:sz w:val="20"/>
                <w:szCs w:val="20"/>
                <w:color w:val="auto"/>
              </w:rPr>
            </w:pPr>
            <w:r>
              <w:rPr>
                <w:rFonts w:ascii="Arial" w:cs="Arial" w:eastAsia="Arial" w:hAnsi="Arial"/>
                <w:sz w:val="15"/>
                <w:szCs w:val="15"/>
                <w:color w:val="auto"/>
                <w:w w:val="92"/>
              </w:rPr>
              <w:t>organization)</w:t>
            </w:r>
          </w:p>
        </w:tc>
        <w:tc>
          <w:tcPr>
            <w:tcW w:w="218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480 Arsenal Street, Building One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Watertown, Massachusetts 02472</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(617) 923-1400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127000</wp:posOffset>
            </wp:positionV>
            <wp:extent cx="1831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Werner Cautreels, Ph.D.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President and Chief Executive Officer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Selecta Biosciences,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480 Arsenal Street, Building One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Watertown, Massachusetts 02472</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(617) 923-1400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2716530</wp:posOffset>
            </wp:positionH>
            <wp:positionV relativeFrom="paragraph">
              <wp:posOffset>127000</wp:posOffset>
            </wp:positionV>
            <wp:extent cx="1831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346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00" w:type="dxa"/>
            <w:vAlign w:val="bottom"/>
            <w:gridSpan w:val="2"/>
          </w:tcPr>
          <w:p>
            <w:pPr>
              <w:ind w:left="40"/>
              <w:spacing w:after="0"/>
              <w:rPr>
                <w:sz w:val="20"/>
                <w:szCs w:val="20"/>
                <w:color w:val="auto"/>
              </w:rPr>
            </w:pPr>
            <w:r>
              <w:rPr>
                <w:rFonts w:ascii="Arial" w:cs="Arial" w:eastAsia="Arial" w:hAnsi="Arial"/>
                <w:sz w:val="15"/>
                <w:szCs w:val="15"/>
                <w:b w:val="1"/>
                <w:bCs w:val="1"/>
                <w:color w:val="auto"/>
              </w:rPr>
              <w:t>Copies to:</w:t>
            </w:r>
          </w:p>
        </w:tc>
      </w:tr>
      <w:tr>
        <w:trPr>
          <w:trHeight w:val="185"/>
        </w:trPr>
        <w:tc>
          <w:tcPr>
            <w:tcW w:w="18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1"/>
              </w:rPr>
              <w:t>Peter N. Handrinos</w:t>
            </w:r>
          </w:p>
        </w:tc>
        <w:tc>
          <w:tcPr>
            <w:tcW w:w="2700" w:type="dxa"/>
            <w:vAlign w:val="bottom"/>
            <w:gridSpan w:val="2"/>
          </w:tcPr>
          <w:p>
            <w:pPr>
              <w:jc w:val="center"/>
              <w:ind w:left="645"/>
              <w:spacing w:after="0"/>
              <w:rPr>
                <w:sz w:val="20"/>
                <w:szCs w:val="20"/>
                <w:color w:val="auto"/>
              </w:rPr>
            </w:pPr>
            <w:r>
              <w:rPr>
                <w:rFonts w:ascii="Arial" w:cs="Arial" w:eastAsia="Arial" w:hAnsi="Arial"/>
                <w:sz w:val="15"/>
                <w:szCs w:val="15"/>
                <w:b w:val="1"/>
                <w:bCs w:val="1"/>
                <w:color w:val="auto"/>
                <w:w w:val="96"/>
              </w:rPr>
              <w:t>Divakar Gupta</w:t>
            </w:r>
          </w:p>
        </w:tc>
      </w:tr>
      <w:tr>
        <w:trPr>
          <w:trHeight w:val="185"/>
        </w:trPr>
        <w:tc>
          <w:tcPr>
            <w:tcW w:w="18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3"/>
              </w:rPr>
              <w:t>Brandon J. Bortner</w:t>
            </w:r>
          </w:p>
        </w:tc>
        <w:tc>
          <w:tcPr>
            <w:tcW w:w="2700" w:type="dxa"/>
            <w:vAlign w:val="bottom"/>
            <w:gridSpan w:val="2"/>
          </w:tcPr>
          <w:p>
            <w:pPr>
              <w:jc w:val="center"/>
              <w:ind w:left="625"/>
              <w:spacing w:after="0"/>
              <w:rPr>
                <w:sz w:val="20"/>
                <w:szCs w:val="20"/>
                <w:color w:val="auto"/>
              </w:rPr>
            </w:pPr>
            <w:r>
              <w:rPr>
                <w:rFonts w:ascii="Arial" w:cs="Arial" w:eastAsia="Arial" w:hAnsi="Arial"/>
                <w:sz w:val="15"/>
                <w:szCs w:val="15"/>
                <w:b w:val="1"/>
                <w:bCs w:val="1"/>
                <w:color w:val="auto"/>
                <w:w w:val="93"/>
              </w:rPr>
              <w:t>Marc Recht</w:t>
            </w:r>
          </w:p>
        </w:tc>
      </w:tr>
      <w:tr>
        <w:trPr>
          <w:trHeight w:val="185"/>
        </w:trPr>
        <w:tc>
          <w:tcPr>
            <w:tcW w:w="18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7"/>
              </w:rPr>
              <w:t>Latham &amp; Watkins LLP</w:t>
            </w:r>
          </w:p>
        </w:tc>
        <w:tc>
          <w:tcPr>
            <w:tcW w:w="2700" w:type="dxa"/>
            <w:vAlign w:val="bottom"/>
            <w:gridSpan w:val="2"/>
          </w:tcPr>
          <w:p>
            <w:pPr>
              <w:jc w:val="center"/>
              <w:ind w:left="625"/>
              <w:spacing w:after="0"/>
              <w:rPr>
                <w:sz w:val="20"/>
                <w:szCs w:val="20"/>
                <w:color w:val="auto"/>
              </w:rPr>
            </w:pPr>
            <w:r>
              <w:rPr>
                <w:rFonts w:ascii="Arial" w:cs="Arial" w:eastAsia="Arial" w:hAnsi="Arial"/>
                <w:sz w:val="15"/>
                <w:szCs w:val="15"/>
                <w:b w:val="1"/>
                <w:bCs w:val="1"/>
                <w:color w:val="auto"/>
                <w:w w:val="91"/>
              </w:rPr>
              <w:t>Joshua A. Kaufman</w:t>
            </w:r>
          </w:p>
        </w:tc>
      </w:tr>
      <w:tr>
        <w:trPr>
          <w:trHeight w:val="185"/>
        </w:trPr>
        <w:tc>
          <w:tcPr>
            <w:tcW w:w="18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0"/>
              </w:rPr>
              <w:t>John Hancock Tower</w:t>
            </w:r>
          </w:p>
        </w:tc>
        <w:tc>
          <w:tcPr>
            <w:tcW w:w="2700" w:type="dxa"/>
            <w:vAlign w:val="bottom"/>
            <w:gridSpan w:val="2"/>
          </w:tcPr>
          <w:p>
            <w:pPr>
              <w:jc w:val="center"/>
              <w:ind w:left="645"/>
              <w:spacing w:after="0"/>
              <w:rPr>
                <w:sz w:val="20"/>
                <w:szCs w:val="20"/>
                <w:color w:val="auto"/>
              </w:rPr>
            </w:pPr>
            <w:r>
              <w:rPr>
                <w:rFonts w:ascii="Arial" w:cs="Arial" w:eastAsia="Arial" w:hAnsi="Arial"/>
                <w:sz w:val="15"/>
                <w:szCs w:val="15"/>
                <w:b w:val="1"/>
                <w:bCs w:val="1"/>
                <w:color w:val="auto"/>
                <w:w w:val="94"/>
              </w:rPr>
              <w:t>Cooley LLP</w:t>
            </w:r>
          </w:p>
        </w:tc>
      </w:tr>
      <w:tr>
        <w:trPr>
          <w:trHeight w:val="185"/>
        </w:trPr>
        <w:tc>
          <w:tcPr>
            <w:tcW w:w="18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0"/>
              </w:rPr>
              <w:t>200 Clarendon Street</w:t>
            </w:r>
          </w:p>
        </w:tc>
        <w:tc>
          <w:tcPr>
            <w:tcW w:w="2700" w:type="dxa"/>
            <w:vAlign w:val="bottom"/>
            <w:gridSpan w:val="2"/>
          </w:tcPr>
          <w:p>
            <w:pPr>
              <w:jc w:val="center"/>
              <w:ind w:left="625"/>
              <w:spacing w:after="0"/>
              <w:rPr>
                <w:sz w:val="20"/>
                <w:szCs w:val="20"/>
                <w:color w:val="auto"/>
              </w:rPr>
            </w:pPr>
            <w:r>
              <w:rPr>
                <w:rFonts w:ascii="Arial" w:cs="Arial" w:eastAsia="Arial" w:hAnsi="Arial"/>
                <w:sz w:val="15"/>
                <w:szCs w:val="15"/>
                <w:b w:val="1"/>
                <w:bCs w:val="1"/>
                <w:color w:val="auto"/>
                <w:w w:val="90"/>
              </w:rPr>
              <w:t>500 Boylston Street, 14th Floor</w:t>
            </w:r>
          </w:p>
        </w:tc>
      </w:tr>
      <w:tr>
        <w:trPr>
          <w:trHeight w:val="185"/>
        </w:trPr>
        <w:tc>
          <w:tcPr>
            <w:tcW w:w="188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86"/>
              </w:rPr>
              <w:t>Boston, Massachusetts 02116</w:t>
            </w:r>
          </w:p>
        </w:tc>
        <w:tc>
          <w:tcPr>
            <w:tcW w:w="2700" w:type="dxa"/>
            <w:vAlign w:val="bottom"/>
            <w:gridSpan w:val="2"/>
          </w:tcPr>
          <w:p>
            <w:pPr>
              <w:jc w:val="center"/>
              <w:ind w:left="645"/>
              <w:spacing w:after="0"/>
              <w:rPr>
                <w:sz w:val="20"/>
                <w:szCs w:val="20"/>
                <w:color w:val="auto"/>
              </w:rPr>
            </w:pPr>
            <w:r>
              <w:rPr>
                <w:rFonts w:ascii="Arial" w:cs="Arial" w:eastAsia="Arial" w:hAnsi="Arial"/>
                <w:sz w:val="15"/>
                <w:szCs w:val="15"/>
                <w:b w:val="1"/>
                <w:bCs w:val="1"/>
                <w:color w:val="auto"/>
                <w:w w:val="87"/>
              </w:rPr>
              <w:t>Boston, Massachusetts 02116</w:t>
            </w:r>
          </w:p>
        </w:tc>
      </w:tr>
      <w:tr>
        <w:trPr>
          <w:trHeight w:val="194"/>
        </w:trPr>
        <w:tc>
          <w:tcPr>
            <w:tcW w:w="188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1"/>
              </w:rPr>
              <w:t>(617) 948-6000</w:t>
            </w:r>
          </w:p>
        </w:tc>
        <w:tc>
          <w:tcPr>
            <w:tcW w:w="2700" w:type="dxa"/>
            <w:vAlign w:val="bottom"/>
            <w:gridSpan w:val="2"/>
          </w:tcPr>
          <w:p>
            <w:pPr>
              <w:jc w:val="center"/>
              <w:ind w:left="645"/>
              <w:spacing w:after="0"/>
              <w:rPr>
                <w:sz w:val="20"/>
                <w:szCs w:val="20"/>
                <w:color w:val="auto"/>
              </w:rPr>
            </w:pPr>
            <w:r>
              <w:rPr>
                <w:rFonts w:ascii="Arial" w:cs="Arial" w:eastAsia="Arial" w:hAnsi="Arial"/>
                <w:sz w:val="15"/>
                <w:szCs w:val="15"/>
                <w:b w:val="1"/>
                <w:bCs w:val="1"/>
                <w:color w:val="auto"/>
                <w:w w:val="91"/>
              </w:rPr>
              <w:t>(617) 937-2300</w:t>
            </w:r>
          </w:p>
        </w:tc>
      </w:tr>
      <w:tr>
        <w:trPr>
          <w:trHeight w:val="188"/>
        </w:trPr>
        <w:tc>
          <w:tcPr>
            <w:tcW w:w="8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880" w:type="dxa"/>
            <w:vAlign w:val="bottom"/>
          </w:tcPr>
          <w:p>
            <w:pPr>
              <w:spacing w:after="0"/>
              <w:rPr>
                <w:sz w:val="16"/>
                <w:szCs w:val="16"/>
                <w:color w:val="auto"/>
              </w:rPr>
            </w:pPr>
          </w:p>
        </w:tc>
      </w:tr>
    </w:tbl>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Approximate date of commencement of proposed sale to the public: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soon as practicable after this Registration Statement is declared effective.</w:t>
      </w:r>
    </w:p>
    <w:p>
      <w:pPr>
        <w:spacing w:after="0" w:line="193" w:lineRule="exact"/>
        <w:rPr>
          <w:sz w:val="24"/>
          <w:szCs w:val="24"/>
          <w:color w:val="auto"/>
        </w:rPr>
      </w:pPr>
    </w:p>
    <w:p>
      <w:pPr>
        <w:spacing w:after="0"/>
        <w:tabs>
          <w:tab w:leader="none" w:pos="11120" w:val="left"/>
        </w:tabs>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4"/>
          <w:szCs w:val="14"/>
          <w:color w:val="auto"/>
        </w:rPr>
        <w:t>o</w:t>
      </w:r>
    </w:p>
    <w:p>
      <w:pPr>
        <w:spacing w:after="0" w:line="210" w:lineRule="exact"/>
        <w:rPr>
          <w:sz w:val="24"/>
          <w:szCs w:val="24"/>
          <w:color w:val="auto"/>
        </w:rPr>
      </w:pPr>
    </w:p>
    <w:p>
      <w:pPr>
        <w:ind w:right="100"/>
        <w:spacing w:after="0" w:line="282"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51" w:lineRule="exact"/>
        <w:rPr>
          <w:sz w:val="24"/>
          <w:szCs w:val="24"/>
          <w:color w:val="auto"/>
        </w:rPr>
      </w:pPr>
    </w:p>
    <w:p>
      <w:pPr>
        <w:ind w:right="320"/>
        <w:spacing w:after="0" w:line="282" w:lineRule="auto"/>
        <w:rPr>
          <w:sz w:val="20"/>
          <w:szCs w:val="20"/>
          <w:color w:val="auto"/>
        </w:rPr>
      </w:pPr>
      <w:r>
        <w:rPr>
          <w:rFonts w:ascii="Arial" w:cs="Arial" w:eastAsia="Arial" w:hAnsi="Arial"/>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1" w:lineRule="exact"/>
        <w:rPr>
          <w:sz w:val="24"/>
          <w:szCs w:val="24"/>
          <w:color w:val="auto"/>
        </w:rPr>
      </w:pPr>
    </w:p>
    <w:p>
      <w:pPr>
        <w:ind w:right="300"/>
        <w:spacing w:after="0" w:line="282" w:lineRule="auto"/>
        <w:rPr>
          <w:sz w:val="20"/>
          <w:szCs w:val="20"/>
          <w:color w:val="auto"/>
        </w:rPr>
      </w:pPr>
      <w:r>
        <w:rPr>
          <w:rFonts w:ascii="Arial" w:cs="Arial" w:eastAsia="Arial" w:hAnsi="Arial"/>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51" w:lineRule="exact"/>
        <w:rPr>
          <w:sz w:val="24"/>
          <w:szCs w:val="24"/>
          <w:color w:val="auto"/>
        </w:rPr>
      </w:pPr>
    </w:p>
    <w:p>
      <w:pPr>
        <w:ind w:right="60"/>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607" w:right="219" w:bottom="0" w:gutter="0" w:footer="0" w:header="0"/>
        </w:sectPr>
      </w:pPr>
    </w:p>
    <w:bookmarkStart w:id="1" w:name="page2"/>
    <w:bookmarkEnd w:id="1"/>
    <w:p>
      <w:pPr>
        <w:ind w:left="660"/>
        <w:spacing w:after="0" w:line="173" w:lineRule="exact"/>
        <w:tabs>
          <w:tab w:leader="none" w:pos="3400" w:val="left"/>
          <w:tab w:leader="none" w:pos="5820" w:val="left"/>
          <w:tab w:leader="none" w:pos="8860" w:val="left"/>
        </w:tabs>
        <w:rPr>
          <w:sz w:val="20"/>
          <w:szCs w:val="20"/>
          <w:color w:val="auto"/>
        </w:rPr>
      </w:pPr>
      <w:r>
        <w:rPr>
          <w:rFonts w:ascii="Arial" w:cs="Arial" w:eastAsia="Arial" w:hAnsi="Arial"/>
          <w:sz w:val="15"/>
          <w:szCs w:val="15"/>
          <w:color w:val="auto"/>
        </w:rPr>
        <w:t>Large accelerated filer o</w:t>
      </w:r>
      <w:r>
        <w:rPr>
          <w:sz w:val="20"/>
          <w:szCs w:val="20"/>
          <w:color w:val="auto"/>
        </w:rPr>
        <w:tab/>
      </w:r>
      <w:r>
        <w:rPr>
          <w:rFonts w:ascii="Arial" w:cs="Arial" w:eastAsia="Arial" w:hAnsi="Arial"/>
          <w:sz w:val="15"/>
          <w:szCs w:val="15"/>
          <w:color w:val="auto"/>
        </w:rPr>
        <w:t>Accelerated filer o</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Smaller reporting company o</w:t>
      </w:r>
    </w:p>
    <w:p>
      <w:pPr>
        <w:spacing w:after="0" w:line="39" w:lineRule="exact"/>
        <w:rPr>
          <w:sz w:val="20"/>
          <w:szCs w:val="20"/>
          <w:color w:val="auto"/>
        </w:rPr>
      </w:pPr>
    </w:p>
    <w:p>
      <w:pPr>
        <w:jc w:val="center"/>
        <w:ind w:left="1700"/>
        <w:spacing w:after="0"/>
        <w:rPr>
          <w:sz w:val="20"/>
          <w:szCs w:val="20"/>
          <w:color w:val="auto"/>
        </w:rPr>
      </w:pPr>
      <w:r>
        <w:rPr>
          <w:rFonts w:ascii="Arial" w:cs="Arial" w:eastAsia="Arial" w:hAnsi="Arial"/>
          <w:sz w:val="12"/>
          <w:szCs w:val="12"/>
          <w:color w:val="auto"/>
        </w:rPr>
        <w:t>(Do not check if a</w:t>
      </w:r>
    </w:p>
    <w:p>
      <w:pPr>
        <w:jc w:val="center"/>
        <w:ind w:left="170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110490</wp:posOffset>
            </wp:positionV>
            <wp:extent cx="1831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13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2663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274320</wp:posOffset>
            </wp:positionV>
            <wp:extent cx="7266305" cy="29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292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419100</wp:posOffset>
            </wp:positionV>
            <wp:extent cx="727138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04" w:right="279" w:bottom="1440" w:gutter="0" w:footer="0" w:header="0"/>
        </w:sectPr>
      </w:pPr>
    </w:p>
    <w:bookmarkStart w:id="2" w:name="page3"/>
    <w:bookmarkEnd w:id="2"/>
    <w:p>
      <w:pPr>
        <w:jc w:val="both"/>
        <w:ind w:right="120"/>
        <w:spacing w:after="0" w:line="272" w:lineRule="auto"/>
        <w:rPr>
          <w:sz w:val="20"/>
          <w:szCs w:val="20"/>
          <w:color w:val="auto"/>
        </w:rPr>
      </w:pPr>
      <w:r>
        <w:rPr>
          <w:rFonts w:ascii="Arial" w:cs="Arial" w:eastAsia="Arial" w:hAnsi="Arial"/>
          <w:sz w:val="15"/>
          <w:szCs w:val="15"/>
          <w:b w:val="1"/>
          <w:bCs w:val="1"/>
          <w:color w:val="FF404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the offer or sale is not permitted.</w:t>
      </w:r>
    </w:p>
    <w:p>
      <w:pPr>
        <w:spacing w:after="0" w:line="215" w:lineRule="exact"/>
        <w:rPr>
          <w:sz w:val="20"/>
          <w:szCs w:val="20"/>
          <w:color w:val="auto"/>
        </w:rPr>
      </w:pPr>
    </w:p>
    <w:p>
      <w:pPr>
        <w:ind w:left="40"/>
        <w:spacing w:after="0"/>
        <w:tabs>
          <w:tab w:leader="none" w:pos="4900" w:val="left"/>
          <w:tab w:leader="none" w:pos="10760" w:val="left"/>
        </w:tabs>
        <w:rPr>
          <w:sz w:val="20"/>
          <w:szCs w:val="20"/>
          <w:color w:val="auto"/>
        </w:rPr>
      </w:pPr>
      <w:r>
        <w:rPr>
          <w:rFonts w:ascii="Arial" w:cs="Arial" w:eastAsia="Arial" w:hAnsi="Arial"/>
          <w:sz w:val="12"/>
          <w:szCs w:val="12"/>
          <w:color w:val="auto"/>
        </w:rPr>
        <w:t>PROSPECTUS</w:t>
      </w:r>
      <w:r>
        <w:rPr>
          <w:sz w:val="20"/>
          <w:szCs w:val="20"/>
          <w:color w:val="auto"/>
        </w:rPr>
        <w:tab/>
      </w:r>
      <w:r>
        <w:rPr>
          <w:rFonts w:ascii="Arial" w:cs="Arial" w:eastAsia="Arial" w:hAnsi="Arial"/>
          <w:sz w:val="12"/>
          <w:szCs w:val="12"/>
          <w:color w:val="FF4040"/>
        </w:rPr>
        <w:t>Preliminary, Subject to Completion</w:t>
      </w:r>
      <w:r>
        <w:rPr>
          <w:sz w:val="20"/>
          <w:szCs w:val="20"/>
          <w:color w:val="auto"/>
        </w:rPr>
        <w:tab/>
      </w:r>
      <w:r>
        <w:rPr>
          <w:rFonts w:ascii="Arial" w:cs="Arial" w:eastAsia="Arial" w:hAnsi="Arial"/>
          <w:sz w:val="10"/>
          <w:szCs w:val="10"/>
          <w:color w:val="FF4040"/>
        </w:rPr>
        <w:t>June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809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2515235" cy="624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523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809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6"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This is the initial public offering of our common stock. No public market for our common stock currently exists. We are offering all of the 4,250,000 shares of common stock offered by this prospectus. We expect the initial public offering price to be between $14.00 and $16.00 per share.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19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47" w:lineRule="exact"/>
        <w:rPr>
          <w:sz w:val="20"/>
          <w:szCs w:val="20"/>
          <w:color w:val="auto"/>
        </w:rPr>
      </w:pPr>
    </w:p>
    <w:p>
      <w:pPr>
        <w:ind w:right="340"/>
        <w:spacing w:after="0" w:line="287" w:lineRule="auto"/>
        <w:rPr>
          <w:sz w:val="20"/>
          <w:szCs w:val="20"/>
          <w:color w:val="auto"/>
        </w:rPr>
      </w:pPr>
      <w:r>
        <w:rPr>
          <w:rFonts w:ascii="Arial" w:cs="Arial" w:eastAsia="Arial" w:hAnsi="Arial"/>
          <w:sz w:val="15"/>
          <w:szCs w:val="15"/>
          <w:b w:val="1"/>
          <w:bCs w:val="1"/>
          <w:color w:val="auto"/>
        </w:rPr>
        <w:t>Investing in our common stock involves a high degree of risk. Before buying any shares, you should carefully read the discussion of material risks of investing in our common shares in "Risk Factors" beginning on page 15 of this prospectus.</w:t>
      </w:r>
    </w:p>
    <w:p>
      <w:pPr>
        <w:spacing w:after="0" w:line="143" w:lineRule="exact"/>
        <w:rPr>
          <w:sz w:val="20"/>
          <w:szCs w:val="20"/>
          <w:color w:val="auto"/>
        </w:rPr>
      </w:pPr>
    </w:p>
    <w:p>
      <w:pPr>
        <w:ind w:right="480"/>
        <w:spacing w:after="0" w:line="287"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has approved or disapproved of these securities or passed upon the accuracy or adequacy of this prospectus. Any representation to the contrary is a criminal offense.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Per share</w:t>
            </w:r>
          </w:p>
        </w:tc>
        <w:tc>
          <w:tcPr>
            <w:tcW w:w="10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Total</w:t>
            </w:r>
          </w:p>
        </w:tc>
      </w:tr>
      <w:tr>
        <w:trPr>
          <w:trHeight w:val="177"/>
        </w:trPr>
        <w:tc>
          <w:tcPr>
            <w:tcW w:w="20" w:type="dxa"/>
            <w:vAlign w:val="bottom"/>
            <w:tcBorders>
              <w:bottom w:val="single" w:sz="8" w:color="auto"/>
            </w:tcBorders>
          </w:tcPr>
          <w:p>
            <w:pPr>
              <w:spacing w:after="0"/>
              <w:rPr>
                <w:sz w:val="15"/>
                <w:szCs w:val="15"/>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Public offering price</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212"/>
        </w:trPr>
        <w:tc>
          <w:tcPr>
            <w:tcW w:w="4500" w:type="dxa"/>
            <w:vAlign w:val="bottom"/>
            <w:tcBorders>
              <w:bottom w:val="single" w:sz="8" w:color="auto"/>
            </w:tcBorders>
            <w:gridSpan w:val="2"/>
          </w:tcPr>
          <w:p>
            <w:pPr>
              <w:spacing w:after="0" w:line="212" w:lineRule="exact"/>
              <w:rPr>
                <w:sz w:val="20"/>
                <w:szCs w:val="20"/>
                <w:color w:val="auto"/>
              </w:rPr>
            </w:pPr>
            <w:r>
              <w:rPr>
                <w:rFonts w:ascii="Arial" w:cs="Arial" w:eastAsia="Arial" w:hAnsi="Arial"/>
                <w:sz w:val="15"/>
                <w:szCs w:val="15"/>
                <w:color w:val="auto"/>
              </w:rPr>
              <w:t>Underwriting discounts</w:t>
            </w:r>
            <w:r>
              <w:rPr>
                <w:rFonts w:ascii="Arial" w:cs="Arial" w:eastAsia="Arial" w:hAnsi="Arial"/>
                <w:sz w:val="24"/>
                <w:szCs w:val="24"/>
                <w:color w:val="auto"/>
                <w:vertAlign w:val="superscript"/>
              </w:rPr>
              <w:t>(1)</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r>
        <w:trPr>
          <w:trHeight w:val="17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Proceeds, before expenses, to us</w:t>
            </w:r>
          </w:p>
        </w:tc>
        <w:tc>
          <w:tcPr>
            <w:tcW w:w="3440" w:type="dxa"/>
            <w:vAlign w:val="bottom"/>
            <w:tcBorders>
              <w:bottom w:val="single" w:sz="8" w:color="auto"/>
            </w:tcBorders>
          </w:tcPr>
          <w:p>
            <w:pPr>
              <w:jc w:val="right"/>
              <w:ind w:right="729"/>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rPr>
              <w:t>$</w:t>
            </w:r>
          </w:p>
        </w:tc>
      </w:tr>
    </w:tbl>
    <w:p>
      <w:pPr>
        <w:spacing w:after="0" w:line="165" w:lineRule="exact"/>
        <w:rPr>
          <w:sz w:val="20"/>
          <w:szCs w:val="20"/>
          <w:color w:val="auto"/>
        </w:rPr>
      </w:pPr>
    </w:p>
    <w:p>
      <w:pPr>
        <w:ind w:left="1600" w:hanging="463"/>
        <w:spacing w:after="0"/>
        <w:tabs>
          <w:tab w:leader="none" w:pos="160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refer you to "Underwriting" beginning on page 218 for additional information regarding total underwriting compensation.</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67"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The underwriters may also purchase up to an additional 637,500 shares of common stock from us at the public offering price, less the underwriting discounts payable by us, to cover over-allotments, if any, within 30 days from the date of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gridSpan w:val="2"/>
          </w:tcPr>
          <w:p>
            <w:pPr>
              <w:spacing w:after="0"/>
              <w:rPr>
                <w:sz w:val="20"/>
                <w:szCs w:val="20"/>
                <w:color w:val="auto"/>
              </w:rPr>
            </w:pPr>
            <w:r>
              <w:rPr>
                <w:rFonts w:ascii="Arial" w:cs="Arial" w:eastAsia="Arial" w:hAnsi="Arial"/>
                <w:sz w:val="15"/>
                <w:szCs w:val="15"/>
                <w:color w:val="auto"/>
                <w:w w:val="99"/>
              </w:rPr>
              <w:t>The underwriters expect to deliver the shares of common stock to investors on or about</w:t>
            </w:r>
          </w:p>
        </w:tc>
        <w:tc>
          <w:tcPr>
            <w:tcW w:w="1440" w:type="dxa"/>
            <w:vAlign w:val="bottom"/>
          </w:tcPr>
          <w:p>
            <w:pPr>
              <w:jc w:val="right"/>
              <w:ind w:right="445"/>
              <w:spacing w:after="0"/>
              <w:rPr>
                <w:sz w:val="20"/>
                <w:szCs w:val="20"/>
                <w:color w:val="auto"/>
              </w:rPr>
            </w:pPr>
            <w:r>
              <w:rPr>
                <w:rFonts w:ascii="Arial" w:cs="Arial" w:eastAsia="Arial" w:hAnsi="Arial"/>
                <w:sz w:val="15"/>
                <w:szCs w:val="15"/>
                <w:color w:val="auto"/>
              </w:rPr>
              <w:t>, 2016.</w:t>
            </w:r>
          </w:p>
        </w:tc>
        <w:tc>
          <w:tcPr>
            <w:tcW w:w="4240" w:type="dxa"/>
            <w:vAlign w:val="bottom"/>
          </w:tcPr>
          <w:p>
            <w:pPr>
              <w:spacing w:after="0"/>
              <w:rPr>
                <w:sz w:val="16"/>
                <w:szCs w:val="16"/>
                <w:color w:val="auto"/>
              </w:rPr>
            </w:pPr>
          </w:p>
        </w:tc>
      </w:tr>
      <w:tr>
        <w:trPr>
          <w:trHeight w:val="562"/>
        </w:trPr>
        <w:tc>
          <w:tcPr>
            <w:tcW w:w="5760" w:type="dxa"/>
            <w:vAlign w:val="bottom"/>
            <w:gridSpan w:val="2"/>
          </w:tcPr>
          <w:p>
            <w:pPr>
              <w:jc w:val="center"/>
              <w:ind w:right="280"/>
              <w:spacing w:after="0"/>
              <w:rPr>
                <w:sz w:val="20"/>
                <w:szCs w:val="20"/>
                <w:color w:val="auto"/>
              </w:rPr>
            </w:pPr>
            <w:r>
              <w:rPr>
                <w:rFonts w:ascii="Arial" w:cs="Arial" w:eastAsia="Arial" w:hAnsi="Arial"/>
                <w:sz w:val="21"/>
                <w:szCs w:val="21"/>
                <w:b w:val="1"/>
                <w:bCs w:val="1"/>
                <w:color w:val="auto"/>
                <w:w w:val="98"/>
              </w:rPr>
              <w:t>UBS Investment Bank</w:t>
            </w:r>
          </w:p>
        </w:tc>
        <w:tc>
          <w:tcPr>
            <w:tcW w:w="1440" w:type="dxa"/>
            <w:vAlign w:val="bottom"/>
          </w:tcPr>
          <w:p>
            <w:pPr>
              <w:spacing w:after="0"/>
              <w:rPr>
                <w:sz w:val="24"/>
                <w:szCs w:val="24"/>
                <w:color w:val="auto"/>
              </w:rPr>
            </w:pPr>
          </w:p>
        </w:tc>
        <w:tc>
          <w:tcPr>
            <w:tcW w:w="4240" w:type="dxa"/>
            <w:vAlign w:val="bottom"/>
          </w:tcPr>
          <w:p>
            <w:pPr>
              <w:jc w:val="center"/>
              <w:ind w:right="1216"/>
              <w:spacing w:after="0"/>
              <w:rPr>
                <w:sz w:val="20"/>
                <w:szCs w:val="20"/>
                <w:color w:val="auto"/>
              </w:rPr>
            </w:pPr>
            <w:r>
              <w:rPr>
                <w:rFonts w:ascii="Arial" w:cs="Arial" w:eastAsia="Arial" w:hAnsi="Arial"/>
                <w:sz w:val="21"/>
                <w:szCs w:val="21"/>
                <w:b w:val="1"/>
                <w:bCs w:val="1"/>
                <w:color w:val="auto"/>
              </w:rPr>
              <w:t>Stifel</w:t>
            </w:r>
          </w:p>
        </w:tc>
      </w:tr>
      <w:tr>
        <w:trPr>
          <w:trHeight w:val="181"/>
        </w:trPr>
        <w:tc>
          <w:tcPr>
            <w:tcW w:w="42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240" w:type="dxa"/>
            <w:vAlign w:val="bottom"/>
          </w:tcPr>
          <w:p>
            <w:pPr>
              <w:spacing w:after="0"/>
              <w:rPr>
                <w:sz w:val="15"/>
                <w:szCs w:val="15"/>
                <w:color w:val="auto"/>
              </w:rPr>
            </w:pPr>
          </w:p>
        </w:tc>
      </w:tr>
      <w:tr>
        <w:trPr>
          <w:trHeight w:val="702"/>
        </w:trPr>
        <w:tc>
          <w:tcPr>
            <w:tcW w:w="5760" w:type="dxa"/>
            <w:vAlign w:val="bottom"/>
            <w:gridSpan w:val="2"/>
          </w:tcPr>
          <w:p>
            <w:pPr>
              <w:jc w:val="center"/>
              <w:ind w:right="280"/>
              <w:spacing w:after="0"/>
              <w:rPr>
                <w:sz w:val="20"/>
                <w:szCs w:val="20"/>
                <w:color w:val="auto"/>
              </w:rPr>
            </w:pPr>
            <w:r>
              <w:rPr>
                <w:rFonts w:ascii="Arial" w:cs="Arial" w:eastAsia="Arial" w:hAnsi="Arial"/>
                <w:sz w:val="21"/>
                <w:szCs w:val="21"/>
                <w:b w:val="1"/>
                <w:bCs w:val="1"/>
                <w:color w:val="auto"/>
                <w:w w:val="99"/>
              </w:rPr>
              <w:t>Canaccord Genuity</w:t>
            </w:r>
          </w:p>
        </w:tc>
        <w:tc>
          <w:tcPr>
            <w:tcW w:w="1440" w:type="dxa"/>
            <w:vAlign w:val="bottom"/>
          </w:tcPr>
          <w:p>
            <w:pPr>
              <w:spacing w:after="0"/>
              <w:rPr>
                <w:sz w:val="24"/>
                <w:szCs w:val="24"/>
                <w:color w:val="auto"/>
              </w:rPr>
            </w:pPr>
          </w:p>
        </w:tc>
        <w:tc>
          <w:tcPr>
            <w:tcW w:w="4240" w:type="dxa"/>
            <w:vAlign w:val="bottom"/>
          </w:tcPr>
          <w:p>
            <w:pPr>
              <w:jc w:val="center"/>
              <w:ind w:right="1156"/>
              <w:spacing w:after="0"/>
              <w:rPr>
                <w:sz w:val="20"/>
                <w:szCs w:val="20"/>
                <w:color w:val="auto"/>
              </w:rPr>
            </w:pPr>
            <w:r>
              <w:rPr>
                <w:rFonts w:ascii="Arial" w:cs="Arial" w:eastAsia="Arial" w:hAnsi="Arial"/>
                <w:sz w:val="21"/>
                <w:szCs w:val="21"/>
                <w:b w:val="1"/>
                <w:bCs w:val="1"/>
                <w:color w:val="auto"/>
                <w:w w:val="98"/>
              </w:rPr>
              <w:t>Needham &amp; Company</w:t>
            </w:r>
          </w:p>
        </w:tc>
      </w:tr>
      <w:tr>
        <w:trPr>
          <w:trHeight w:val="96"/>
        </w:trPr>
        <w:tc>
          <w:tcPr>
            <w:tcW w:w="42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6687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1385" cy="66878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6060" w:type="dxa"/>
            <w:vAlign w:val="bottom"/>
            <w:gridSpan w:val="24"/>
            <w:vMerge w:val="restart"/>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2500" w:type="dxa"/>
            <w:vAlign w:val="bottom"/>
          </w:tcPr>
          <w:p>
            <w:pPr>
              <w:spacing w:after="0"/>
              <w:rPr>
                <w:sz w:val="12"/>
                <w:szCs w:val="12"/>
                <w:color w:val="auto"/>
              </w:rPr>
            </w:pPr>
          </w:p>
        </w:tc>
        <w:tc>
          <w:tcPr>
            <w:tcW w:w="460" w:type="dxa"/>
            <w:vAlign w:val="bottom"/>
            <w:gridSpan w:val="5"/>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6060" w:type="dxa"/>
            <w:vAlign w:val="bottom"/>
            <w:gridSpan w:val="24"/>
            <w:vMerge w:val="continue"/>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gridSpan w:val="4"/>
          </w:tcPr>
          <w:p>
            <w:pPr>
              <w:jc w:val="right"/>
              <w:spacing w:after="0" w:line="131" w:lineRule="exact"/>
              <w:rPr>
                <w:rFonts w:ascii="Arial" w:cs="Arial" w:eastAsia="Arial" w:hAnsi="Arial"/>
                <w:sz w:val="15"/>
                <w:szCs w:val="15"/>
                <w:b w:val="1"/>
                <w:bCs w:val="1"/>
                <w:color w:val="0000EE"/>
              </w:rPr>
            </w:pPr>
            <w:hyperlink w:anchor="page6">
              <w:r>
                <w:rPr>
                  <w:rFonts w:ascii="Arial" w:cs="Arial" w:eastAsia="Arial" w:hAnsi="Arial"/>
                  <w:sz w:val="15"/>
                  <w:szCs w:val="15"/>
                  <w:b w:val="1"/>
                  <w:bCs w:val="1"/>
                  <w:color w:val="0000EE"/>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0000EE"/>
            </w:tcBorders>
            <w:gridSpan w:val="9"/>
            <w:vMerge w:val="restart"/>
          </w:tcPr>
          <w:p>
            <w:pPr>
              <w:spacing w:after="0" w:line="154" w:lineRule="exact"/>
              <w:rPr>
                <w:rFonts w:ascii="Arial" w:cs="Arial" w:eastAsia="Arial" w:hAnsi="Arial"/>
                <w:sz w:val="15"/>
                <w:szCs w:val="15"/>
                <w:color w:val="0000EE"/>
              </w:rPr>
            </w:pPr>
            <w:hyperlink w:anchor="page20">
              <w:r>
                <w:rPr>
                  <w:rFonts w:ascii="Arial" w:cs="Arial" w:eastAsia="Arial" w:hAnsi="Arial"/>
                  <w:sz w:val="15"/>
                  <w:szCs w:val="15"/>
                  <w:color w:val="0000EE"/>
                </w:rPr>
                <w:t>Risk factors</w:t>
              </w:r>
            </w:hyperlink>
          </w:p>
        </w:tc>
        <w:tc>
          <w:tcPr>
            <w:tcW w:w="4820" w:type="dxa"/>
            <w:vAlign w:val="bottom"/>
            <w:gridSpan w:val="15"/>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40" w:type="dxa"/>
            <w:vAlign w:val="bottom"/>
            <w:gridSpan w:val="9"/>
            <w:vMerge w:val="continue"/>
          </w:tcPr>
          <w:p>
            <w:pPr>
              <w:spacing w:after="0"/>
              <w:rPr>
                <w:sz w:val="12"/>
                <w:szCs w:val="12"/>
                <w:color w:val="auto"/>
              </w:rPr>
            </w:pPr>
          </w:p>
        </w:tc>
        <w:tc>
          <w:tcPr>
            <w:tcW w:w="4820" w:type="dxa"/>
            <w:vAlign w:val="bottom"/>
            <w:gridSpan w:val="15"/>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
              <w:r>
                <w:rPr>
                  <w:rFonts w:ascii="Arial" w:cs="Arial" w:eastAsia="Arial" w:hAnsi="Arial"/>
                  <w:sz w:val="15"/>
                  <w:szCs w:val="15"/>
                  <w:b w:val="1"/>
                  <w:bCs w:val="1"/>
                  <w:color w:val="0000EE"/>
                </w:rPr>
                <w:t>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60" w:type="dxa"/>
            <w:vAlign w:val="bottom"/>
            <w:tcBorders>
              <w:bottom w:val="single" w:sz="8" w:color="0000EE"/>
            </w:tcBorders>
            <w:gridSpan w:val="19"/>
          </w:tcPr>
          <w:p>
            <w:pPr>
              <w:spacing w:after="0" w:line="134" w:lineRule="exact"/>
              <w:rPr>
                <w:rFonts w:ascii="Arial" w:cs="Arial" w:eastAsia="Arial" w:hAnsi="Arial"/>
                <w:sz w:val="15"/>
                <w:szCs w:val="15"/>
                <w:color w:val="0000EE"/>
                <w:w w:val="90"/>
              </w:rPr>
            </w:pPr>
            <w:hyperlink w:anchor="page72">
              <w:r>
                <w:rPr>
                  <w:rFonts w:ascii="Arial" w:cs="Arial" w:eastAsia="Arial" w:hAnsi="Arial"/>
                  <w:sz w:val="15"/>
                  <w:szCs w:val="15"/>
                  <w:color w:val="0000EE"/>
                  <w:w w:val="90"/>
                </w:rPr>
                <w:t>Special note regarding forward-looking statements</w:t>
              </w:r>
            </w:hyperlink>
          </w:p>
        </w:tc>
        <w:tc>
          <w:tcPr>
            <w:tcW w:w="3000" w:type="dxa"/>
            <w:vAlign w:val="bottom"/>
            <w:gridSpan w:val="5"/>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2">
              <w:r>
                <w:rPr>
                  <w:rFonts w:ascii="Arial" w:cs="Arial" w:eastAsia="Arial" w:hAnsi="Arial"/>
                  <w:sz w:val="15"/>
                  <w:szCs w:val="15"/>
                  <w:b w:val="1"/>
                  <w:bCs w:val="1"/>
                  <w:color w:val="0000EE"/>
                  <w:w w:val="83"/>
                </w:rPr>
                <w:t>67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Borders>
              <w:bottom w:val="single" w:sz="8" w:color="0000EE"/>
            </w:tcBorders>
            <w:gridSpan w:val="11"/>
          </w:tcPr>
          <w:p>
            <w:pPr>
              <w:spacing w:after="0" w:line="134" w:lineRule="exact"/>
              <w:rPr>
                <w:rFonts w:ascii="Arial" w:cs="Arial" w:eastAsia="Arial" w:hAnsi="Arial"/>
                <w:sz w:val="15"/>
                <w:szCs w:val="15"/>
                <w:color w:val="0000EE"/>
                <w:w w:val="89"/>
              </w:rPr>
            </w:pPr>
            <w:hyperlink w:anchor="page73">
              <w:r>
                <w:rPr>
                  <w:rFonts w:ascii="Arial" w:cs="Arial" w:eastAsia="Arial" w:hAnsi="Arial"/>
                  <w:sz w:val="15"/>
                  <w:szCs w:val="15"/>
                  <w:color w:val="0000EE"/>
                  <w:w w:val="89"/>
                </w:rPr>
                <w:t>Industry and other data</w:t>
              </w:r>
            </w:hyperlink>
          </w:p>
        </w:tc>
        <w:tc>
          <w:tcPr>
            <w:tcW w:w="4660" w:type="dxa"/>
            <w:vAlign w:val="bottom"/>
            <w:gridSpan w:val="13"/>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3">
              <w:r>
                <w:rPr>
                  <w:rFonts w:ascii="Arial" w:cs="Arial" w:eastAsia="Arial" w:hAnsi="Arial"/>
                  <w:sz w:val="15"/>
                  <w:szCs w:val="15"/>
                  <w:b w:val="1"/>
                  <w:bCs w:val="1"/>
                  <w:color w:val="0000EE"/>
                  <w:w w:val="83"/>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00" w:type="dxa"/>
            <w:vAlign w:val="bottom"/>
            <w:tcBorders>
              <w:bottom w:val="single" w:sz="8" w:color="0000EE"/>
            </w:tcBorders>
            <w:gridSpan w:val="18"/>
          </w:tcPr>
          <w:p>
            <w:pPr>
              <w:spacing w:after="0" w:line="134" w:lineRule="exact"/>
              <w:rPr>
                <w:rFonts w:ascii="Arial" w:cs="Arial" w:eastAsia="Arial" w:hAnsi="Arial"/>
                <w:sz w:val="15"/>
                <w:szCs w:val="15"/>
                <w:color w:val="0000EE"/>
                <w:w w:val="87"/>
              </w:rPr>
            </w:pPr>
            <w:hyperlink w:anchor="page73">
              <w:r>
                <w:rPr>
                  <w:rFonts w:ascii="Arial" w:cs="Arial" w:eastAsia="Arial" w:hAnsi="Arial"/>
                  <w:sz w:val="15"/>
                  <w:szCs w:val="15"/>
                  <w:color w:val="0000EE"/>
                  <w:w w:val="87"/>
                </w:rPr>
                <w:t>Trademarks, service marks and tradenames</w:t>
              </w:r>
            </w:hyperlink>
          </w:p>
        </w:tc>
        <w:tc>
          <w:tcPr>
            <w:tcW w:w="3460" w:type="dxa"/>
            <w:vAlign w:val="bottom"/>
            <w:gridSpan w:val="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3">
              <w:r>
                <w:rPr>
                  <w:rFonts w:ascii="Arial" w:cs="Arial" w:eastAsia="Arial" w:hAnsi="Arial"/>
                  <w:sz w:val="15"/>
                  <w:szCs w:val="15"/>
                  <w:b w:val="1"/>
                  <w:bCs w:val="1"/>
                  <w:color w:val="0000EE"/>
                  <w:w w:val="83"/>
                </w:rPr>
                <w:t>68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74">
              <w:r>
                <w:rPr>
                  <w:rFonts w:ascii="Arial" w:cs="Arial" w:eastAsia="Arial" w:hAnsi="Arial"/>
                  <w:sz w:val="15"/>
                  <w:szCs w:val="15"/>
                  <w:color w:val="0000EE"/>
                </w:rPr>
                <w:t>Use of proceeds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4">
              <w:r>
                <w:rPr>
                  <w:rFonts w:ascii="Arial" w:cs="Arial" w:eastAsia="Arial" w:hAnsi="Arial"/>
                  <w:sz w:val="15"/>
                  <w:szCs w:val="15"/>
                  <w:b w:val="1"/>
                  <w:bCs w:val="1"/>
                  <w:color w:val="0000EE"/>
                </w:rPr>
                <w:t>69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80" w:type="dxa"/>
            <w:vAlign w:val="bottom"/>
            <w:tcBorders>
              <w:bottom w:val="single" w:sz="8" w:color="0000EE"/>
            </w:tcBorders>
            <w:gridSpan w:val="8"/>
          </w:tcPr>
          <w:p>
            <w:pPr>
              <w:spacing w:after="0" w:line="134" w:lineRule="exact"/>
              <w:rPr>
                <w:rFonts w:ascii="Arial" w:cs="Arial" w:eastAsia="Arial" w:hAnsi="Arial"/>
                <w:sz w:val="15"/>
                <w:szCs w:val="15"/>
                <w:color w:val="0000EE"/>
                <w:w w:val="95"/>
              </w:rPr>
            </w:pPr>
            <w:hyperlink w:anchor="page75">
              <w:r>
                <w:rPr>
                  <w:rFonts w:ascii="Arial" w:cs="Arial" w:eastAsia="Arial" w:hAnsi="Arial"/>
                  <w:sz w:val="15"/>
                  <w:szCs w:val="15"/>
                  <w:color w:val="0000EE"/>
                  <w:w w:val="95"/>
                </w:rPr>
                <w:t>Dividend policy</w:t>
              </w:r>
            </w:hyperlink>
          </w:p>
        </w:tc>
        <w:tc>
          <w:tcPr>
            <w:tcW w:w="5080" w:type="dxa"/>
            <w:vAlign w:val="bottom"/>
            <w:gridSpan w:val="16"/>
          </w:tcPr>
          <w:p>
            <w:pPr>
              <w:spacing w:after="0"/>
              <w:rPr>
                <w:sz w:val="14"/>
                <w:szCs w:val="14"/>
                <w:color w:val="auto"/>
              </w:rPr>
            </w:pPr>
          </w:p>
        </w:tc>
        <w:tc>
          <w:tcPr>
            <w:tcW w:w="2780" w:type="dxa"/>
            <w:vAlign w:val="bottom"/>
            <w:gridSpan w:val="3"/>
          </w:tcPr>
          <w:p>
            <w:pPr>
              <w:spacing w:after="0"/>
              <w:rPr>
                <w:sz w:val="14"/>
                <w:szCs w:val="14"/>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5">
              <w:r>
                <w:rPr>
                  <w:rFonts w:ascii="Arial" w:cs="Arial" w:eastAsia="Arial" w:hAnsi="Arial"/>
                  <w:sz w:val="15"/>
                  <w:szCs w:val="15"/>
                  <w:b w:val="1"/>
                  <w:bCs w:val="1"/>
                  <w:color w:val="0000EE"/>
                  <w:w w:val="83"/>
                </w:rPr>
                <w:t>70</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60" w:type="dxa"/>
            <w:vAlign w:val="bottom"/>
            <w:gridSpan w:val="24"/>
          </w:tcPr>
          <w:p>
            <w:pPr>
              <w:spacing w:after="0" w:line="134" w:lineRule="exact"/>
              <w:rPr>
                <w:rFonts w:ascii="Arial" w:cs="Arial" w:eastAsia="Arial" w:hAnsi="Arial"/>
                <w:sz w:val="15"/>
                <w:szCs w:val="15"/>
                <w:color w:val="0000EE"/>
              </w:rPr>
            </w:pPr>
            <w:hyperlink w:anchor="page76">
              <w:r>
                <w:rPr>
                  <w:rFonts w:ascii="Arial" w:cs="Arial" w:eastAsia="Arial" w:hAnsi="Arial"/>
                  <w:sz w:val="15"/>
                  <w:szCs w:val="15"/>
                  <w:color w:val="0000EE"/>
                </w:rPr>
                <w:t>Capitalization</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76">
              <w:r>
                <w:rPr>
                  <w:rFonts w:ascii="Arial" w:cs="Arial" w:eastAsia="Arial" w:hAnsi="Arial"/>
                  <w:sz w:val="15"/>
                  <w:szCs w:val="15"/>
                  <w:b w:val="1"/>
                  <w:bCs w:val="1"/>
                  <w:color w:val="0000EE"/>
                </w:rPr>
                <w:t>71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40" w:type="dxa"/>
            <w:vAlign w:val="bottom"/>
            <w:tcBorders>
              <w:top w:val="single" w:sz="8" w:color="0000EE"/>
            </w:tcBorders>
            <w:gridSpan w:val="6"/>
          </w:tcPr>
          <w:p>
            <w:pPr>
              <w:spacing w:after="0" w:line="134" w:lineRule="exact"/>
              <w:rPr>
                <w:rFonts w:ascii="Arial" w:cs="Arial" w:eastAsia="Arial" w:hAnsi="Arial"/>
                <w:sz w:val="15"/>
                <w:szCs w:val="15"/>
                <w:color w:val="0000EE"/>
              </w:rPr>
            </w:pPr>
            <w:hyperlink w:anchor="page79">
              <w:r>
                <w:rPr>
                  <w:rFonts w:ascii="Arial" w:cs="Arial" w:eastAsia="Arial" w:hAnsi="Arial"/>
                  <w:sz w:val="15"/>
                  <w:szCs w:val="15"/>
                  <w:color w:val="0000EE"/>
                </w:rPr>
                <w:t>Dilution</w:t>
              </w:r>
            </w:hyperlink>
          </w:p>
        </w:tc>
        <w:tc>
          <w:tcPr>
            <w:tcW w:w="5220" w:type="dxa"/>
            <w:vAlign w:val="bottom"/>
            <w:gridSpan w:val="18"/>
          </w:tcPr>
          <w:p>
            <w:pPr>
              <w:spacing w:after="0"/>
              <w:rPr>
                <w:sz w:val="12"/>
                <w:szCs w:val="12"/>
                <w:color w:val="auto"/>
              </w:rPr>
            </w:pPr>
          </w:p>
        </w:tc>
        <w:tc>
          <w:tcPr>
            <w:tcW w:w="2780" w:type="dxa"/>
            <w:vAlign w:val="bottom"/>
            <w:gridSpan w:val="3"/>
          </w:tcPr>
          <w:p>
            <w:pPr>
              <w:spacing w:after="0"/>
              <w:rPr>
                <w:sz w:val="12"/>
                <w:szCs w:val="12"/>
                <w:color w:val="auto"/>
              </w:rPr>
            </w:pPr>
          </w:p>
        </w:tc>
        <w:tc>
          <w:tcPr>
            <w:tcW w:w="160" w:type="dxa"/>
            <w:vAlign w:val="bottom"/>
            <w:tcBorders>
              <w:top w:val="single" w:sz="8" w:color="0000EE"/>
            </w:tcBorders>
            <w:gridSpan w:val="2"/>
          </w:tcPr>
          <w:p>
            <w:pPr>
              <w:jc w:val="right"/>
              <w:spacing w:after="0" w:line="142" w:lineRule="exact"/>
              <w:rPr>
                <w:rFonts w:ascii="Arial" w:cs="Arial" w:eastAsia="Arial" w:hAnsi="Arial"/>
                <w:sz w:val="15"/>
                <w:szCs w:val="15"/>
                <w:b w:val="1"/>
                <w:bCs w:val="1"/>
                <w:color w:val="0000EE"/>
                <w:w w:val="83"/>
              </w:rPr>
            </w:pPr>
            <w:hyperlink w:anchor="page79">
              <w:r>
                <w:rPr>
                  <w:rFonts w:ascii="Arial" w:cs="Arial" w:eastAsia="Arial" w:hAnsi="Arial"/>
                  <w:sz w:val="15"/>
                  <w:szCs w:val="15"/>
                  <w:b w:val="1"/>
                  <w:bCs w:val="1"/>
                  <w:color w:val="0000EE"/>
                  <w:w w:val="83"/>
                </w:rPr>
                <w:t>74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83">
              <w:r>
                <w:rPr>
                  <w:rFonts w:ascii="Arial" w:cs="Arial" w:eastAsia="Arial" w:hAnsi="Arial"/>
                  <w:sz w:val="15"/>
                  <w:szCs w:val="15"/>
                  <w:color w:val="0000EE"/>
                </w:rPr>
                <w:t>Selected consolidated financial data</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3">
              <w:r>
                <w:rPr>
                  <w:rFonts w:ascii="Arial" w:cs="Arial" w:eastAsia="Arial" w:hAnsi="Arial"/>
                  <w:sz w:val="15"/>
                  <w:szCs w:val="15"/>
                  <w:b w:val="1"/>
                  <w:bCs w:val="1"/>
                  <w:color w:val="0000EE"/>
                </w:rPr>
                <w:t>78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tcPr>
          <w:p>
            <w:pPr>
              <w:spacing w:after="0" w:line="134" w:lineRule="exact"/>
              <w:rPr>
                <w:rFonts w:ascii="Arial" w:cs="Arial" w:eastAsia="Arial" w:hAnsi="Arial"/>
                <w:sz w:val="15"/>
                <w:szCs w:val="15"/>
                <w:color w:val="0000EE"/>
              </w:rPr>
            </w:pPr>
            <w:hyperlink w:anchor="page86">
              <w:r>
                <w:rPr>
                  <w:rFonts w:ascii="Arial" w:cs="Arial" w:eastAsia="Arial" w:hAnsi="Arial"/>
                  <w:sz w:val="15"/>
                  <w:szCs w:val="15"/>
                  <w:color w:val="0000EE"/>
                </w:rPr>
                <w:t>Management's discussion and analysis of financial condition and results of operations</w:t>
              </w:r>
            </w:hyperlink>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86">
              <w:r>
                <w:rPr>
                  <w:rFonts w:ascii="Arial" w:cs="Arial" w:eastAsia="Arial" w:hAnsi="Arial"/>
                  <w:sz w:val="15"/>
                  <w:szCs w:val="15"/>
                  <w:b w:val="1"/>
                  <w:bCs w:val="1"/>
                  <w:color w:val="0000EE"/>
                </w:rPr>
                <w:t>81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0000EE"/>
            </w:tcBorders>
            <w:gridSpan w:val="2"/>
            <w:vMerge w:val="restart"/>
          </w:tcPr>
          <w:p>
            <w:pPr>
              <w:spacing w:after="0" w:line="154" w:lineRule="exact"/>
              <w:rPr>
                <w:rFonts w:ascii="Arial" w:cs="Arial" w:eastAsia="Arial" w:hAnsi="Arial"/>
                <w:sz w:val="15"/>
                <w:szCs w:val="15"/>
                <w:color w:val="0000EE"/>
                <w:w w:val="85"/>
              </w:rPr>
            </w:pPr>
            <w:hyperlink w:anchor="page108">
              <w:r>
                <w:rPr>
                  <w:rFonts w:ascii="Arial" w:cs="Arial" w:eastAsia="Arial" w:hAnsi="Arial"/>
                  <w:sz w:val="15"/>
                  <w:szCs w:val="15"/>
                  <w:color w:val="0000EE"/>
                  <w:w w:val="85"/>
                </w:rPr>
                <w:t>Business</w:t>
              </w:r>
            </w:hyperlink>
          </w:p>
        </w:tc>
        <w:tc>
          <w:tcPr>
            <w:tcW w:w="4620" w:type="dxa"/>
            <w:vAlign w:val="bottom"/>
            <w:tcBorders>
              <w:top w:val="single" w:sz="8" w:color="0000EE"/>
            </w:tcBorders>
            <w:gridSpan w:val="21"/>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0" w:type="dxa"/>
            <w:vAlign w:val="bottom"/>
            <w:tcBorders>
              <w:bottom w:val="single" w:sz="8" w:color="0000EE"/>
            </w:tcBorders>
            <w:gridSpan w:val="2"/>
            <w:vMerge w:val="continue"/>
          </w:tcPr>
          <w:p>
            <w:pPr>
              <w:spacing w:after="0"/>
              <w:rPr>
                <w:sz w:val="12"/>
                <w:szCs w:val="12"/>
                <w:color w:val="auto"/>
              </w:rPr>
            </w:pPr>
          </w:p>
        </w:tc>
        <w:tc>
          <w:tcPr>
            <w:tcW w:w="4620" w:type="dxa"/>
            <w:vAlign w:val="bottom"/>
            <w:gridSpan w:val="21"/>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08">
              <w:r>
                <w:rPr>
                  <w:rFonts w:ascii="Arial" w:cs="Arial" w:eastAsia="Arial" w:hAnsi="Arial"/>
                  <w:sz w:val="15"/>
                  <w:szCs w:val="15"/>
                  <w:b w:val="1"/>
                  <w:bCs w:val="1"/>
                  <w:color w:val="0000EE"/>
                </w:rPr>
                <w:t>103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179">
              <w:r>
                <w:rPr>
                  <w:rFonts w:ascii="Arial" w:cs="Arial" w:eastAsia="Arial" w:hAnsi="Arial"/>
                  <w:sz w:val="15"/>
                  <w:szCs w:val="15"/>
                  <w:color w:val="0000EE"/>
                </w:rPr>
                <w:t>Management</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79">
              <w:r>
                <w:rPr>
                  <w:rFonts w:ascii="Arial" w:cs="Arial" w:eastAsia="Arial" w:hAnsi="Arial"/>
                  <w:sz w:val="15"/>
                  <w:szCs w:val="15"/>
                  <w:b w:val="1"/>
                  <w:bCs w:val="1"/>
                  <w:color w:val="0000EE"/>
                </w:rPr>
                <w:t>174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40" w:type="dxa"/>
            <w:vAlign w:val="bottom"/>
            <w:tcBorders>
              <w:bottom w:val="single" w:sz="8" w:color="0000EE"/>
            </w:tcBorders>
            <w:gridSpan w:val="16"/>
          </w:tcPr>
          <w:p>
            <w:pPr>
              <w:spacing w:after="0" w:line="134" w:lineRule="exact"/>
              <w:rPr>
                <w:rFonts w:ascii="Arial" w:cs="Arial" w:eastAsia="Arial" w:hAnsi="Arial"/>
                <w:sz w:val="15"/>
                <w:szCs w:val="15"/>
                <w:color w:val="0000EE"/>
                <w:w w:val="90"/>
              </w:rPr>
            </w:pPr>
            <w:hyperlink w:anchor="page189">
              <w:r>
                <w:rPr>
                  <w:rFonts w:ascii="Arial" w:cs="Arial" w:eastAsia="Arial" w:hAnsi="Arial"/>
                  <w:sz w:val="15"/>
                  <w:szCs w:val="15"/>
                  <w:color w:val="0000EE"/>
                  <w:w w:val="90"/>
                </w:rPr>
                <w:t>Executive and director compensation</w:t>
              </w:r>
            </w:hyperlink>
          </w:p>
        </w:tc>
        <w:tc>
          <w:tcPr>
            <w:tcW w:w="3820" w:type="dxa"/>
            <w:vAlign w:val="bottom"/>
            <w:gridSpan w:val="8"/>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189">
              <w:r>
                <w:rPr>
                  <w:rFonts w:ascii="Arial" w:cs="Arial" w:eastAsia="Arial" w:hAnsi="Arial"/>
                  <w:sz w:val="15"/>
                  <w:szCs w:val="15"/>
                  <w:b w:val="1"/>
                  <w:bCs w:val="1"/>
                  <w:color w:val="0000EE"/>
                </w:rPr>
                <w:t>184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03">
              <w:r>
                <w:rPr>
                  <w:rFonts w:ascii="Arial" w:cs="Arial" w:eastAsia="Arial" w:hAnsi="Arial"/>
                  <w:sz w:val="15"/>
                  <w:szCs w:val="15"/>
                  <w:color w:val="0000EE"/>
                </w:rPr>
                <w:t>Certain relationships and related person transactions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3">
              <w:r>
                <w:rPr>
                  <w:rFonts w:ascii="Arial" w:cs="Arial" w:eastAsia="Arial" w:hAnsi="Arial"/>
                  <w:sz w:val="15"/>
                  <w:szCs w:val="15"/>
                  <w:b w:val="1"/>
                  <w:bCs w:val="1"/>
                  <w:color w:val="0000EE"/>
                </w:rPr>
                <w:t>198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0000EE"/>
            </w:tcBorders>
            <w:gridSpan w:val="21"/>
            <w:vMerge w:val="restart"/>
          </w:tcPr>
          <w:p>
            <w:pPr>
              <w:spacing w:after="0" w:line="154" w:lineRule="exact"/>
              <w:rPr>
                <w:rFonts w:ascii="Arial" w:cs="Arial" w:eastAsia="Arial" w:hAnsi="Arial"/>
                <w:sz w:val="15"/>
                <w:szCs w:val="15"/>
                <w:color w:val="0000EE"/>
              </w:rPr>
            </w:pPr>
            <w:hyperlink w:anchor="page207">
              <w:r>
                <w:rPr>
                  <w:rFonts w:ascii="Arial" w:cs="Arial" w:eastAsia="Arial" w:hAnsi="Arial"/>
                  <w:sz w:val="15"/>
                  <w:szCs w:val="15"/>
                  <w:color w:val="0000EE"/>
                </w:rPr>
                <w:t>Principal stockholders</w:t>
              </w:r>
            </w:hyperlink>
          </w:p>
        </w:tc>
        <w:tc>
          <w:tcPr>
            <w:tcW w:w="2920" w:type="dxa"/>
            <w:vAlign w:val="bottom"/>
            <w:gridSpan w:val="3"/>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gridSpan w:val="21"/>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07">
              <w:r>
                <w:rPr>
                  <w:rFonts w:ascii="Arial" w:cs="Arial" w:eastAsia="Arial" w:hAnsi="Arial"/>
                  <w:sz w:val="15"/>
                  <w:szCs w:val="15"/>
                  <w:b w:val="1"/>
                  <w:bCs w:val="1"/>
                  <w:color w:val="0000EE"/>
                </w:rPr>
                <w:t>202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60" w:type="dxa"/>
            <w:vAlign w:val="bottom"/>
            <w:tcBorders>
              <w:bottom w:val="single" w:sz="8" w:color="0000EE"/>
            </w:tcBorders>
            <w:gridSpan w:val="12"/>
          </w:tcPr>
          <w:p>
            <w:pPr>
              <w:spacing w:after="0" w:line="134" w:lineRule="exact"/>
              <w:rPr>
                <w:rFonts w:ascii="Arial" w:cs="Arial" w:eastAsia="Arial" w:hAnsi="Arial"/>
                <w:sz w:val="15"/>
                <w:szCs w:val="15"/>
                <w:color w:val="0000EE"/>
                <w:w w:val="91"/>
              </w:rPr>
            </w:pPr>
            <w:hyperlink w:anchor="page210">
              <w:r>
                <w:rPr>
                  <w:rFonts w:ascii="Arial" w:cs="Arial" w:eastAsia="Arial" w:hAnsi="Arial"/>
                  <w:sz w:val="15"/>
                  <w:szCs w:val="15"/>
                  <w:color w:val="0000EE"/>
                  <w:w w:val="91"/>
                </w:rPr>
                <w:t>Description of capital stock</w:t>
              </w:r>
            </w:hyperlink>
          </w:p>
        </w:tc>
        <w:tc>
          <w:tcPr>
            <w:tcW w:w="4400" w:type="dxa"/>
            <w:vAlign w:val="bottom"/>
            <w:gridSpan w:val="12"/>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0">
              <w:r>
                <w:rPr>
                  <w:rFonts w:ascii="Arial" w:cs="Arial" w:eastAsia="Arial" w:hAnsi="Arial"/>
                  <w:sz w:val="15"/>
                  <w:szCs w:val="15"/>
                  <w:b w:val="1"/>
                  <w:bCs w:val="1"/>
                  <w:color w:val="0000EE"/>
                </w:rPr>
                <w:t>205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80" w:type="dxa"/>
            <w:vAlign w:val="bottom"/>
            <w:gridSpan w:val="14"/>
            <w:vMerge w:val="restart"/>
          </w:tcPr>
          <w:p>
            <w:pPr>
              <w:spacing w:after="0" w:line="154" w:lineRule="exact"/>
              <w:rPr>
                <w:rFonts w:ascii="Arial" w:cs="Arial" w:eastAsia="Arial" w:hAnsi="Arial"/>
                <w:sz w:val="15"/>
                <w:szCs w:val="15"/>
                <w:color w:val="0000EE"/>
                <w:w w:val="90"/>
              </w:rPr>
            </w:pPr>
            <w:hyperlink w:anchor="page216">
              <w:r>
                <w:rPr>
                  <w:rFonts w:ascii="Arial" w:cs="Arial" w:eastAsia="Arial" w:hAnsi="Arial"/>
                  <w:sz w:val="15"/>
                  <w:szCs w:val="15"/>
                  <w:color w:val="0000EE"/>
                  <w:w w:val="90"/>
                </w:rPr>
                <w:t>Shares eligible for future sale</w:t>
              </w:r>
            </w:hyperlink>
          </w:p>
        </w:tc>
        <w:tc>
          <w:tcPr>
            <w:tcW w:w="4280" w:type="dxa"/>
            <w:vAlign w:val="bottom"/>
            <w:gridSpan w:val="10"/>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780" w:type="dxa"/>
            <w:vAlign w:val="bottom"/>
            <w:tcBorders>
              <w:bottom w:val="single" w:sz="8" w:color="0000EE"/>
            </w:tcBorders>
            <w:gridSpan w:val="14"/>
            <w:vMerge w:val="continue"/>
          </w:tcPr>
          <w:p>
            <w:pPr>
              <w:spacing w:after="0"/>
              <w:rPr>
                <w:sz w:val="12"/>
                <w:szCs w:val="12"/>
                <w:color w:val="auto"/>
              </w:rPr>
            </w:pPr>
          </w:p>
        </w:tc>
        <w:tc>
          <w:tcPr>
            <w:tcW w:w="4280" w:type="dxa"/>
            <w:vAlign w:val="bottom"/>
            <w:gridSpan w:val="10"/>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6">
              <w:r>
                <w:rPr>
                  <w:rFonts w:ascii="Arial" w:cs="Arial" w:eastAsia="Arial" w:hAnsi="Arial"/>
                  <w:sz w:val="15"/>
                  <w:szCs w:val="15"/>
                  <w:b w:val="1"/>
                  <w:bCs w:val="1"/>
                  <w:color w:val="0000EE"/>
                </w:rPr>
                <w:t>211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2"/>
            <w:vMerge w:val="restart"/>
          </w:tcPr>
          <w:p>
            <w:pPr>
              <w:spacing w:after="0" w:line="154" w:lineRule="exact"/>
              <w:rPr>
                <w:rFonts w:ascii="Arial" w:cs="Arial" w:eastAsia="Arial" w:hAnsi="Arial"/>
                <w:sz w:val="15"/>
                <w:szCs w:val="15"/>
                <w:color w:val="0000EE"/>
                <w:w w:val="90"/>
              </w:rPr>
            </w:pPr>
            <w:hyperlink w:anchor="page219">
              <w:r>
                <w:rPr>
                  <w:rFonts w:ascii="Arial" w:cs="Arial" w:eastAsia="Arial" w:hAnsi="Arial"/>
                  <w:sz w:val="15"/>
                  <w:szCs w:val="15"/>
                  <w:color w:val="0000EE"/>
                  <w:w w:val="90"/>
                </w:rPr>
                <w:t>Material U.S. federal income tax consequences to non-U.S. holders</w:t>
              </w:r>
            </w:hyperlink>
          </w:p>
        </w:tc>
        <w:tc>
          <w:tcPr>
            <w:tcW w:w="2000" w:type="dxa"/>
            <w:vAlign w:val="bottom"/>
            <w:gridSpan w:val="2"/>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60" w:type="dxa"/>
            <w:vAlign w:val="bottom"/>
            <w:tcBorders>
              <w:bottom w:val="single" w:sz="8" w:color="0000EE"/>
            </w:tcBorders>
            <w:gridSpan w:val="2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19">
              <w:r>
                <w:rPr>
                  <w:rFonts w:ascii="Arial" w:cs="Arial" w:eastAsia="Arial" w:hAnsi="Arial"/>
                  <w:sz w:val="15"/>
                  <w:szCs w:val="15"/>
                  <w:b w:val="1"/>
                  <w:bCs w:val="1"/>
                  <w:color w:val="0000EE"/>
                </w:rPr>
                <w:t>214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gridSpan w:val="5"/>
            <w:vMerge w:val="restart"/>
          </w:tcPr>
          <w:p>
            <w:pPr>
              <w:spacing w:after="0" w:line="154" w:lineRule="exact"/>
              <w:rPr>
                <w:rFonts w:ascii="Arial" w:cs="Arial" w:eastAsia="Arial" w:hAnsi="Arial"/>
                <w:sz w:val="15"/>
                <w:szCs w:val="15"/>
                <w:color w:val="0000EE"/>
                <w:w w:val="94"/>
              </w:rPr>
            </w:pPr>
            <w:hyperlink w:anchor="page223">
              <w:r>
                <w:rPr>
                  <w:rFonts w:ascii="Arial" w:cs="Arial" w:eastAsia="Arial" w:hAnsi="Arial"/>
                  <w:sz w:val="15"/>
                  <w:szCs w:val="15"/>
                  <w:color w:val="0000EE"/>
                  <w:w w:val="94"/>
                </w:rPr>
                <w:t>Underwriting</w:t>
              </w:r>
            </w:hyperlink>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0" w:type="dxa"/>
            <w:vAlign w:val="bottom"/>
            <w:tcBorders>
              <w:bottom w:val="single" w:sz="8" w:color="0000EE"/>
            </w:tcBorders>
            <w:gridSpan w:val="5"/>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23">
              <w:r>
                <w:rPr>
                  <w:rFonts w:ascii="Arial" w:cs="Arial" w:eastAsia="Arial" w:hAnsi="Arial"/>
                  <w:sz w:val="15"/>
                  <w:szCs w:val="15"/>
                  <w:b w:val="1"/>
                  <w:bCs w:val="1"/>
                  <w:color w:val="0000EE"/>
                </w:rPr>
                <w:t>218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31">
              <w:r>
                <w:rPr>
                  <w:rFonts w:ascii="Arial" w:cs="Arial" w:eastAsia="Arial" w:hAnsi="Arial"/>
                  <w:sz w:val="15"/>
                  <w:szCs w:val="15"/>
                  <w:color w:val="0000EE"/>
                </w:rPr>
                <w:t>Legal matters</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060" w:type="dxa"/>
            <w:vAlign w:val="bottom"/>
            <w:gridSpan w:val="24"/>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EE"/>
            </w:tcBorders>
            <w:vMerge w:val="restart"/>
          </w:tcPr>
          <w:p>
            <w:pPr>
              <w:spacing w:after="0" w:line="154" w:lineRule="exact"/>
              <w:rPr>
                <w:rFonts w:ascii="Arial" w:cs="Arial" w:eastAsia="Arial" w:hAnsi="Arial"/>
                <w:sz w:val="15"/>
                <w:szCs w:val="15"/>
                <w:color w:val="0000EE"/>
                <w:w w:val="90"/>
              </w:rPr>
            </w:pPr>
            <w:hyperlink w:anchor="page231">
              <w:r>
                <w:rPr>
                  <w:rFonts w:ascii="Arial" w:cs="Arial" w:eastAsia="Arial" w:hAnsi="Arial"/>
                  <w:sz w:val="15"/>
                  <w:szCs w:val="15"/>
                  <w:color w:val="0000EE"/>
                  <w:w w:val="90"/>
                </w:rPr>
                <w:t>Experts</w:t>
              </w:r>
            </w:hyperlink>
          </w:p>
        </w:tc>
        <w:tc>
          <w:tcPr>
            <w:tcW w:w="320" w:type="dxa"/>
            <w:vAlign w:val="bottom"/>
            <w:tcBorders>
              <w:top w:val="single" w:sz="8" w:color="0000EE"/>
            </w:tcBorders>
            <w:gridSpan w:val="4"/>
            <w:vMerge w:val="restart"/>
          </w:tcPr>
          <w:p>
            <w:pPr>
              <w:spacing w:after="0" w:line="20" w:lineRule="exact"/>
              <w:rPr>
                <w:sz w:val="1"/>
                <w:szCs w:val="1"/>
                <w:color w:val="auto"/>
              </w:rPr>
            </w:pPr>
          </w:p>
        </w:tc>
        <w:tc>
          <w:tcPr>
            <w:tcW w:w="5240" w:type="dxa"/>
            <w:vAlign w:val="bottom"/>
            <w:gridSpan w:val="19"/>
            <w:vMerge w:val="restart"/>
          </w:tcPr>
          <w:p>
            <w:pPr>
              <w:spacing w:after="0" w:line="20" w:lineRule="exact"/>
              <w:rPr>
                <w:sz w:val="1"/>
                <w:szCs w:val="1"/>
                <w:color w:val="auto"/>
              </w:rPr>
            </w:pPr>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 w:type="dxa"/>
            <w:vAlign w:val="bottom"/>
            <w:tcBorders>
              <w:bottom w:val="single" w:sz="8" w:color="0000EE"/>
            </w:tcBorders>
            <w:vMerge w:val="continue"/>
          </w:tcPr>
          <w:p>
            <w:pPr>
              <w:spacing w:after="0"/>
              <w:rPr>
                <w:sz w:val="12"/>
                <w:szCs w:val="12"/>
                <w:color w:val="auto"/>
              </w:rPr>
            </w:pPr>
          </w:p>
        </w:tc>
        <w:tc>
          <w:tcPr>
            <w:tcW w:w="320" w:type="dxa"/>
            <w:vAlign w:val="bottom"/>
            <w:gridSpan w:val="4"/>
            <w:vMerge w:val="continue"/>
          </w:tcPr>
          <w:p>
            <w:pPr>
              <w:spacing w:after="0"/>
              <w:rPr>
                <w:sz w:val="12"/>
                <w:szCs w:val="12"/>
                <w:color w:val="auto"/>
              </w:rPr>
            </w:pPr>
          </w:p>
        </w:tc>
        <w:tc>
          <w:tcPr>
            <w:tcW w:w="5240" w:type="dxa"/>
            <w:vAlign w:val="bottom"/>
            <w:gridSpan w:val="19"/>
            <w:vMerge w:val="continue"/>
          </w:tcPr>
          <w:p>
            <w:pPr>
              <w:spacing w:after="0"/>
              <w:rPr>
                <w:sz w:val="12"/>
                <w:szCs w:val="12"/>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60" w:type="dxa"/>
            <w:vAlign w:val="bottom"/>
            <w:gridSpan w:val="24"/>
            <w:vMerge w:val="restart"/>
          </w:tcPr>
          <w:p>
            <w:pPr>
              <w:spacing w:after="0" w:line="154" w:lineRule="exact"/>
              <w:rPr>
                <w:rFonts w:ascii="Arial" w:cs="Arial" w:eastAsia="Arial" w:hAnsi="Arial"/>
                <w:sz w:val="15"/>
                <w:szCs w:val="15"/>
                <w:color w:val="0000EE"/>
              </w:rPr>
            </w:pPr>
            <w:hyperlink w:anchor="page231">
              <w:r>
                <w:rPr>
                  <w:rFonts w:ascii="Arial" w:cs="Arial" w:eastAsia="Arial" w:hAnsi="Arial"/>
                  <w:sz w:val="15"/>
                  <w:szCs w:val="15"/>
                  <w:color w:val="0000EE"/>
                </w:rPr>
                <w:t>Where you can find more information</w:t>
              </w:r>
            </w:hyperlink>
          </w:p>
        </w:tc>
        <w:tc>
          <w:tcPr>
            <w:tcW w:w="2720" w:type="dxa"/>
            <w:vAlign w:val="bottom"/>
            <w:tcBorders>
              <w:right w:val="single" w:sz="8" w:color="0000EE"/>
            </w:tcBorders>
            <w:gridSpan w:val="2"/>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gridSpan w:val="24"/>
            <w:vMerge w:val="continue"/>
          </w:tcPr>
          <w:p>
            <w:pPr>
              <w:spacing w:after="0"/>
              <w:rPr>
                <w:sz w:val="14"/>
                <w:szCs w:val="14"/>
                <w:color w:val="auto"/>
              </w:rPr>
            </w:pPr>
          </w:p>
        </w:tc>
        <w:tc>
          <w:tcPr>
            <w:tcW w:w="2940" w:type="dxa"/>
            <w:vAlign w:val="bottom"/>
            <w:gridSpan w:val="5"/>
          </w:tcPr>
          <w:p>
            <w:pPr>
              <w:jc w:val="right"/>
              <w:spacing w:after="0" w:line="142" w:lineRule="exact"/>
              <w:rPr>
                <w:rFonts w:ascii="Arial" w:cs="Arial" w:eastAsia="Arial" w:hAnsi="Arial"/>
                <w:sz w:val="15"/>
                <w:szCs w:val="15"/>
                <w:b w:val="1"/>
                <w:bCs w:val="1"/>
                <w:color w:val="0000EE"/>
              </w:rPr>
            </w:pPr>
            <w:hyperlink w:anchor="page231">
              <w:r>
                <w:rPr>
                  <w:rFonts w:ascii="Arial" w:cs="Arial" w:eastAsia="Arial" w:hAnsi="Arial"/>
                  <w:sz w:val="15"/>
                  <w:szCs w:val="15"/>
                  <w:b w:val="1"/>
                  <w:bCs w:val="1"/>
                  <w:color w:val="0000EE"/>
                </w:rPr>
                <w:t>226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Borders>
              <w:top w:val="single" w:sz="8" w:color="0000EE"/>
            </w:tcBorders>
            <w:gridSpan w:val="17"/>
          </w:tcPr>
          <w:p>
            <w:pPr>
              <w:spacing w:after="0" w:line="134" w:lineRule="exact"/>
              <w:rPr>
                <w:rFonts w:ascii="Arial" w:cs="Arial" w:eastAsia="Arial" w:hAnsi="Arial"/>
                <w:sz w:val="15"/>
                <w:szCs w:val="15"/>
                <w:color w:val="0000EE"/>
              </w:rPr>
            </w:pPr>
            <w:hyperlink w:anchor="page232">
              <w:r>
                <w:rPr>
                  <w:rFonts w:ascii="Arial" w:cs="Arial" w:eastAsia="Arial" w:hAnsi="Arial"/>
                  <w:sz w:val="15"/>
                  <w:szCs w:val="15"/>
                  <w:color w:val="0000EE"/>
                </w:rPr>
                <w:t>Index to financial statements</w:t>
              </w:r>
            </w:hyperlink>
          </w:p>
        </w:tc>
        <w:tc>
          <w:tcPr>
            <w:tcW w:w="3780" w:type="dxa"/>
            <w:vAlign w:val="bottom"/>
            <w:gridSpan w:val="7"/>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0000EE"/>
            </w:tcBorders>
            <w:gridSpan w:val="3"/>
          </w:tcPr>
          <w:p>
            <w:pPr>
              <w:jc w:val="right"/>
              <w:spacing w:after="0" w:line="142" w:lineRule="exact"/>
              <w:rPr>
                <w:rFonts w:ascii="Arial" w:cs="Arial" w:eastAsia="Arial" w:hAnsi="Arial"/>
                <w:sz w:val="15"/>
                <w:szCs w:val="15"/>
                <w:b w:val="1"/>
                <w:bCs w:val="1"/>
                <w:color w:val="0000EE"/>
                <w:w w:val="88"/>
              </w:rPr>
            </w:pPr>
            <w:hyperlink w:anchor="page232">
              <w:r>
                <w:rPr>
                  <w:rFonts w:ascii="Arial" w:cs="Arial" w:eastAsia="Arial" w:hAnsi="Arial"/>
                  <w:sz w:val="15"/>
                  <w:szCs w:val="15"/>
                  <w:b w:val="1"/>
                  <w:bCs w:val="1"/>
                  <w:color w:val="0000EE"/>
                  <w:w w:val="88"/>
                </w:rPr>
                <w:t>F-1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not, and the underwriters have not,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3"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color w:val="auto"/>
        </w:rPr>
        <w:t>Through and including ,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4521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1385" cy="452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Prospectus summary</w:t>
      </w:r>
    </w:p>
    <w:p>
      <w:pPr>
        <w:spacing w:after="0" w:line="183" w:lineRule="exact"/>
        <w:rPr>
          <w:sz w:val="20"/>
          <w:szCs w:val="20"/>
          <w:color w:val="auto"/>
        </w:rPr>
      </w:pPr>
    </w:p>
    <w:p>
      <w:pPr>
        <w:ind w:left="200" w:right="340"/>
        <w:spacing w:after="0" w:line="266" w:lineRule="auto"/>
        <w:rPr>
          <w:sz w:val="20"/>
          <w:szCs w:val="20"/>
          <w:color w:val="auto"/>
        </w:rPr>
      </w:pPr>
      <w:r>
        <w:rPr>
          <w:rFonts w:ascii="Arial" w:cs="Arial" w:eastAsia="Arial" w:hAnsi="Arial"/>
          <w:sz w:val="15"/>
          <w:szCs w:val="15"/>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"Risk factors" section beginning on page 15 and our consolidated financial statements and the related notes appearing at the end of this prospectus, before making an investment decision. As used in this prospectus, unless the context otherwise requires, references to "we," "us," "our" and "Selecta" refer to Selecta Biosciences, Inc. together with its consolidated subsidiaries.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200" w:right="240"/>
        <w:spacing w:after="0" w:line="280"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5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200" w:right="580"/>
        <w:spacing w:after="0" w:line="282" w:lineRule="auto"/>
        <w:rPr>
          <w:sz w:val="20"/>
          <w:szCs w:val="20"/>
          <w:color w:val="auto"/>
        </w:rPr>
      </w:pPr>
      <w:r>
        <w:rPr>
          <w:rFonts w:ascii="Arial" w:cs="Arial" w:eastAsia="Arial" w:hAnsi="Arial"/>
          <w:sz w:val="15"/>
          <w:szCs w:val="15"/>
          <w:color w:val="auto"/>
        </w:rPr>
        <w:t>Our SVP technology utilizes a biodegradable nanoparticle to selectively modulate an immune response in an antigen-specific manner. We believe that nanoparticles are uniquely suited to deliver precise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35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1385" cy="50355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instructions to the immune system as a result of the natural predisposition of the immune system to interrogate nanoparticles, such as viruses.</w:t>
      </w:r>
    </w:p>
    <w:p>
      <w:pPr>
        <w:spacing w:after="0" w:line="198" w:lineRule="exact"/>
        <w:rPr>
          <w:sz w:val="20"/>
          <w:szCs w:val="20"/>
          <w:color w:val="auto"/>
        </w:rPr>
      </w:pPr>
    </w:p>
    <w:p>
      <w:pPr>
        <w:ind w:left="200" w:right="14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74" w:lineRule="exact"/>
        <w:rPr>
          <w:sz w:val="20"/>
          <w:szCs w:val="20"/>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treatment of a life 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2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Depending on the type of immunomodulator encapsulated in the SVP, our technology is designed to induce either a:</w:t>
      </w:r>
    </w:p>
    <w:p>
      <w:pPr>
        <w:spacing w:after="0" w:line="162" w:lineRule="exact"/>
        <w:rPr>
          <w:sz w:val="20"/>
          <w:szCs w:val="20"/>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660" w:hanging="467"/>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200"/>
        <w:spacing w:after="0" w:line="263"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In preclinical studies, we have observed that SVP-Rapamycin, unlike free rapamycin, can be co-administered at the beginning of therapy with a biologic drug to mitigate the formation of ADAs without altering the drug or its dose regimen. As a result, we believe that SVP-Rapamycin may provide us with significant growth opportunities in the area of tolerance because SVP-Rapamycin can be co-administered at the beginning of therapy with many different biologic drugs.</w:t>
      </w:r>
    </w:p>
    <w:p>
      <w:pPr>
        <w:spacing w:after="0" w:line="167" w:lineRule="exact"/>
        <w:rPr>
          <w:sz w:val="20"/>
          <w:szCs w:val="20"/>
          <w:color w:val="auto"/>
        </w:rPr>
      </w:pPr>
    </w:p>
    <w:p>
      <w:pPr>
        <w:ind w:left="200"/>
        <w:spacing w:after="0" w:line="290" w:lineRule="auto"/>
        <w:rPr>
          <w:sz w:val="20"/>
          <w:szCs w:val="20"/>
          <w:color w:val="auto"/>
        </w:rPr>
      </w:pPr>
      <w:r>
        <w:rPr>
          <w:rFonts w:ascii="Arial" w:cs="Arial" w:eastAsia="Arial" w:hAnsi="Arial"/>
          <w:sz w:val="14"/>
          <w:szCs w:val="14"/>
          <w:color w:val="auto"/>
        </w:rPr>
        <w:t>In addition, we believe our SVP technology has the potential to be used for therapies that stimulate the immune system to treat cancer, infectious diseases and other diseases. Our SVP immune stimulation programs are designed to encapsulate an antigen and a toll-like receptor, or TLR, agonist. Activation of TLRs alert the immune system that a potential pathogen is present and that the immune system should mount a response. TLR agonists can be used as supplements, or adjuvants, to vaccines to increase the immune response to the vaccine by activating the TLRs in antigen-presenting cells. We currently finance these programs primarily through grants.</w:t>
      </w:r>
    </w:p>
    <w:p>
      <w:pPr>
        <w:spacing w:after="0" w:line="148" w:lineRule="exact"/>
        <w:rPr>
          <w:sz w:val="20"/>
          <w:szCs w:val="20"/>
          <w:color w:val="auto"/>
        </w:rPr>
      </w:pPr>
    </w:p>
    <w:p>
      <w:pPr>
        <w:ind w:left="200" w:right="20"/>
        <w:spacing w:after="0" w:line="282" w:lineRule="auto"/>
        <w:rPr>
          <w:sz w:val="20"/>
          <w:szCs w:val="20"/>
          <w:color w:val="auto"/>
        </w:rPr>
      </w:pPr>
      <w:r>
        <w:rPr>
          <w:rFonts w:ascii="Arial" w:cs="Arial" w:eastAsia="Arial" w:hAnsi="Arial"/>
          <w:sz w:val="15"/>
          <w:szCs w:val="15"/>
          <w:color w:val="auto"/>
        </w:rPr>
        <w:t>Our SVP technology is based in part on the pioneering research performed by our co-founders at Harvard University, Massachusetts Institute of Technology, or MIT, and Brigham and Women's Hospital, or Brigham. In connection with our company's founding, we licensed 17 patent families</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3439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1385" cy="34397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related to certain aspects of our SVP technology as applied to nanoparticles for use in vaccines from our co-founders' institutions pursuant to an agreement with MIT.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PRODUCT CANDIDATE AND DISCOVERY PIPELINES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780" w:type="dxa"/>
            <w:vAlign w:val="bottom"/>
            <w:tcBorders>
              <w:bottom w:val="single" w:sz="8" w:color="auto"/>
            </w:tcBorders>
          </w:tcPr>
          <w:p>
            <w:pPr>
              <w:ind w:left="1180"/>
              <w:spacing w:after="0"/>
              <w:rPr>
                <w:sz w:val="20"/>
                <w:szCs w:val="20"/>
                <w:color w:val="auto"/>
              </w:rPr>
            </w:pPr>
            <w:r>
              <w:rPr>
                <w:rFonts w:ascii="Arial" w:cs="Arial" w:eastAsia="Arial" w:hAnsi="Arial"/>
                <w:sz w:val="12"/>
                <w:szCs w:val="12"/>
                <w:b w:val="1"/>
                <w:bCs w:val="1"/>
                <w:color w:val="auto"/>
              </w:rPr>
              <w:t>Description</w:t>
            </w:r>
          </w:p>
        </w:tc>
        <w:tc>
          <w:tcPr>
            <w:tcW w:w="292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Development status</w:t>
            </w:r>
          </w:p>
        </w:tc>
        <w:tc>
          <w:tcPr>
            <w:tcW w:w="276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5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307"/>
        </w:trPr>
        <w:tc>
          <w:tcPr>
            <w:tcW w:w="2580" w:type="dxa"/>
            <w:vAlign w:val="bottom"/>
          </w:tcPr>
          <w:p>
            <w:pPr>
              <w:spacing w:after="0"/>
              <w:rPr>
                <w:sz w:val="20"/>
                <w:szCs w:val="20"/>
                <w:color w:val="auto"/>
              </w:rPr>
            </w:pPr>
            <w:r>
              <w:rPr>
                <w:rFonts w:ascii="Arial" w:cs="Arial" w:eastAsia="Arial" w:hAnsi="Arial"/>
                <w:sz w:val="12"/>
                <w:szCs w:val="12"/>
                <w:color w:val="auto"/>
                <w:w w:val="94"/>
              </w:rPr>
              <w:t>Refractory and chronic tophaceous gout (SEL-212)</w:t>
            </w:r>
          </w:p>
        </w:tc>
        <w:tc>
          <w:tcPr>
            <w:tcW w:w="2780" w:type="dxa"/>
            <w:vAlign w:val="bottom"/>
          </w:tcPr>
          <w:p>
            <w:pPr>
              <w:ind w:left="200"/>
              <w:spacing w:after="0"/>
              <w:rPr>
                <w:sz w:val="20"/>
                <w:szCs w:val="20"/>
                <w:color w:val="auto"/>
              </w:rPr>
            </w:pPr>
            <w:r>
              <w:rPr>
                <w:rFonts w:ascii="Arial" w:cs="Arial" w:eastAsia="Arial" w:hAnsi="Arial"/>
                <w:sz w:val="12"/>
                <w:szCs w:val="12"/>
                <w:color w:val="auto"/>
                <w:w w:val="96"/>
              </w:rPr>
              <w:t>SVP-Rapamycin co-administered with pegsiticase</w:t>
            </w:r>
          </w:p>
        </w:tc>
        <w:tc>
          <w:tcPr>
            <w:tcW w:w="2920" w:type="dxa"/>
            <w:vAlign w:val="bottom"/>
          </w:tcPr>
          <w:p>
            <w:pPr>
              <w:ind w:left="220"/>
              <w:spacing w:after="0"/>
              <w:rPr>
                <w:sz w:val="20"/>
                <w:szCs w:val="20"/>
                <w:color w:val="auto"/>
              </w:rPr>
            </w:pPr>
            <w:r>
              <w:rPr>
                <w:rFonts w:ascii="Arial" w:cs="Arial" w:eastAsia="Arial" w:hAnsi="Arial"/>
                <w:sz w:val="12"/>
                <w:szCs w:val="12"/>
                <w:color w:val="auto"/>
              </w:rPr>
              <w:t>Final data from Phase 1a and Phase 1b trials and</w:t>
            </w:r>
          </w:p>
        </w:tc>
        <w:tc>
          <w:tcPr>
            <w:tcW w:w="2760" w:type="dxa"/>
            <w:vAlign w:val="bottom"/>
          </w:tcPr>
          <w:p>
            <w:pPr>
              <w:ind w:left="120"/>
              <w:spacing w:after="0"/>
              <w:rPr>
                <w:sz w:val="20"/>
                <w:szCs w:val="20"/>
                <w:color w:val="auto"/>
              </w:rPr>
            </w:pPr>
            <w:r>
              <w:rPr>
                <w:rFonts w:ascii="Arial" w:cs="Arial" w:eastAsia="Arial" w:hAnsi="Arial"/>
                <w:sz w:val="12"/>
                <w:szCs w:val="12"/>
                <w:color w:val="auto"/>
              </w:rPr>
              <w:t>Own development</w:t>
            </w:r>
          </w:p>
        </w:tc>
      </w:tr>
      <w:tr>
        <w:trPr>
          <w:trHeight w:val="127"/>
        </w:trPr>
        <w:tc>
          <w:tcPr>
            <w:tcW w:w="2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920" w:type="dxa"/>
            <w:vAlign w:val="bottom"/>
          </w:tcPr>
          <w:p>
            <w:pPr>
              <w:ind w:left="220"/>
              <w:spacing w:after="0" w:line="128" w:lineRule="exact"/>
              <w:rPr>
                <w:sz w:val="20"/>
                <w:szCs w:val="20"/>
                <w:color w:val="auto"/>
              </w:rPr>
            </w:pPr>
            <w:r>
              <w:rPr>
                <w:rFonts w:ascii="Arial" w:cs="Arial" w:eastAsia="Arial" w:hAnsi="Arial"/>
                <w:sz w:val="12"/>
                <w:szCs w:val="12"/>
                <w:color w:val="auto"/>
                <w:w w:val="92"/>
              </w:rPr>
              <w:t>initiation of Phase 2 trial expected in the second half of</w:t>
            </w:r>
          </w:p>
        </w:tc>
        <w:tc>
          <w:tcPr>
            <w:tcW w:w="2760" w:type="dxa"/>
            <w:vAlign w:val="bottom"/>
          </w:tcPr>
          <w:p>
            <w:pPr>
              <w:spacing w:after="0"/>
              <w:rPr>
                <w:sz w:val="11"/>
                <w:szCs w:val="11"/>
                <w:color w:val="auto"/>
              </w:rPr>
            </w:pPr>
          </w:p>
        </w:tc>
      </w:tr>
      <w:tr>
        <w:trPr>
          <w:trHeight w:val="147"/>
        </w:trPr>
        <w:tc>
          <w:tcPr>
            <w:tcW w:w="2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920" w:type="dxa"/>
            <w:vAlign w:val="bottom"/>
          </w:tcPr>
          <w:p>
            <w:pPr>
              <w:ind w:left="220"/>
              <w:spacing w:after="0"/>
              <w:rPr>
                <w:sz w:val="20"/>
                <w:szCs w:val="20"/>
                <w:color w:val="auto"/>
              </w:rPr>
            </w:pPr>
            <w:r>
              <w:rPr>
                <w:rFonts w:ascii="Arial" w:cs="Arial" w:eastAsia="Arial" w:hAnsi="Arial"/>
                <w:sz w:val="12"/>
                <w:szCs w:val="12"/>
                <w:color w:val="auto"/>
              </w:rPr>
              <w:t>2016</w:t>
            </w:r>
          </w:p>
        </w:tc>
        <w:tc>
          <w:tcPr>
            <w:tcW w:w="2760" w:type="dxa"/>
            <w:vAlign w:val="bottom"/>
          </w:tcPr>
          <w:p>
            <w:pPr>
              <w:spacing w:after="0"/>
              <w:rPr>
                <w:sz w:val="12"/>
                <w:szCs w:val="12"/>
                <w:color w:val="auto"/>
              </w:rPr>
            </w:pPr>
          </w:p>
        </w:tc>
      </w:tr>
    </w:tbl>
    <w:p>
      <w:pPr>
        <w:spacing w:after="0" w:line="17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line="11" w:lineRule="exact"/>
        <w:rPr>
          <w:sz w:val="20"/>
          <w:szCs w:val="20"/>
          <w:color w:val="auto"/>
        </w:rPr>
      </w:pPr>
    </w:p>
    <w:p>
      <w:pPr>
        <w:ind w:left="200"/>
        <w:spacing w:after="0" w:line="238" w:lineRule="auto"/>
        <w:rPr>
          <w:sz w:val="20"/>
          <w:szCs w:val="20"/>
          <w:color w:val="auto"/>
        </w:rPr>
      </w:pPr>
      <w:r>
        <w:rPr>
          <w:rFonts w:ascii="Arial" w:cs="Arial" w:eastAsia="Arial" w:hAnsi="Arial"/>
          <w:sz w:val="12"/>
          <w:szCs w:val="12"/>
          <w:color w:val="auto"/>
        </w:rPr>
        <w:t>Gene therapy for an autosomal recessive metabolic, or ARM, disorder</w:t>
      </w:r>
    </w:p>
    <w:p>
      <w:pPr>
        <w:spacing w:after="0" w:line="190" w:lineRule="exact"/>
        <w:rPr>
          <w:sz w:val="20"/>
          <w:szCs w:val="20"/>
          <w:color w:val="auto"/>
        </w:rPr>
      </w:pPr>
    </w:p>
    <w:p>
      <w:pPr>
        <w:ind w:left="200" w:right="200"/>
        <w:spacing w:after="0" w:line="238" w:lineRule="auto"/>
        <w:rPr>
          <w:sz w:val="20"/>
          <w:szCs w:val="20"/>
          <w:color w:val="auto"/>
        </w:rPr>
      </w:pPr>
      <w:r>
        <w:rPr>
          <w:rFonts w:ascii="Arial" w:cs="Arial" w:eastAsia="Arial" w:hAnsi="Arial"/>
          <w:sz w:val="12"/>
          <w:szCs w:val="12"/>
          <w:color w:val="auto"/>
        </w:rPr>
        <w:t>Gene therapy for an X-linked metabolic, or XLM, disorder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SVP for immune stimulation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20"/>
                <w:szCs w:val="20"/>
                <w:color w:val="auto"/>
              </w:rPr>
            </w:pPr>
            <w:r>
              <w:rPr>
                <w:rFonts w:ascii="Arial" w:cs="Arial" w:eastAsia="Arial" w:hAnsi="Arial"/>
                <w:sz w:val="12"/>
                <w:szCs w:val="12"/>
                <w:color w:val="auto"/>
                <w:w w:val="92"/>
              </w:rPr>
              <w:t>SVP-Rapamycin co-administered with the Anc80 gene</w:t>
            </w:r>
          </w:p>
        </w:tc>
        <w:tc>
          <w:tcPr>
            <w:tcW w:w="2860" w:type="dxa"/>
            <w:vAlign w:val="bottom"/>
          </w:tcPr>
          <w:p>
            <w:pPr>
              <w:ind w:left="120"/>
              <w:spacing w:after="0"/>
              <w:rPr>
                <w:sz w:val="20"/>
                <w:szCs w:val="20"/>
                <w:color w:val="auto"/>
              </w:rPr>
            </w:pPr>
            <w:r>
              <w:rPr>
                <w:rFonts w:ascii="Arial" w:cs="Arial" w:eastAsia="Arial" w:hAnsi="Arial"/>
                <w:sz w:val="12"/>
                <w:szCs w:val="12"/>
                <w:color w:val="auto"/>
                <w:w w:val="95"/>
              </w:rPr>
              <w:t>Investigational New Drug Application, or IND, filing for</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therapy vector, or Anc80</w:t>
            </w:r>
          </w:p>
        </w:tc>
        <w:tc>
          <w:tcPr>
            <w:tcW w:w="2860" w:type="dxa"/>
            <w:vAlign w:val="bottom"/>
          </w:tcPr>
          <w:p>
            <w:pPr>
              <w:ind w:left="120"/>
              <w:spacing w:after="0"/>
              <w:rPr>
                <w:sz w:val="20"/>
                <w:szCs w:val="20"/>
                <w:color w:val="auto"/>
              </w:rPr>
            </w:pPr>
            <w:r>
              <w:rPr>
                <w:rFonts w:ascii="Arial" w:cs="Arial" w:eastAsia="Arial" w:hAnsi="Arial"/>
                <w:sz w:val="12"/>
                <w:szCs w:val="12"/>
                <w:color w:val="auto"/>
              </w:rPr>
              <w:t>first indication expected by the end of 2017</w:t>
            </w:r>
          </w:p>
        </w:tc>
        <w:tc>
          <w:tcPr>
            <w:tcW w:w="920" w:type="dxa"/>
            <w:vAlign w:val="bottom"/>
          </w:tcPr>
          <w:p>
            <w:pPr>
              <w:spacing w:after="0"/>
              <w:rPr>
                <w:sz w:val="12"/>
                <w:szCs w:val="12"/>
                <w:color w:val="auto"/>
              </w:rPr>
            </w:pPr>
          </w:p>
        </w:tc>
      </w:tr>
      <w:tr>
        <w:trPr>
          <w:trHeight w:val="316"/>
        </w:trPr>
        <w:tc>
          <w:tcPr>
            <w:tcW w:w="2680" w:type="dxa"/>
            <w:vAlign w:val="bottom"/>
          </w:tcPr>
          <w:p>
            <w:pPr>
              <w:spacing w:after="0"/>
              <w:rPr>
                <w:sz w:val="20"/>
                <w:szCs w:val="20"/>
                <w:color w:val="auto"/>
              </w:rPr>
            </w:pPr>
            <w:r>
              <w:rPr>
                <w:rFonts w:ascii="Arial" w:cs="Arial" w:eastAsia="Arial" w:hAnsi="Arial"/>
                <w:sz w:val="12"/>
                <w:szCs w:val="12"/>
                <w:color w:val="auto"/>
              </w:rPr>
              <w:t>SVP-Rapamycin co-administered with an adeno-</w:t>
            </w:r>
          </w:p>
        </w:tc>
        <w:tc>
          <w:tcPr>
            <w:tcW w:w="2860" w:type="dxa"/>
            <w:vAlign w:val="bottom"/>
          </w:tcPr>
          <w:p>
            <w:pPr>
              <w:ind w:left="120"/>
              <w:spacing w:after="0"/>
              <w:rPr>
                <w:sz w:val="20"/>
                <w:szCs w:val="20"/>
                <w:color w:val="auto"/>
              </w:rPr>
            </w:pPr>
            <w:r>
              <w:rPr>
                <w:rFonts w:ascii="Arial" w:cs="Arial" w:eastAsia="Arial" w:hAnsi="Arial"/>
                <w:sz w:val="12"/>
                <w:szCs w:val="12"/>
                <w:color w:val="auto"/>
              </w:rPr>
              <w:t>IND filing for first indication expected in 2018</w:t>
            </w:r>
          </w:p>
        </w:tc>
        <w:tc>
          <w:tcPr>
            <w:tcW w:w="920" w:type="dxa"/>
            <w:vAlign w:val="bottom"/>
          </w:tcPr>
          <w:p>
            <w:pPr>
              <w:ind w:left="80"/>
              <w:spacing w:after="0"/>
              <w:rPr>
                <w:sz w:val="20"/>
                <w:szCs w:val="20"/>
                <w:color w:val="auto"/>
              </w:rPr>
            </w:pPr>
            <w:r>
              <w:rPr>
                <w:rFonts w:ascii="Arial" w:cs="Arial" w:eastAsia="Arial" w:hAnsi="Arial"/>
                <w:sz w:val="12"/>
                <w:szCs w:val="12"/>
                <w:color w:val="auto"/>
                <w:w w:val="84"/>
              </w:rPr>
              <w:t>Own development</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associated virus, or AAV</w:t>
            </w:r>
          </w:p>
        </w:tc>
        <w:tc>
          <w:tcPr>
            <w:tcW w:w="28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523" w:lineRule="exact"/>
        <w:rPr>
          <w:sz w:val="20"/>
          <w:szCs w:val="20"/>
          <w:color w:val="auto"/>
        </w:rPr>
      </w:pPr>
    </w:p>
    <w:p>
      <w:pPr>
        <w:sectPr>
          <w:pgSz w:w="11900" w:h="16838" w:orient="portrait"/>
          <w:cols w:equalWidth="0" w:num="2">
            <w:col w:w="2720" w:space="260"/>
            <w:col w:w="8460"/>
          </w:cols>
          <w:pgMar w:left="240" w:top="132" w:right="219" w:bottom="1440" w:gutter="0" w:footer="0" w:header="0"/>
          <w:type w:val="continuous"/>
        </w:sect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78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ind w:left="200"/>
        <w:spacing w:after="0"/>
        <w:tabs>
          <w:tab w:leader="none" w:pos="2960" w:val="left"/>
          <w:tab w:leader="none" w:pos="576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br w:type="column"/>
      </w:r>
    </w:p>
    <w:p>
      <w:pPr>
        <w:ind w:right="620"/>
        <w:spacing w:after="0" w:line="333" w:lineRule="auto"/>
        <w:rPr>
          <w:sz w:val="20"/>
          <w:szCs w:val="20"/>
          <w:color w:val="auto"/>
        </w:rPr>
      </w:pPr>
      <w:r>
        <w:rPr>
          <w:rFonts w:ascii="Arial" w:cs="Arial" w:eastAsia="Arial" w:hAnsi="Arial"/>
          <w:sz w:val="10"/>
          <w:szCs w:val="10"/>
          <w:color w:val="auto"/>
        </w:rPr>
        <w:t>Own development, with grant from the National Institute on Drug Abuse, or NIDA</w:t>
      </w:r>
    </w:p>
    <w:p>
      <w:pPr>
        <w:spacing w:after="0" w:line="144" w:lineRule="exact"/>
        <w:rPr>
          <w:sz w:val="20"/>
          <w:szCs w:val="20"/>
          <w:color w:val="auto"/>
        </w:rPr>
      </w:pPr>
    </w:p>
    <w:p>
      <w:pPr>
        <w:ind w:right="2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240" w:space="360"/>
            <w:col w:w="2840"/>
          </w:cols>
          <w:pgMar w:left="240" w:top="132"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380"/>
        <w:spacing w:after="0"/>
        <w:rPr>
          <w:sz w:val="20"/>
          <w:szCs w:val="20"/>
          <w:color w:val="auto"/>
        </w:rPr>
      </w:pP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8" w:name="page9"/>
    <w:bookmarkEnd w:id="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77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1385" cy="49771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0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Description</w:t>
            </w:r>
          </w:p>
        </w:tc>
        <w:tc>
          <w:tcPr>
            <w:tcW w:w="284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Development status</w:t>
            </w:r>
          </w:p>
        </w:tc>
        <w:tc>
          <w:tcPr>
            <w:tcW w:w="310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327"/>
        </w:trPr>
        <w:tc>
          <w:tcPr>
            <w:tcW w:w="2080" w:type="dxa"/>
            <w:vAlign w:val="bottom"/>
          </w:tcPr>
          <w:p>
            <w:pPr>
              <w:spacing w:after="0"/>
              <w:rPr>
                <w:sz w:val="20"/>
                <w:szCs w:val="20"/>
                <w:color w:val="auto"/>
              </w:rPr>
            </w:pPr>
            <w:r>
              <w:rPr>
                <w:rFonts w:ascii="Arial" w:cs="Arial" w:eastAsia="Arial" w:hAnsi="Arial"/>
                <w:sz w:val="12"/>
                <w:szCs w:val="12"/>
                <w:color w:val="auto"/>
              </w:rPr>
              <w:t>Food allergy</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SVP-food allergen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080" w:type="dxa"/>
            <w:vAlign w:val="bottom"/>
          </w:tcPr>
          <w:p>
            <w:pPr>
              <w:spacing w:after="0"/>
              <w:rPr>
                <w:sz w:val="20"/>
                <w:szCs w:val="20"/>
                <w:color w:val="auto"/>
              </w:rPr>
            </w:pPr>
            <w:r>
              <w:rPr>
                <w:rFonts w:ascii="Arial" w:cs="Arial" w:eastAsia="Arial" w:hAnsi="Arial"/>
                <w:sz w:val="12"/>
                <w:szCs w:val="12"/>
                <w:color w:val="auto"/>
              </w:rPr>
              <w:t>Celiac disease</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SVP-gluten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Type 1 diabetes</w:t>
            </w:r>
          </w:p>
        </w:tc>
        <w:tc>
          <w:tcPr>
            <w:tcW w:w="3020" w:type="dxa"/>
            <w:vAlign w:val="bottom"/>
          </w:tcPr>
          <w:p>
            <w:pPr>
              <w:ind w:left="700"/>
              <w:spacing w:after="0"/>
              <w:rPr>
                <w:sz w:val="20"/>
                <w:szCs w:val="20"/>
                <w:color w:val="auto"/>
              </w:rPr>
            </w:pPr>
            <w:r>
              <w:rPr>
                <w:rFonts w:ascii="Arial" w:cs="Arial" w:eastAsia="Arial" w:hAnsi="Arial"/>
                <w:sz w:val="12"/>
                <w:szCs w:val="12"/>
                <w:color w:val="auto"/>
              </w:rPr>
              <w:t>SVP-Rapamycin and SVP-insulin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08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16"/>
        </w:trPr>
        <w:tc>
          <w:tcPr>
            <w:tcW w:w="2080" w:type="dxa"/>
            <w:vAlign w:val="bottom"/>
          </w:tcPr>
          <w:p>
            <w:pPr>
              <w:spacing w:after="0"/>
              <w:rPr>
                <w:sz w:val="20"/>
                <w:szCs w:val="20"/>
                <w:color w:val="auto"/>
              </w:rPr>
            </w:pPr>
            <w:r>
              <w:rPr>
                <w:rFonts w:ascii="Arial" w:cs="Arial" w:eastAsia="Arial" w:hAnsi="Arial"/>
                <w:sz w:val="12"/>
                <w:szCs w:val="12"/>
                <w:color w:val="auto"/>
              </w:rPr>
              <w:t>Malaria</w:t>
            </w:r>
          </w:p>
        </w:tc>
        <w:tc>
          <w:tcPr>
            <w:tcW w:w="3020" w:type="dxa"/>
            <w:vAlign w:val="bottom"/>
          </w:tcPr>
          <w:p>
            <w:pPr>
              <w:ind w:left="700"/>
              <w:spacing w:after="0"/>
              <w:rPr>
                <w:sz w:val="20"/>
                <w:szCs w:val="20"/>
                <w:color w:val="auto"/>
              </w:rPr>
            </w:pPr>
            <w:r>
              <w:rPr>
                <w:rFonts w:ascii="Arial" w:cs="Arial" w:eastAsia="Arial" w:hAnsi="Arial"/>
                <w:sz w:val="12"/>
                <w:szCs w:val="12"/>
                <w:color w:val="auto"/>
              </w:rPr>
              <w:t>SVP-adjuvant and SVP-malaria antigen</w:t>
            </w:r>
          </w:p>
        </w:tc>
        <w:tc>
          <w:tcPr>
            <w:tcW w:w="2840" w:type="dxa"/>
            <w:vAlign w:val="bottom"/>
          </w:tcPr>
          <w:p>
            <w:pPr>
              <w:ind w:left="480"/>
              <w:spacing w:after="0"/>
              <w:rPr>
                <w:sz w:val="20"/>
                <w:szCs w:val="20"/>
                <w:color w:val="auto"/>
              </w:rPr>
            </w:pPr>
            <w:r>
              <w:rPr>
                <w:rFonts w:ascii="Arial" w:cs="Arial" w:eastAsia="Arial" w:hAnsi="Arial"/>
                <w:sz w:val="12"/>
                <w:szCs w:val="12"/>
                <w:color w:val="auto"/>
              </w:rPr>
              <w:t>Discovery</w:t>
            </w:r>
          </w:p>
        </w:tc>
        <w:tc>
          <w:tcPr>
            <w:tcW w:w="3100" w:type="dxa"/>
            <w:vAlign w:val="bottom"/>
          </w:tcPr>
          <w:p>
            <w:pPr>
              <w:ind w:left="46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100" w:type="dxa"/>
            <w:vAlign w:val="bottom"/>
          </w:tcPr>
          <w:p>
            <w:pPr>
              <w:ind w:left="460"/>
              <w:spacing w:after="0"/>
              <w:rPr>
                <w:sz w:val="20"/>
                <w:szCs w:val="20"/>
                <w:color w:val="auto"/>
              </w:rPr>
            </w:pPr>
            <w:r>
              <w:rPr>
                <w:rFonts w:ascii="Arial" w:cs="Arial" w:eastAsia="Arial" w:hAnsi="Arial"/>
                <w:sz w:val="12"/>
                <w:szCs w:val="12"/>
                <w:color w:val="auto"/>
              </w:rPr>
              <w:t>research program</w:t>
            </w:r>
          </w:p>
        </w:tc>
      </w:tr>
    </w:tbl>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95" w:lineRule="exact"/>
        <w:rPr>
          <w:sz w:val="20"/>
          <w:szCs w:val="20"/>
          <w:color w:val="auto"/>
        </w:rPr>
      </w:pPr>
    </w:p>
    <w:p>
      <w:pPr>
        <w:ind w:left="200" w:right="220"/>
        <w:spacing w:after="0" w:line="287" w:lineRule="auto"/>
        <w:rPr>
          <w:sz w:val="20"/>
          <w:szCs w:val="20"/>
          <w:color w:val="auto"/>
        </w:rPr>
      </w:pPr>
      <w:r>
        <w:rPr>
          <w:rFonts w:ascii="Arial" w:cs="Arial" w:eastAsia="Arial" w:hAnsi="Arial"/>
          <w:sz w:val="14"/>
          <w:szCs w:val="14"/>
          <w:color w:val="auto"/>
        </w:rPr>
        <w:t>Our lead product candidate, SEL-212, consists of SVP-Rapamycin co-administered with pegsiticase, our proprietary pegylated uricase, for the treatment of refractory and chronic tophaceous gout. Our preclinical data indicate that SVP-Rapamycin, when co-administered with pegsiticase, induces antigen-specific immune tolerance to pegsiticase and substantially reduces the formation of associated ADAs. We believe that our SEL-212 has the potential to offer a uniquely effective treatment for patients with refractory or chronic tophaceous gout, while also demonstrating the clinical effectiveness of our SVP technology. We completed the patient treatment portion of our Phase 1a trial in November 2015, initiated a Phase 1b trial in December 2015 and expect final data from both Phase 1 clinical trials in the second half of 2016.</w:t>
      </w:r>
    </w:p>
    <w:p>
      <w:pPr>
        <w:spacing w:after="0" w:line="149" w:lineRule="exact"/>
        <w:rPr>
          <w:sz w:val="20"/>
          <w:szCs w:val="20"/>
          <w:color w:val="auto"/>
        </w:rPr>
      </w:pPr>
    </w:p>
    <w:p>
      <w:pPr>
        <w:ind w:left="200"/>
        <w:spacing w:after="0" w:line="260" w:lineRule="auto"/>
        <w:rPr>
          <w:sz w:val="20"/>
          <w:szCs w:val="20"/>
          <w:color w:val="auto"/>
        </w:rPr>
      </w:pPr>
      <w:r>
        <w:rPr>
          <w:rFonts w:ascii="Arial" w:cs="Arial" w:eastAsia="Arial" w:hAnsi="Arial"/>
          <w:sz w:val="15"/>
          <w:szCs w:val="15"/>
          <w:color w:val="auto"/>
        </w:rPr>
        <w:t>Approximately 8.3 million and 10 million patients in the United States and the European Union, respectively, suffer from gout, which is caused by elevated levels of serum uric acid. Excessive uric acid levels result in harmful deposits of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by uric acid levels that cannot be controlled by available oral therapies. The U.S. Food and Drug Administration, or FDA, may designate a product as an orphan product if it is intended to treat a rare disease or condition, which is generally defined as a disease or condition with a patient population of fewer than 200,000 individuals annually in the United States, or a patient population of greater than 200,000 individuals in the United States but for which there is no reasonable expectation that the cost of developing and making available in the United States the drug or biologic will be recovered from sales in the United States. Although we expect to seek orphan drug designation for one or more of our product candidates, we have not yet applied for or obtained such designation.</w:t>
      </w:r>
    </w:p>
    <w:p>
      <w:pPr>
        <w:spacing w:after="0" w:line="171"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In addition,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Both refractory and chronic tophaceous gout are severe diseases that can cause pain,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020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1385" cy="402082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560"/>
        <w:spacing w:after="0" w:line="282" w:lineRule="auto"/>
        <w:rPr>
          <w:sz w:val="20"/>
          <w:szCs w:val="20"/>
          <w:color w:val="auto"/>
        </w:rPr>
      </w:pPr>
      <w:r>
        <w:rPr>
          <w:rFonts w:ascii="Arial" w:cs="Arial" w:eastAsia="Arial" w:hAnsi="Arial"/>
          <w:sz w:val="15"/>
          <w:szCs w:val="15"/>
          <w:color w:val="auto"/>
        </w:rPr>
        <w:t>arthritis and organ failure. Krystexxa, a pegylated uricase, is the only product approved by the FDA for the treatment of chronic refractory gout. There is no approved product for chronic tophaceous gout.</w:t>
      </w:r>
    </w:p>
    <w:p>
      <w:pPr>
        <w:spacing w:after="0" w:line="151" w:lineRule="exact"/>
        <w:rPr>
          <w:sz w:val="20"/>
          <w:szCs w:val="20"/>
          <w:color w:val="auto"/>
        </w:rPr>
      </w:pPr>
    </w:p>
    <w:p>
      <w:pPr>
        <w:ind w:left="200" w:right="480"/>
        <w:spacing w:after="0" w:line="310" w:lineRule="auto"/>
        <w:rPr>
          <w:sz w:val="20"/>
          <w:szCs w:val="20"/>
          <w:color w:val="auto"/>
        </w:rPr>
      </w:pPr>
      <w:r>
        <w:rPr>
          <w:rFonts w:ascii="Arial" w:cs="Arial" w:eastAsia="Arial" w:hAnsi="Arial"/>
          <w:sz w:val="13"/>
          <w:szCs w:val="13"/>
          <w:color w:val="auto"/>
        </w:rPr>
        <w:t>SEL-212 was designed specifically to overcome the challenges faced by Krystexxa. In clinical trials, Krystexxa demonstrated the ability to significantly reduce uric acid levels in serum upon initial dosing. However, despite these results, Krystexxa has not achieved broad commercial adoption. We believe this is primarily due to the product's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 were associated with a failure to maintain normalization of uric acid levels. Similarly, in 2011, The Journal of the American Medical Association published the results of clinical trials finding that 58% of Krystexxa patients who received biweekly doses of Krystexxa were non-responders as measured by the high uric acid levels in patients, which was associated with the Krystexxa-specific ADA levels.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GENE THERAPY PROGRAMS</w:t>
      </w:r>
    </w:p>
    <w:p>
      <w:pPr>
        <w:spacing w:after="0" w:line="195" w:lineRule="exact"/>
        <w:rPr>
          <w:sz w:val="20"/>
          <w:szCs w:val="20"/>
          <w:color w:val="auto"/>
        </w:rPr>
      </w:pPr>
    </w:p>
    <w:p>
      <w:pPr>
        <w:ind w:left="200" w:right="22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39" w:lineRule="exact"/>
        <w:rPr>
          <w:sz w:val="20"/>
          <w:szCs w:val="20"/>
          <w:color w:val="auto"/>
        </w:rPr>
      </w:pPr>
    </w:p>
    <w:p>
      <w:pPr>
        <w:ind w:left="200" w:right="220"/>
        <w:spacing w:after="0" w:line="281" w:lineRule="auto"/>
        <w:rPr>
          <w:sz w:val="20"/>
          <w:szCs w:val="20"/>
          <w:color w:val="auto"/>
        </w:rPr>
      </w:pPr>
      <w:r>
        <w:rPr>
          <w:rFonts w:ascii="Arial" w:cs="Arial" w:eastAsia="Arial" w:hAnsi="Arial"/>
          <w:sz w:val="14"/>
          <w:szCs w:val="14"/>
          <w:color w:val="auto"/>
        </w:rPr>
        <w:t>We have in-licensed Anc80 from the Massachusetts Eye and Ear Infirmary and The Schepens Eye Research Institute, Inc., collectively referred to as MEE.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In collaboration with the clinical and gene therapy laboratory at the National Institutes of Health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741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1385" cy="4741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OTHER PROGRAMS FOR AUTOIMMUNE DISEASES, ALLERGIES AND MARKETED BIOLOGICS</w:t>
      </w:r>
    </w:p>
    <w:p>
      <w:pPr>
        <w:spacing w:after="0" w:line="195" w:lineRule="exact"/>
        <w:rPr>
          <w:sz w:val="20"/>
          <w:szCs w:val="20"/>
          <w:color w:val="auto"/>
        </w:rPr>
      </w:pPr>
    </w:p>
    <w:p>
      <w:pPr>
        <w:ind w:left="200" w:right="220"/>
        <w:spacing w:after="0" w:line="283" w:lineRule="auto"/>
        <w:rPr>
          <w:sz w:val="20"/>
          <w:szCs w:val="20"/>
          <w:color w:val="auto"/>
        </w:rPr>
      </w:pPr>
      <w:r>
        <w:rPr>
          <w:rFonts w:ascii="Arial" w:cs="Arial" w:eastAsia="Arial" w:hAnsi="Arial"/>
          <w:sz w:val="14"/>
          <w:szCs w:val="14"/>
          <w:color w:val="auto"/>
        </w:rPr>
        <w:t>We are also applying our SVP technology to the treatment of autoimmune diseases, allergies and marketed biologics. Currently, most autoimmune diseases are treated with broadly immunosuppressive therapies that indiscriminately affect the function of the entire immune system. Our SVP technology is designed to re-program the immune system to elicit tolerance to a specific antigen that is causing the autoimmune disease, without impacting the rest of the immune system. We believe that our preclinical data may support potential applications of SVP-Rapamycin to both marketed products, such as monoclonal antibodies against human tumor necrosis factor-alpha, or TNF-alpha, which are known to induce undesired immunogenicity, and novel biologic drugs that would otherwise be too immunogenic to develop. Since 2012, we have established three collaborations with Sanofi to research novel SVP products for the treatment of a life-threatening food allergy, celiac disease and type 1 diabetes. We intend to continue our strategy of out-licensing our SVP technology for antigen-specific immune tolerance for applications that are outside our areas of focus.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IMMUNE STIMULATION PROGRAMS</w:t>
      </w:r>
    </w:p>
    <w:p>
      <w:pPr>
        <w:spacing w:after="0" w:line="195" w:lineRule="exact"/>
        <w:rPr>
          <w:sz w:val="20"/>
          <w:szCs w:val="20"/>
          <w:color w:val="auto"/>
        </w:rPr>
      </w:pPr>
    </w:p>
    <w:p>
      <w:pPr>
        <w:jc w:val="both"/>
        <w:ind w:left="200" w:right="100"/>
        <w:spacing w:after="0" w:line="270" w:lineRule="auto"/>
        <w:rPr>
          <w:sz w:val="20"/>
          <w:szCs w:val="20"/>
          <w:color w:val="auto"/>
        </w:rPr>
      </w:pPr>
      <w:r>
        <w:rPr>
          <w:rFonts w:ascii="Arial" w:cs="Arial" w:eastAsia="Arial" w:hAnsi="Arial"/>
          <w:sz w:val="15"/>
          <w:szCs w:val="15"/>
          <w:color w:val="auto"/>
        </w:rPr>
        <w:t>We also believe our SVP technology, by encapsulating antigens and adjuvants,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We currently finance these programs primarily through grants.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 with biopharmaceutical companies on programs that can benefit from our technology but that are outside our area of focus. The key elements of our strategy include the following.</w:t>
      </w:r>
    </w:p>
    <w:p>
      <w:pPr>
        <w:spacing w:after="0" w:line="182" w:lineRule="exact"/>
        <w:rPr>
          <w:sz w:val="20"/>
          <w:szCs w:val="20"/>
          <w:color w:val="auto"/>
        </w:rPr>
      </w:pPr>
    </w:p>
    <w:p>
      <w:pPr>
        <w:ind w:left="660" w:right="80" w:hanging="467"/>
        <w:spacing w:after="0" w:line="287"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Rapidly advance the development of our lead product candidate, SEL-212, for the treatment of refractory and chronic tophaceous gout</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believe SEL-212 has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potential to 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trials,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60" w:lineRule="exact"/>
        <w:rPr>
          <w:rFonts w:ascii="Arial" w:cs="Arial" w:eastAsia="Arial" w:hAnsi="Arial"/>
          <w:sz w:val="14"/>
          <w:szCs w:val="14"/>
          <w:color w:val="auto"/>
        </w:rPr>
      </w:pPr>
    </w:p>
    <w:p>
      <w:pPr>
        <w:ind w:left="660" w:hanging="467"/>
        <w:spacing w:after="0" w:line="263"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Leverage our SVP technology for immune tolerance to develop novel uses and classes of non-immunogenic biologics. </w:t>
      </w:r>
      <w:r>
        <w:rPr>
          <w:rFonts w:ascii="Arial" w:cs="Arial" w:eastAsia="Arial" w:hAnsi="Arial"/>
          <w:sz w:val="15"/>
          <w:szCs w:val="15"/>
          <w:color w:val="auto"/>
        </w:rPr>
        <w:t>We intend to use our SVP technology to develop gene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to utilize with our technology. In addition, we intend to pursue opportunities to in-license proprietary enzymes that we can co-administer with SVP-Rapamycin to address the issues of immunogenicity and develop effective proprietary products.</w:t>
      </w:r>
    </w:p>
    <w:p>
      <w:pPr>
        <w:spacing w:after="0" w:line="178" w:lineRule="exact"/>
        <w:rPr>
          <w:rFonts w:ascii="Arial" w:cs="Arial" w:eastAsia="Arial" w:hAnsi="Arial"/>
          <w:sz w:val="15"/>
          <w:szCs w:val="15"/>
          <w:color w:val="auto"/>
        </w:rPr>
      </w:pPr>
    </w:p>
    <w:p>
      <w:pPr>
        <w:ind w:left="660" w:right="400" w:hanging="467"/>
        <w:spacing w:after="0" w:line="282"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infrastructure and capabilities to commercialize our products in rare and orphan diseases. </w:t>
      </w:r>
      <w:r>
        <w:rPr>
          <w:rFonts w:ascii="Arial" w:cs="Arial" w:eastAsia="Arial" w:hAnsi="Arial"/>
          <w:sz w:val="15"/>
          <w:szCs w:val="15"/>
          <w:color w:val="auto"/>
        </w:rPr>
        <w:t>While we believe our SVP technology may be broadly applicable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disease areas, we</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918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1385" cy="49180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660" w:right="320"/>
        <w:spacing w:after="0" w:line="297" w:lineRule="auto"/>
        <w:rPr>
          <w:sz w:val="20"/>
          <w:szCs w:val="20"/>
          <w:color w:val="auto"/>
        </w:rPr>
      </w:pPr>
      <w:r>
        <w:rPr>
          <w:rFonts w:ascii="Arial" w:cs="Arial" w:eastAsia="Arial" w:hAnsi="Arial"/>
          <w:sz w:val="14"/>
          <w:szCs w:val="14"/>
          <w:color w:val="auto"/>
        </w:rPr>
        <w:t>intend to focus our efforts on developing and commercializing proprietary SVP-enabled products for rare and serious diseases where there is high unmet medical need. Therapies for treating rare and serious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67" w:lineRule="exact"/>
        <w:rPr>
          <w:sz w:val="20"/>
          <w:szCs w:val="20"/>
          <w:color w:val="auto"/>
        </w:rPr>
      </w:pPr>
    </w:p>
    <w:p>
      <w:pPr>
        <w:ind w:left="660" w:right="260" w:hanging="467"/>
        <w:spacing w:after="0" w:line="330"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Selectively pursue collaborations and maximize the value of our SVP programs for immune tolerance. </w:t>
      </w:r>
      <w:r>
        <w:rPr>
          <w:rFonts w:ascii="Arial" w:cs="Arial" w:eastAsia="Arial" w:hAnsi="Arial"/>
          <w:sz w:val="13"/>
          <w:szCs w:val="13"/>
          <w:color w:val="auto"/>
        </w:rPr>
        <w:t>In addition to our own proprietary product development efforts,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in 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36" w:lineRule="exact"/>
        <w:rPr>
          <w:rFonts w:ascii="Arial" w:cs="Arial" w:eastAsia="Arial" w:hAnsi="Arial"/>
          <w:sz w:val="13"/>
          <w:szCs w:val="13"/>
          <w:color w:val="auto"/>
        </w:rPr>
      </w:pPr>
    </w:p>
    <w:p>
      <w:pPr>
        <w:ind w:left="660" w:right="360" w:hanging="467"/>
        <w:spacing w:after="0" w:line="313"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 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relapse prevention on our own with grant funding from the Skolkovo Foundation for our HPV program and NIDA for our nicotine program. We are developing our malaria program under a sponsored research arrangement with The Bill and Melinda Gates Foundation.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RISKS FACTORS</w:t>
      </w:r>
    </w:p>
    <w:p>
      <w:pPr>
        <w:spacing w:after="0" w:line="195" w:lineRule="exact"/>
        <w:rPr>
          <w:sz w:val="20"/>
          <w:szCs w:val="20"/>
          <w:color w:val="auto"/>
        </w:rPr>
      </w:pPr>
    </w:p>
    <w:p>
      <w:pPr>
        <w:ind w:left="200" w:right="380"/>
        <w:spacing w:after="0" w:line="282"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Some of these risks are:</w:t>
      </w:r>
    </w:p>
    <w:p>
      <w:pPr>
        <w:spacing w:after="0" w:line="162" w:lineRule="exact"/>
        <w:rPr>
          <w:sz w:val="20"/>
          <w:szCs w:val="20"/>
          <w:color w:val="auto"/>
        </w:rPr>
      </w:pPr>
    </w:p>
    <w:p>
      <w:pPr>
        <w:ind w:left="660" w:right="30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a development-stage company, have incurred significant losses since our inception, expect to incur losses for the foreseeable future and may never achieve or maintain profitability;</w:t>
      </w:r>
    </w:p>
    <w:p>
      <w:pPr>
        <w:spacing w:after="0" w:line="173" w:lineRule="exact"/>
        <w:rPr>
          <w:rFonts w:ascii="Arial" w:cs="Arial" w:eastAsia="Arial" w:hAnsi="Arial"/>
          <w:sz w:val="15"/>
          <w:szCs w:val="15"/>
          <w:color w:val="auto"/>
        </w:rPr>
      </w:pPr>
    </w:p>
    <w:p>
      <w:pPr>
        <w:ind w:left="660" w:right="400" w:hanging="467"/>
        <w:spacing w:after="0" w:line="362" w:lineRule="auto"/>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even if this offering is successful, we will need additional funding in order to complete development of our product candidates and commercialize our products, if approved, and if we are unable to raise capital when needed, we could be forced to delay, reduce or eliminate our product development programs or commercialization efforts;</w:t>
      </w:r>
    </w:p>
    <w:p>
      <w:pPr>
        <w:spacing w:after="0" w:line="116" w:lineRule="exact"/>
        <w:rPr>
          <w:rFonts w:ascii="Arial" w:cs="Arial" w:eastAsia="Arial" w:hAnsi="Arial"/>
          <w:sz w:val="13"/>
          <w:szCs w:val="13"/>
          <w:color w:val="auto"/>
        </w:rPr>
      </w:pPr>
    </w:p>
    <w:p>
      <w:pPr>
        <w:ind w:left="660" w:right="30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are very early in our clinical development efforts and may not be successful in our efforts to use our SVP technology to build a pipeline of product candidates and develop marketable drugs;</w:t>
      </w:r>
    </w:p>
    <w:p>
      <w:pPr>
        <w:spacing w:after="0" w:line="162" w:lineRule="exact"/>
        <w:rPr>
          <w:rFonts w:ascii="Arial" w:cs="Arial" w:eastAsia="Arial" w:hAnsi="Arial"/>
          <w:sz w:val="15"/>
          <w:szCs w:val="15"/>
          <w:color w:val="auto"/>
        </w:rPr>
      </w:pPr>
    </w:p>
    <w:p>
      <w:pPr>
        <w:ind w:left="660" w:right="32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product candidates are based on our SVP technology, which is an unproven approach designed to induce antigen-specific immune tolerance to biologic drugs or stimulate the immune system;</w:t>
      </w:r>
    </w:p>
    <w:p>
      <w:pPr>
        <w:spacing w:after="0" w:line="173" w:lineRule="exact"/>
        <w:rPr>
          <w:rFonts w:ascii="Arial" w:cs="Arial" w:eastAsia="Arial" w:hAnsi="Arial"/>
          <w:sz w:val="15"/>
          <w:szCs w:val="15"/>
          <w:color w:val="auto"/>
        </w:rPr>
      </w:pPr>
    </w:p>
    <w:p>
      <w:pPr>
        <w:ind w:left="660" w:right="540" w:hanging="467"/>
        <w:spacing w:after="0" w:line="282"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62" w:lineRule="exact"/>
        <w:rPr>
          <w:rFonts w:ascii="Arial" w:cs="Arial" w:eastAsia="Arial" w:hAnsi="Arial"/>
          <w:sz w:val="15"/>
          <w:szCs w:val="15"/>
          <w:color w:val="auto"/>
        </w:rPr>
      </w:pPr>
    </w:p>
    <w:p>
      <w:pPr>
        <w:ind w:left="660" w:right="320" w:hanging="467"/>
        <w:spacing w:after="0" w:line="297"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and expect to continue to rely, on Shenyang Sunshine Pharmaceutical Co., Ltd., or 3SBio, in China for pegsiticase and other third parties for the manufacture of our product candidates for preclinical and clinical testing, which increases the risk that we will not have sufficient quantities of our product candidates or that such quantities may not be available at an acceptable cost, which could delay, prevent or impair our development or commercialization efforts;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374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1385" cy="53740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right="32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existing collaborations are important to our business and future licenses may also be important to us, and if we are unable to maintain any of these collaborations, or if these arrangements are not successful, our business could be adversely affected;</w:t>
      </w:r>
    </w:p>
    <w:p>
      <w:pPr>
        <w:spacing w:after="0" w:line="162" w:lineRule="exact"/>
        <w:rPr>
          <w:rFonts w:ascii="Arial" w:cs="Arial" w:eastAsia="Arial" w:hAnsi="Arial"/>
          <w:sz w:val="15"/>
          <w:szCs w:val="15"/>
          <w:color w:val="auto"/>
        </w:rPr>
      </w:pPr>
    </w:p>
    <w:p>
      <w:pPr>
        <w:ind w:left="660" w:right="300" w:hanging="467"/>
        <w:spacing w:after="0" w:line="28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are unable to adequately protect our proprietary technology, or obtain and maintain issued patents which are sufficient to protect our product candidates, others could compete against us more directly, which would negatively impact our business; and</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future success depends on our ability to retain key executives and to attract, retain and motivate qualified personnel.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200" w:right="20"/>
        <w:spacing w:after="0" w:line="270" w:lineRule="auto"/>
        <w:rPr>
          <w:sz w:val="20"/>
          <w:szCs w:val="20"/>
          <w:color w:val="auto"/>
        </w:rPr>
      </w:pPr>
      <w:r>
        <w:rPr>
          <w:rFonts w:ascii="Arial" w:cs="Arial" w:eastAsia="Arial" w:hAnsi="Arial"/>
          <w:sz w:val="15"/>
          <w:szCs w:val="15"/>
          <w:color w:val="auto"/>
        </w:rPr>
        <w:t>As a company with less than $1.0 billion in revenue during our last fiscal year, we qualify as an "emerging growth company" as defined in the Jumpstart Our Business Startups Act, or JOBS Act, enacted in April 2012. An "emerging growth company" may take advantage of reduced reporting requirements that are otherwise applicable to public companies. These provisions include, but are not limited to:</w:t>
      </w:r>
    </w:p>
    <w:p>
      <w:pPr>
        <w:spacing w:after="0" w:line="182" w:lineRule="exact"/>
        <w:rPr>
          <w:sz w:val="20"/>
          <w:szCs w:val="20"/>
          <w:color w:val="auto"/>
        </w:rPr>
      </w:pPr>
    </w:p>
    <w:p>
      <w:pPr>
        <w:ind w:left="660" w:right="4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62" w:lineRule="exact"/>
        <w:rPr>
          <w:rFonts w:ascii="Arial" w:cs="Arial" w:eastAsia="Arial" w:hAnsi="Arial"/>
          <w:sz w:val="15"/>
          <w:szCs w:val="15"/>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221" w:lineRule="exact"/>
        <w:rPr>
          <w:rFonts w:ascii="Arial" w:cs="Arial" w:eastAsia="Arial" w:hAnsi="Arial"/>
          <w:sz w:val="15"/>
          <w:szCs w:val="15"/>
          <w:color w:val="auto"/>
        </w:rPr>
      </w:pPr>
    </w:p>
    <w:p>
      <w:pPr>
        <w:ind w:left="660" w:right="600" w:hanging="467"/>
        <w:spacing w:after="0" w:line="282"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 billion or we issue more than $1.0 billion of non-convertible debt in any three-year period, we will cease to be an emerging growth company prior to the end of such five-year period.</w:t>
      </w:r>
    </w:p>
    <w:p>
      <w:pPr>
        <w:spacing w:after="0" w:line="159" w:lineRule="exact"/>
        <w:rPr>
          <w:sz w:val="20"/>
          <w:szCs w:val="20"/>
          <w:color w:val="auto"/>
        </w:rPr>
      </w:pPr>
    </w:p>
    <w:p>
      <w:pPr>
        <w:ind w:left="200" w:right="240"/>
        <w:spacing w:after="0" w:line="270"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59" w:lineRule="exact"/>
        <w:rPr>
          <w:sz w:val="20"/>
          <w:szCs w:val="20"/>
          <w:color w:val="auto"/>
        </w:rPr>
      </w:pPr>
    </w:p>
    <w:p>
      <w:pPr>
        <w:ind w:left="200" w:right="60"/>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200"/>
        <w:spacing w:after="0" w:line="270" w:lineRule="auto"/>
        <w:rPr>
          <w:sz w:val="20"/>
          <w:szCs w:val="20"/>
          <w:color w:val="auto"/>
        </w:rPr>
      </w:pPr>
      <w:r>
        <w:rPr>
          <w:rFonts w:ascii="Arial" w:cs="Arial" w:eastAsia="Arial" w:hAnsi="Arial"/>
          <w:sz w:val="15"/>
          <w:szCs w:val="15"/>
          <w:color w:val="auto"/>
        </w:rPr>
        <w:t xml:space="preserve">We were incorporated under the laws of the state of Delaware in 2007. Our principal executive offices are located at 480 Arsenal Street, Building One, Watertown, Massachusetts 02472 and our telephone number is (617) 923-1400. Our website address is </w:t>
      </w:r>
      <w:r>
        <w:rPr>
          <w:rFonts w:ascii="Arial" w:cs="Arial" w:eastAsia="Arial" w:hAnsi="Arial"/>
          <w:sz w:val="15"/>
          <w:szCs w:val="15"/>
          <w:i w:val="1"/>
          <w:iCs w:val="1"/>
          <w:color w:val="auto"/>
        </w:rPr>
        <w:t>www.selectabio.com</w:t>
      </w:r>
      <w:r>
        <w:rPr>
          <w:rFonts w:ascii="Arial" w:cs="Arial" w:eastAsia="Arial" w:hAnsi="Arial"/>
          <w:sz w:val="15"/>
          <w:szCs w:val="15"/>
          <w:color w:val="auto"/>
        </w:rPr>
        <w:t>. The information contained in, or accessible through, our website does not constitute a part of this prospectus.</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0"/>
          </w:cols>
          <w:pgMar w:left="240" w:top="132" w:right="4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5307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1385" cy="530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The offering</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offered by</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us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4,250,000 shares (or 4,887,500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Common</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stock to be</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w w:val="97"/>
              </w:rPr>
              <w:t>outstanding</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after this</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16,914,048 shares (or 17,551,548 shares if the underwriters exercise their option to purchase additional shares in full).</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Use of</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8"/>
              </w:rPr>
              <w:t>We estimate that the net proceeds to us from this offering, after deducting underwriting discounts and estimated offering expenses payable by us, will be</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proceeds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approximately $55.4 million, or approximately $64.3 million if the underwriters exercise their option to purchase additional shares in full, based on an assumed initial</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3"/>
              </w:rPr>
              <w:t>public offering price of $15.00 per share, which is the midpoint of the price range set forth on the cover page of this prospectus. We expect that we will use the net</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6"/>
              </w:rPr>
              <w:t>proceeds from this offering to support the clinical development and manufacturing scale-up of SEL-212, advance the development of our other SVP product</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candidates and for working capital and general corporate purposes. See "Use of proceeds" beginning on page 69.</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Directed</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5"/>
              </w:rPr>
              <w:t>At our request, the underwriters have reserved up to 5% of the common stock being offered by this prospectus for sale at the initial public offering price to our</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share</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3"/>
              </w:rPr>
              <w:t>directors, officers, employees and other individuals associated with us and members of their families. These sales will be made by UBS Financial Services Inc., a</w:t>
            </w: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program</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selected dealer affiliated with UBS Securities LLC, an underwriter of this offering, through a directed share program. We do not know if these persons will choose to</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purchase all or any portion of these reserved shares, but any purchases they do make will reduce the number of shares available to the general public. Any reserved</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shares not so purchased will be offered by the underwriters to the general public on the same terms as the other shares of common stock. Participants in the directed</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1"/>
              </w:rPr>
              <w:t>share program who purchase more than $1,000,000 of shares shall be subject to a 25-day lock-up with respect to any shares sold to them pursuant to that program.</w:t>
            </w:r>
          </w:p>
        </w:tc>
      </w:tr>
      <w:tr>
        <w:trPr>
          <w:trHeight w:val="185"/>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2"/>
              </w:rPr>
              <w:t>Any shares sold in the directed share program to our directors or executive officers shall be subject to a 180-day lock-up. All of these lock-up agreements will have</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similar restrictions to the lock-up agreements described herein. See "Shares eligible for future sale—Lock-up agreements."</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Risk factors</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w w:val="96"/>
              </w:rPr>
              <w:t>See "Risk factors" beginning on page 15 and the other information included in this prospectus for a discussion of factors you should consider carefully before</w:t>
            </w:r>
          </w:p>
        </w:tc>
      </w:tr>
      <w:tr>
        <w:trPr>
          <w:trHeight w:val="190"/>
        </w:trPr>
        <w:tc>
          <w:tcPr>
            <w:tcW w:w="920" w:type="dxa"/>
            <w:vAlign w:val="bottom"/>
          </w:tcPr>
          <w:p>
            <w:pPr>
              <w:spacing w:after="0"/>
              <w:rPr>
                <w:sz w:val="16"/>
                <w:szCs w:val="16"/>
                <w:color w:val="auto"/>
              </w:rPr>
            </w:pP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deciding to invest in our common stock.</w:t>
            </w:r>
          </w:p>
        </w:tc>
      </w:tr>
      <w:tr>
        <w:trPr>
          <w:trHeight w:val="366"/>
        </w:trPr>
        <w:tc>
          <w:tcPr>
            <w:tcW w:w="920" w:type="dxa"/>
            <w:vAlign w:val="bottom"/>
          </w:tcPr>
          <w:p>
            <w:pPr>
              <w:spacing w:after="0"/>
              <w:rPr>
                <w:sz w:val="20"/>
                <w:szCs w:val="20"/>
                <w:color w:val="auto"/>
              </w:rPr>
            </w:pPr>
            <w:r>
              <w:rPr>
                <w:rFonts w:ascii="Arial" w:cs="Arial" w:eastAsia="Arial" w:hAnsi="Arial"/>
                <w:sz w:val="15"/>
                <w:szCs w:val="15"/>
                <w:color w:val="auto"/>
              </w:rPr>
              <w:t>NASDAQ</w:t>
            </w:r>
          </w:p>
        </w:tc>
        <w:tc>
          <w:tcPr>
            <w:tcW w:w="3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Global</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85"/>
        </w:trPr>
        <w:tc>
          <w:tcPr>
            <w:tcW w:w="920" w:type="dxa"/>
            <w:vAlign w:val="bottom"/>
          </w:tcPr>
          <w:p>
            <w:pPr>
              <w:ind w:left="140"/>
              <w:spacing w:after="0"/>
              <w:rPr>
                <w:sz w:val="20"/>
                <w:szCs w:val="20"/>
                <w:color w:val="auto"/>
              </w:rPr>
            </w:pPr>
            <w:r>
              <w:rPr>
                <w:rFonts w:ascii="Arial" w:cs="Arial" w:eastAsia="Arial" w:hAnsi="Arial"/>
                <w:sz w:val="15"/>
                <w:szCs w:val="15"/>
                <w:color w:val="auto"/>
              </w:rPr>
              <w:t>Market</w:t>
            </w:r>
          </w:p>
        </w:tc>
        <w:tc>
          <w:tcPr>
            <w:tcW w:w="3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190"/>
        </w:trPr>
        <w:tc>
          <w:tcPr>
            <w:tcW w:w="920" w:type="dxa"/>
            <w:vAlign w:val="bottom"/>
          </w:tcPr>
          <w:p>
            <w:pPr>
              <w:ind w:left="140"/>
              <w:spacing w:after="0"/>
              <w:rPr>
                <w:sz w:val="20"/>
                <w:szCs w:val="20"/>
                <w:color w:val="auto"/>
              </w:rPr>
            </w:pPr>
            <w:r>
              <w:rPr>
                <w:rFonts w:ascii="Arial" w:cs="Arial" w:eastAsia="Arial" w:hAnsi="Arial"/>
                <w:sz w:val="15"/>
                <w:szCs w:val="15"/>
                <w:color w:val="auto"/>
              </w:rPr>
              <w:t>symbol</w:t>
            </w:r>
          </w:p>
        </w:tc>
        <w:tc>
          <w:tcPr>
            <w:tcW w:w="10080" w:type="dxa"/>
            <w:vAlign w:val="bottom"/>
            <w:gridSpan w:val="3"/>
          </w:tcPr>
          <w:p>
            <w:pPr>
              <w:ind w:left="80"/>
              <w:spacing w:after="0"/>
              <w:rPr>
                <w:sz w:val="20"/>
                <w:szCs w:val="20"/>
                <w:color w:val="auto"/>
              </w:rPr>
            </w:pPr>
            <w:r>
              <w:rPr>
                <w:rFonts w:ascii="Arial" w:cs="Arial" w:eastAsia="Arial" w:hAnsi="Arial"/>
                <w:sz w:val="15"/>
                <w:szCs w:val="15"/>
                <w:color w:val="auto"/>
              </w:rPr>
              <w:t>"SELB"</w:t>
            </w:r>
          </w:p>
        </w:tc>
      </w:tr>
      <w:tr>
        <w:trPr>
          <w:trHeight w:val="188"/>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4040" w:type="dxa"/>
            <w:vAlign w:val="bottom"/>
          </w:tcPr>
          <w:p>
            <w:pPr>
              <w:spacing w:after="0"/>
              <w:rPr>
                <w:sz w:val="16"/>
                <w:szCs w:val="16"/>
                <w:color w:val="auto"/>
              </w:rPr>
            </w:pPr>
          </w:p>
        </w:tc>
      </w:tr>
    </w:tbl>
    <w:p>
      <w:pPr>
        <w:spacing w:after="0" w:line="200" w:lineRule="exact"/>
        <w:rPr>
          <w:sz w:val="20"/>
          <w:szCs w:val="20"/>
          <w:color w:val="auto"/>
        </w:rPr>
      </w:pPr>
    </w:p>
    <w:p>
      <w:pPr>
        <w:spacing w:after="0" w:line="256" w:lineRule="exact"/>
        <w:rPr>
          <w:sz w:val="20"/>
          <w:szCs w:val="20"/>
          <w:color w:val="auto"/>
        </w:rPr>
      </w:pPr>
    </w:p>
    <w:p>
      <w:pPr>
        <w:ind w:left="200" w:right="920"/>
        <w:spacing w:after="0" w:line="282"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05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1385" cy="50577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260"/>
        <w:spacing w:after="0" w:line="270" w:lineRule="auto"/>
        <w:rPr>
          <w:sz w:val="20"/>
          <w:szCs w:val="20"/>
          <w:color w:val="auto"/>
        </w:rPr>
      </w:pPr>
      <w:r>
        <w:rPr>
          <w:rFonts w:ascii="Arial" w:cs="Arial" w:eastAsia="Arial" w:hAnsi="Arial"/>
          <w:sz w:val="15"/>
          <w:szCs w:val="15"/>
          <w:color w:val="auto"/>
        </w:rPr>
        <w:t>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59" w:lineRule="exact"/>
        <w:rPr>
          <w:sz w:val="20"/>
          <w:szCs w:val="20"/>
          <w:color w:val="auto"/>
        </w:rPr>
      </w:pPr>
    </w:p>
    <w:p>
      <w:pPr>
        <w:ind w:left="200" w:right="200"/>
        <w:spacing w:after="0" w:line="330" w:lineRule="auto"/>
        <w:rPr>
          <w:sz w:val="20"/>
          <w:szCs w:val="20"/>
          <w:color w:val="auto"/>
        </w:rPr>
      </w:pPr>
      <w:r>
        <w:rPr>
          <w:rFonts w:ascii="Arial" w:cs="Arial" w:eastAsia="Arial" w:hAnsi="Arial"/>
          <w:sz w:val="13"/>
          <w:szCs w:val="13"/>
          <w:color w:val="auto"/>
        </w:rPr>
        <w:t>The number of shares of our common stock to be outstanding after this offering is based on 2,773,468 shares of our common stock outstanding as of May 31, 2016, which included 4,415 shares of unvested restricted stock and gives effect to the conversion of our outstanding preferred stock into 9,890,580 shares of common stock, based on an assumed initial public offering price of $15.00 per share, the midpoint of the price range set forth on the cover of this prospectus, upon the closing of this offering, and excludes:</w:t>
      </w:r>
    </w:p>
    <w:p>
      <w:pPr>
        <w:spacing w:after="0" w:line="148" w:lineRule="exact"/>
        <w:rPr>
          <w:sz w:val="20"/>
          <w:szCs w:val="20"/>
          <w:color w:val="auto"/>
        </w:rPr>
      </w:pPr>
    </w:p>
    <w:p>
      <w:pPr>
        <w:ind w:left="660" w:hanging="467"/>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1,723,704 shares of common stock issuable upon exercise of stock options outstanding as of May 31, 2016, at a weighted average exercise price of $4.92 per share;</w:t>
      </w:r>
    </w:p>
    <w:p>
      <w:pPr>
        <w:spacing w:after="0" w:line="221" w:lineRule="exact"/>
        <w:rPr>
          <w:rFonts w:ascii="Arial" w:cs="Arial" w:eastAsia="Arial" w:hAnsi="Arial"/>
          <w:sz w:val="14"/>
          <w:szCs w:val="14"/>
          <w:color w:val="auto"/>
        </w:rPr>
      </w:pPr>
    </w:p>
    <w:p>
      <w:pPr>
        <w:ind w:left="660" w:right="120" w:hanging="467"/>
        <w:spacing w:after="0" w:line="319"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112,789 shares of common stock issuable upon the exercise of warrants outstanding as of May 31, 2016, including outstanding warrants to purchase shares of preferred stock that will become warrants to purchase common stock upon the closing of this offering, at a weighted average exercise price of $17.43 per share;</w:t>
      </w:r>
    </w:p>
    <w:p>
      <w:pPr>
        <w:spacing w:after="0" w:line="139" w:lineRule="exact"/>
        <w:rPr>
          <w:rFonts w:ascii="Arial" w:cs="Arial" w:eastAsia="Arial" w:hAnsi="Arial"/>
          <w:sz w:val="14"/>
          <w:szCs w:val="14"/>
          <w:color w:val="auto"/>
        </w:rPr>
      </w:pPr>
    </w:p>
    <w:p>
      <w:pPr>
        <w:ind w:left="660" w:hanging="467"/>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10,163 shares of our common stock available for future issuance under our 2008 Equity Incentive Plan;</w:t>
      </w:r>
    </w:p>
    <w:p>
      <w:pPr>
        <w:spacing w:after="0" w:line="221" w:lineRule="exact"/>
        <w:rPr>
          <w:rFonts w:ascii="Arial" w:cs="Arial" w:eastAsia="Arial" w:hAnsi="Arial"/>
          <w:sz w:val="15"/>
          <w:szCs w:val="15"/>
          <w:color w:val="auto"/>
        </w:rPr>
      </w:pPr>
    </w:p>
    <w:p>
      <w:pPr>
        <w:ind w:left="660" w:right="160" w:hanging="467"/>
        <w:spacing w:after="0" w:line="27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390,796 shares of common stock issuable upon the exercise of stock options to be granted in connection with this offering under our 2016 Incentive Award Plan, or the 2016 Plan, which will become effective in connection with this offering, to some of our executive officers and employees, at an exercise price per share equal to the initial public offering price in this offering;</w:t>
      </w:r>
    </w:p>
    <w:p>
      <w:pPr>
        <w:spacing w:after="0" w:line="170" w:lineRule="exact"/>
        <w:rPr>
          <w:rFonts w:ascii="Arial" w:cs="Arial" w:eastAsia="Arial" w:hAnsi="Arial"/>
          <w:sz w:val="15"/>
          <w:szCs w:val="15"/>
          <w:color w:val="auto"/>
        </w:rPr>
      </w:pPr>
    </w:p>
    <w:p>
      <w:pPr>
        <w:ind w:left="660" w:right="140" w:hanging="467"/>
        <w:spacing w:after="0" w:line="270"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compensation—Incentive plans—2016 Incentive Award Plan"; and</w:t>
      </w:r>
    </w:p>
    <w:p>
      <w:pPr>
        <w:spacing w:after="0" w:line="170" w:lineRule="exact"/>
        <w:rPr>
          <w:rFonts w:ascii="Arial" w:cs="Arial" w:eastAsia="Arial" w:hAnsi="Arial"/>
          <w:sz w:val="15"/>
          <w:szCs w:val="15"/>
          <w:color w:val="auto"/>
        </w:rPr>
      </w:pPr>
    </w:p>
    <w:p>
      <w:pPr>
        <w:ind w:left="660" w:hanging="467"/>
        <w:spacing w:after="0" w:line="33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173,076 shares of our common stock reserved for future issuance under our 2016 Employee Stock Purchase Plan, or the 2016 ESPP, which will become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Unless otherwise indicated, this prospectus reflects and assumes the following:</w:t>
      </w:r>
    </w:p>
    <w:p>
      <w:pPr>
        <w:spacing w:after="0" w:line="221" w:lineRule="exact"/>
        <w:rPr>
          <w:sz w:val="20"/>
          <w:szCs w:val="20"/>
          <w:color w:val="auto"/>
        </w:rPr>
      </w:pPr>
    </w:p>
    <w:p>
      <w:pPr>
        <w:ind w:left="660" w:hanging="467"/>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1-for-3.9 reverse stock split of our common stock effected on June 7, 2016;</w:t>
      </w:r>
    </w:p>
    <w:p>
      <w:pPr>
        <w:spacing w:after="0" w:line="209" w:lineRule="exact"/>
        <w:rPr>
          <w:rFonts w:ascii="Arial" w:cs="Arial" w:eastAsia="Arial" w:hAnsi="Arial"/>
          <w:sz w:val="15"/>
          <w:szCs w:val="15"/>
          <w:color w:val="auto"/>
        </w:rPr>
      </w:pPr>
    </w:p>
    <w:p>
      <w:pPr>
        <w:ind w:left="660" w:right="140" w:hanging="467"/>
        <w:spacing w:after="0" w:line="362"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automatic conversion of all shares of our preferred stock outstanding into common stock upon closing of this offering, which, based on an assumed initial public offering price of $15.00 per share, the midpoint of the price range set forth on the cover of this prospectus, would result in the issuance of 9,890,580 shares of our common stock;</w:t>
      </w:r>
    </w:p>
    <w:p>
      <w:pPr>
        <w:spacing w:after="0" w:line="116" w:lineRule="exact"/>
        <w:rPr>
          <w:rFonts w:ascii="Arial" w:cs="Arial" w:eastAsia="Arial" w:hAnsi="Arial"/>
          <w:sz w:val="13"/>
          <w:szCs w:val="13"/>
          <w:color w:val="auto"/>
        </w:rPr>
      </w:pPr>
    </w:p>
    <w:p>
      <w:pPr>
        <w:ind w:left="660" w:right="100" w:hanging="467"/>
        <w:spacing w:after="0" w:line="266"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outstanding warrants to purchase shares of our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2880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1385" cy="28809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hanging="467"/>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exercise of outstanding options or warrants after May 31, 2016;</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filing of our restated certificate of incorporation and the adoption of our restated bylaws, which will occur upon the closing of this offering; and</w:t>
      </w:r>
    </w:p>
    <w:p>
      <w:pPr>
        <w:spacing w:after="0" w:line="209" w:lineRule="exact"/>
        <w:rPr>
          <w:rFonts w:ascii="Arial" w:cs="Arial" w:eastAsia="Arial" w:hAnsi="Arial"/>
          <w:sz w:val="15"/>
          <w:szCs w:val="15"/>
          <w:color w:val="auto"/>
        </w:rPr>
      </w:pPr>
    </w:p>
    <w:p>
      <w:pPr>
        <w:ind w:left="660" w:hanging="467"/>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198" w:lineRule="exact"/>
        <w:rPr>
          <w:sz w:val="20"/>
          <w:szCs w:val="20"/>
          <w:color w:val="auto"/>
        </w:rPr>
      </w:pPr>
    </w:p>
    <w:p>
      <w:pPr>
        <w:ind w:left="200" w:right="260"/>
        <w:spacing w:after="0" w:line="283" w:lineRule="auto"/>
        <w:rPr>
          <w:sz w:val="20"/>
          <w:szCs w:val="20"/>
          <w:color w:val="auto"/>
        </w:rPr>
      </w:pPr>
      <w:r>
        <w:rPr>
          <w:rFonts w:ascii="Arial" w:cs="Arial" w:eastAsia="Arial" w:hAnsi="Arial"/>
          <w:sz w:val="14"/>
          <w:szCs w:val="14"/>
          <w:color w:val="auto"/>
        </w:rPr>
        <w:t>Upon the closing of this offering, our series E preferred stock will automatically convert into a number of shares of common stock determined, in part, by the initial public offering price for this offering. Assuming an initial public offering price of $15.00 per share, the midpoint of the price range set forth on the cover of this prospectus, our series E preferred stock will automatically convert into 3,297,480 shares of common stock upon closing of this offering. A $1.00, $2.00 and $3.00 increase in the assumed initial public offering price of $15.00 per share would decrease the number of shares of common stock issuable upon conversion of our series E preferred stock by 206,093 shares, 387,938 shares and 549,581 shares, respectively. A $1.00, $2.00 and $3.00 decrease in the assumed initial public offering price of $15.00 per share would increase the number of shares of common stock issued upon conversion of our series E preferred stock by 235,538 shares, 507,308 shares and 824,372 shares, respectively. Accordingly, the number of shares of our common stock issuable upon conversion of all of our preferred stock outstanding would correspondingly decrease or increase, as applicable.</w:t>
      </w:r>
    </w:p>
    <w:p>
      <w:pPr>
        <w:spacing w:after="0" w:line="154" w:lineRule="exact"/>
        <w:rPr>
          <w:sz w:val="20"/>
          <w:szCs w:val="20"/>
          <w:color w:val="auto"/>
        </w:rPr>
      </w:pPr>
    </w:p>
    <w:p>
      <w:pPr>
        <w:ind w:left="200" w:right="220"/>
        <w:spacing w:after="0" w:line="310" w:lineRule="auto"/>
        <w:rPr>
          <w:sz w:val="20"/>
          <w:szCs w:val="20"/>
          <w:color w:val="auto"/>
        </w:rPr>
      </w:pPr>
      <w:r>
        <w:rPr>
          <w:rFonts w:ascii="Arial" w:cs="Arial" w:eastAsia="Arial" w:hAnsi="Arial"/>
          <w:sz w:val="13"/>
          <w:szCs w:val="13"/>
          <w:color w:val="auto"/>
        </w:rPr>
        <w:t>Similarly, upon the closing of this offering, outstanding warrants to purchase shares of our series E preferred stock will become warrants to purchase a number of shares of our common stock determined, in part, by the initial public offering price for this offering. Assuming an initial public offering price of $15.00 per share, the midpoint of the price range set forth on the cover of this prospectus, warrants to purchase shares of our series E preferred stock will become warrants to purchase 14,088 shares of our common stock upon closing of this offering. A $1.00, $2.00 and $3.00 increase in the assumed initial public offering price of $15.00 per share would decrease the number of shares of common stock issuable upon the exercise of these warrants by 880 shares, 1,658 shares and 2,348 shares, respectively. A $1.00, $2.00 and $3.00 decrease in the assumed initial public offering price of $15.00 per share would increase the number of shares of common stock issuable upon the exercise of these warrants by 1,006 shares, 2,168 shares and 3,522 shares, respectively.</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1385" cy="1829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1385" cy="182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Summary consolidated financial data</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following tables set forth, for the periods and as of the dates indicated, our summary consolidated financial data. You should read the following information together with the</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more detailed information contained in "Selected consolidated financial data," "Management's discussion and analysis of financial condition and results of operations" and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consolidated financial statements and the related notes included elsewhere in this prospectus. We have derived the consolidated statements of operations data for the years ended</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December 31, 2014 and 2015 from our audited consolidated financial statements included elsewhere in this prospectus. The consolidated statement of operations data for the</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three months ended March 31, 2015 and 2016 and the consolidated balance sheet data as of March 31, 2016 have been derived from our unaudited condensed consolidated financial</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statements appearing at the end of this prospectus and have been prepared on the same basis as the audited consolidated financial statements. In the opinion of management, the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unaudited data reflects all adjustments, consisting only of normal recurring adjustments, necessary for a fair presentation of the financial information in those statements. Our</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historical results are not necessarily indicative of the results that should be expected in the future, and results for the three months ended March 31, 2016 are not necessarily indicative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of the results to be expected for the full year ending December 31, 2016.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5558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1385" cy="55581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3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Years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2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08"/>
        </w:trPr>
        <w:tc>
          <w:tcPr>
            <w:tcW w:w="8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2"/>
                <w:szCs w:val="12"/>
                <w:b w:val="1"/>
                <w:bCs w:val="1"/>
                <w:color w:val="auto"/>
                <w:w w:val="91"/>
              </w:rPr>
              <w:t>(unaudited)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ind w:right="106"/>
              <w:spacing w:after="0" w:line="109"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r>
      <w:tr>
        <w:trPr>
          <w:trHeight w:val="138"/>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12"/>
          </w:tcPr>
          <w:p>
            <w:pPr>
              <w:jc w:val="right"/>
              <w:spacing w:after="0"/>
              <w:rPr>
                <w:sz w:val="20"/>
                <w:szCs w:val="20"/>
                <w:color w:val="auto"/>
              </w:rPr>
            </w:pPr>
            <w:r>
              <w:rPr>
                <w:rFonts w:ascii="Arial" w:cs="Arial" w:eastAsia="Arial" w:hAnsi="Arial"/>
                <w:sz w:val="12"/>
                <w:szCs w:val="12"/>
                <w:b w:val="1"/>
                <w:bCs w:val="1"/>
                <w:color w:val="auto"/>
              </w:rPr>
              <w:t>(in thousands, except share and per share data)</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(15,399)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(25,304)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(6,941)</w:t>
            </w: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(220)</w:t>
            </w: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(310)</w:t>
            </w:r>
          </w:p>
        </w:tc>
      </w:tr>
      <w:tr>
        <w:trPr>
          <w:trHeight w:val="185"/>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w:t>
            </w:r>
          </w:p>
        </w:tc>
      </w:tr>
      <w:tr>
        <w:trPr>
          <w:trHeight w:val="177"/>
        </w:trPr>
        <w:tc>
          <w:tcPr>
            <w:tcW w:w="462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(7,476)</w:t>
            </w:r>
          </w:p>
        </w:tc>
      </w:tr>
      <w:tr>
        <w:trPr>
          <w:trHeight w:val="185"/>
        </w:trPr>
        <w:tc>
          <w:tcPr>
            <w:tcW w:w="462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(2,356)</w:t>
            </w:r>
          </w:p>
        </w:tc>
      </w:tr>
      <w:tr>
        <w:trPr>
          <w:trHeight w:val="178"/>
        </w:trPr>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62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(4.52)</w:t>
            </w: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62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2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rPr>
              <w:t>Pro forma net loss per share attributable to common stockholders</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(0.59)</w:t>
            </w: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62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2"/>
              </w:rPr>
              <w:t>Pro forma weighted average common shares of common stock outstanding</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62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2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760" w:right="360" w:hanging="463"/>
        <w:spacing w:after="0" w:line="238" w:lineRule="auto"/>
        <w:tabs>
          <w:tab w:leader="none" w:pos="17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760" w:right="240" w:hanging="463"/>
        <w:spacing w:after="0" w:line="275" w:lineRule="auto"/>
        <w:tabs>
          <w:tab w:leader="none" w:pos="17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warrants, or the series E common warrants, for 567,306 shares of our common stock. Upon the closing of this offering, (a) our series E preferred stock will automatically convert into a number of shares of common stock and (b) outstanding warrants to purchase shares of our series E preferred stock will become warrants to purchase a number of shares of our common stock, in each case, determined, in part, by the initial public offering price for this offering, which we have assumed to be $15.00 per share,</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1385" cy="415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1385" cy="41529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760"/>
        <w:spacing w:after="0"/>
        <w:rPr>
          <w:sz w:val="20"/>
          <w:szCs w:val="20"/>
          <w:color w:val="auto"/>
        </w:rPr>
      </w:pPr>
      <w:r>
        <w:rPr>
          <w:rFonts w:ascii="Arial" w:cs="Arial" w:eastAsia="Arial" w:hAnsi="Arial"/>
          <w:sz w:val="12"/>
          <w:szCs w:val="12"/>
          <w:color w:val="auto"/>
        </w:rPr>
        <w:t>the midpoint of the price range set forth on the cover page of this prospectus. See "Prospectus summary—The offering" for a related offering price per share sensitivity analysis.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Consolidated balance sheet data:</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As of March 31, 2016</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9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gridSpan w:val="2"/>
          </w:tcPr>
          <w:p>
            <w:pPr>
              <w:jc w:val="center"/>
              <w:ind w:left="9"/>
              <w:spacing w:after="0" w:line="121" w:lineRule="exact"/>
              <w:rPr>
                <w:sz w:val="20"/>
                <w:szCs w:val="20"/>
                <w:color w:val="auto"/>
              </w:rPr>
            </w:pPr>
            <w:r>
              <w:rPr>
                <w:rFonts w:ascii="Arial" w:cs="Arial" w:eastAsia="Arial" w:hAnsi="Arial"/>
                <w:sz w:val="12"/>
                <w:szCs w:val="12"/>
                <w:b w:val="1"/>
                <w:bCs w:val="1"/>
                <w:color w:val="auto"/>
              </w:rPr>
              <w:t>Pro forma as</w:t>
            </w:r>
          </w:p>
        </w:tc>
        <w:tc>
          <w:tcPr>
            <w:tcW w:w="140" w:type="dxa"/>
            <w:vAlign w:val="bottom"/>
          </w:tcPr>
          <w:p>
            <w:pPr>
              <w:spacing w:after="0"/>
              <w:rPr>
                <w:sz w:val="10"/>
                <w:szCs w:val="10"/>
                <w:color w:val="auto"/>
              </w:rPr>
            </w:pPr>
          </w:p>
        </w:tc>
      </w:tr>
      <w:tr>
        <w:trPr>
          <w:trHeight w:val="167"/>
        </w:trPr>
        <w:tc>
          <w:tcPr>
            <w:tcW w:w="9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29"/>
              <w:spacing w:after="0"/>
              <w:rPr>
                <w:sz w:val="20"/>
                <w:szCs w:val="20"/>
                <w:color w:val="auto"/>
              </w:rPr>
            </w:pPr>
            <w:r>
              <w:rPr>
                <w:rFonts w:ascii="Arial" w:cs="Arial" w:eastAsia="Arial" w:hAnsi="Arial"/>
                <w:sz w:val="12"/>
                <w:szCs w:val="12"/>
                <w:b w:val="1"/>
                <w:bCs w:val="1"/>
                <w:color w:val="auto"/>
              </w:rPr>
              <w:t>Actual</w:t>
            </w:r>
          </w:p>
        </w:tc>
        <w:tc>
          <w:tcPr>
            <w:tcW w:w="940" w:type="dxa"/>
            <w:vAlign w:val="bottom"/>
            <w:gridSpan w:val="2"/>
          </w:tcPr>
          <w:p>
            <w:pPr>
              <w:jc w:val="right"/>
              <w:ind w:right="50"/>
              <w:spacing w:after="0"/>
              <w:rPr>
                <w:sz w:val="20"/>
                <w:szCs w:val="20"/>
                <w:color w:val="auto"/>
              </w:rPr>
            </w:pPr>
            <w:r>
              <w:rPr>
                <w:rFonts w:ascii="Arial" w:cs="Arial" w:eastAsia="Arial" w:hAnsi="Arial"/>
                <w:sz w:val="12"/>
                <w:szCs w:val="12"/>
                <w:b w:val="1"/>
                <w:bCs w:val="1"/>
                <w:color w:val="auto"/>
              </w:rPr>
              <w:t>Pro forma(1)</w:t>
            </w:r>
          </w:p>
        </w:tc>
        <w:tc>
          <w:tcPr>
            <w:tcW w:w="10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adjusted(2)</w:t>
            </w:r>
          </w:p>
        </w:tc>
      </w:tr>
      <w:tr>
        <w:trPr>
          <w:trHeight w:val="113"/>
        </w:trPr>
        <w:tc>
          <w:tcPr>
            <w:tcW w:w="900" w:type="dxa"/>
            <w:vAlign w:val="bottom"/>
            <w:tcBorders>
              <w:top w:val="single" w:sz="8" w:color="auto"/>
            </w:tcBorders>
          </w:tcPr>
          <w:p>
            <w:pPr>
              <w:spacing w:after="0"/>
              <w:rPr>
                <w:sz w:val="9"/>
                <w:szCs w:val="9"/>
                <w:color w:val="auto"/>
              </w:rPr>
            </w:pPr>
          </w:p>
        </w:tc>
        <w:tc>
          <w:tcPr>
            <w:tcW w:w="360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ind w:right="110"/>
              <w:spacing w:after="0" w:line="113" w:lineRule="exact"/>
              <w:rPr>
                <w:sz w:val="20"/>
                <w:szCs w:val="20"/>
                <w:color w:val="auto"/>
              </w:rPr>
            </w:pPr>
            <w:r>
              <w:rPr>
                <w:rFonts w:ascii="Arial" w:cs="Arial" w:eastAsia="Arial" w:hAnsi="Arial"/>
                <w:sz w:val="12"/>
                <w:szCs w:val="12"/>
                <w:b w:val="1"/>
                <w:bCs w:val="1"/>
                <w:color w:val="auto"/>
                <w:w w:val="91"/>
              </w:rPr>
              <w:t>(unaudited)</w:t>
            </w: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r>
      <w:tr>
        <w:trPr>
          <w:trHeight w:val="138"/>
        </w:trPr>
        <w:tc>
          <w:tcPr>
            <w:tcW w:w="9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30"/>
              <w:spacing w:after="0"/>
              <w:rPr>
                <w:sz w:val="20"/>
                <w:szCs w:val="20"/>
                <w:color w:val="auto"/>
              </w:rPr>
            </w:pPr>
            <w:r>
              <w:rPr>
                <w:rFonts w:ascii="Arial" w:cs="Arial" w:eastAsia="Arial" w:hAnsi="Arial"/>
                <w:sz w:val="12"/>
                <w:szCs w:val="12"/>
                <w:b w:val="1"/>
                <w:bCs w:val="1"/>
                <w:color w:val="auto"/>
                <w:w w:val="82"/>
              </w:rPr>
              <w:t>(in thousands)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81,367</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34,723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34,723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90,111</w:t>
            </w:r>
          </w:p>
        </w:tc>
        <w:tc>
          <w:tcPr>
            <w:tcW w:w="140" w:type="dxa"/>
            <w:vAlign w:val="bottom"/>
          </w:tcPr>
          <w:p>
            <w:pPr>
              <w:spacing w:after="0"/>
              <w:rPr>
                <w:sz w:val="16"/>
                <w:szCs w:val="16"/>
                <w:color w:val="auto"/>
              </w:rPr>
            </w:pP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r>
      <w:tr>
        <w:trPr>
          <w:trHeight w:val="185"/>
        </w:trPr>
        <w:tc>
          <w:tcPr>
            <w:tcW w:w="4500" w:type="dxa"/>
            <w:vAlign w:val="bottom"/>
            <w:gridSpan w:val="2"/>
          </w:tcPr>
          <w:p>
            <w:pPr>
              <w:spacing w:after="0"/>
              <w:rPr>
                <w:sz w:val="20"/>
                <w:szCs w:val="20"/>
                <w:color w:val="auto"/>
              </w:rPr>
            </w:pPr>
            <w:r>
              <w:rPr>
                <w:rFonts w:ascii="Arial" w:cs="Arial" w:eastAsia="Arial" w:hAnsi="Arial"/>
                <w:sz w:val="15"/>
                <w:szCs w:val="15"/>
                <w:color w:val="auto"/>
              </w:rPr>
              <w:t>Redeemable convertible preferred stock</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9"/>
              <w:spacing w:after="0"/>
              <w:rPr>
                <w:sz w:val="20"/>
                <w:szCs w:val="20"/>
                <w:color w:val="auto"/>
              </w:rPr>
            </w:pPr>
            <w:r>
              <w:rPr>
                <w:rFonts w:ascii="Arial" w:cs="Arial" w:eastAsia="Arial" w:hAnsi="Arial"/>
                <w:sz w:val="15"/>
                <w:szCs w:val="15"/>
                <w:color w:val="auto"/>
              </w:rPr>
              <w:t>139,837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80"/>
              <w:spacing w:after="0"/>
              <w:rPr>
                <w:sz w:val="20"/>
                <w:szCs w:val="20"/>
                <w:color w:val="auto"/>
              </w:rPr>
            </w:pPr>
            <w:r>
              <w:rPr>
                <w:rFonts w:ascii="Arial" w:cs="Arial" w:eastAsia="Arial" w:hAnsi="Arial"/>
                <w:sz w:val="15"/>
                <w:szCs w:val="15"/>
                <w:color w:val="auto"/>
              </w:rPr>
              <w:t>—</w:t>
            </w:r>
          </w:p>
        </w:tc>
      </w:tr>
      <w:tr>
        <w:trPr>
          <w:trHeight w:val="185"/>
        </w:trPr>
        <w:tc>
          <w:tcPr>
            <w:tcW w:w="4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69,730</w:t>
            </w:r>
          </w:p>
        </w:tc>
        <w:tc>
          <w:tcPr>
            <w:tcW w:w="140" w:type="dxa"/>
            <w:vAlign w:val="bottom"/>
            <w:shd w:val="clear" w:color="auto" w:fill="CCEEFF"/>
          </w:tcPr>
          <w:p>
            <w:pPr>
              <w:spacing w:after="0"/>
              <w:rPr>
                <w:sz w:val="16"/>
                <w:szCs w:val="16"/>
                <w:color w:val="auto"/>
              </w:rPr>
            </w:pPr>
          </w:p>
        </w:tc>
      </w:tr>
      <w:tr>
        <w:trPr>
          <w:trHeight w:val="93"/>
        </w:trPr>
        <w:tc>
          <w:tcPr>
            <w:tcW w:w="90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760" w:hanging="463"/>
        <w:spacing w:after="0" w:line="274" w:lineRule="auto"/>
        <w:tabs>
          <w:tab w:leader="none" w:pos="17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The pro forma balance sheet data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the series E common warrants for 567,306 shares of our common stock. Upon the closing of this offering, (a) our series E preferred stock will automatically convert into a number of shares of common stock and (b)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212" w:lineRule="exact"/>
        <w:rPr>
          <w:rFonts w:ascii="Arial" w:cs="Arial" w:eastAsia="Arial" w:hAnsi="Arial"/>
          <w:sz w:val="10"/>
          <w:szCs w:val="10"/>
          <w:color w:val="auto"/>
        </w:rPr>
      </w:pPr>
    </w:p>
    <w:p>
      <w:pPr>
        <w:ind w:left="1760" w:right="20" w:hanging="463"/>
        <w:spacing w:after="0" w:line="233" w:lineRule="auto"/>
        <w:tabs>
          <w:tab w:leader="none" w:pos="17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pro forma as adjusted consolidated balance sheet data give further effect to our issuance and sale of 4,250,000 shares of our common stock in this offering at an assumed initial public offering price of $15.00 per share, which is the midpoint of the price range set forth on the cover page of this prospectus, after deducting the estimated underwriting discounts and commissions and estimated offering expenses payable by us.</w:t>
      </w:r>
    </w:p>
    <w:p>
      <w:pPr>
        <w:spacing w:after="0" w:line="167" w:lineRule="exact"/>
        <w:rPr>
          <w:sz w:val="20"/>
          <w:szCs w:val="20"/>
          <w:color w:val="auto"/>
        </w:rPr>
      </w:pPr>
    </w:p>
    <w:p>
      <w:pPr>
        <w:ind w:left="200" w:right="20"/>
        <w:spacing w:after="0" w:line="261" w:lineRule="auto"/>
        <w:rPr>
          <w:sz w:val="20"/>
          <w:szCs w:val="20"/>
          <w:color w:val="auto"/>
        </w:rPr>
      </w:pPr>
      <w:r>
        <w:rPr>
          <w:rFonts w:ascii="Arial" w:cs="Arial" w:eastAsia="Arial" w:hAnsi="Arial"/>
          <w:sz w:val="15"/>
          <w:szCs w:val="15"/>
          <w:color w:val="auto"/>
        </w:rPr>
        <w:t>Each $1.00 increase (decrease) in the assumed initial public offering price of $15.00 per share, which is the midpoint of the price range set forth on the cover page of this prospectus, would increase (decrease) the pro forma as adjusted amount of each of cash and cash equivalents, total assets, additional paid-in capital and total stockholders' equity (deficit) by $4.0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of $15.00 per share would increase (decrease) each of cash and cash equivalents, total assets, additional paid-in capital and total stockholders' equity (deficit) by $14.0 million.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20"/>
          </w:cols>
          <w:pgMar w:left="240" w:top="132" w:right="439" w:bottom="1440" w:gutter="0" w:footer="0" w:header="0"/>
        </w:sectPr>
      </w:pPr>
    </w:p>
    <w:bookmarkStart w:id="19" w:name="page20"/>
    <w:bookmarkEnd w:id="1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Risk factors</w:t>
      </w:r>
    </w:p>
    <w:p>
      <w:pPr>
        <w:spacing w:after="0" w:line="183"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results of operations and financial condition,"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FINANCIAL POSITION AND NEED FOR ADDITIONAL CAPITAL</w:t>
      </w:r>
    </w:p>
    <w:p>
      <w:pPr>
        <w:spacing w:after="0" w:line="187"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We are a development-stage company and have incurred significant losses since our inception. We expect to incur losses for the foreseeable future and may never achieve or maintain profitability.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14"/>
          <w:szCs w:val="14"/>
          <w:color w:val="auto"/>
        </w:rPr>
        <w:t>Since inception, we have incurred significant operating losses. Our net loss was $12.9 million for the year ended December 31, 2014, $25.2 for the year ended December 31, 2015 and</w:t>
      </w:r>
    </w:p>
    <w:p>
      <w:pPr>
        <w:spacing w:after="0" w:line="29" w:lineRule="exact"/>
        <w:rPr>
          <w:sz w:val="20"/>
          <w:szCs w:val="20"/>
          <w:color w:val="auto"/>
        </w:rPr>
      </w:pPr>
    </w:p>
    <w:p>
      <w:pPr>
        <w:ind w:left="7" w:right="160"/>
        <w:spacing w:after="0" w:line="283" w:lineRule="auto"/>
        <w:rPr>
          <w:sz w:val="20"/>
          <w:szCs w:val="20"/>
          <w:color w:val="auto"/>
        </w:rPr>
      </w:pPr>
      <w:r>
        <w:rPr>
          <w:rFonts w:ascii="Arial" w:cs="Arial" w:eastAsia="Arial" w:hAnsi="Arial"/>
          <w:sz w:val="14"/>
          <w:szCs w:val="14"/>
          <w:color w:val="auto"/>
        </w:rPr>
        <w:t>$5.7 million and $7.5 million for the three months ended March 31, 2015 and 2016, respectively. As of March 31, 2016, we had an accumulated deficit of $121.1 million. To date, we have financed our operations primarily through issuances of preferred stock, debt, research grants and a research collaboration.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 therapies. We expect to continue to incur significant expenses and operating losses for the foreseeable future. We expect that our expenses will increase substantially as we:</w:t>
      </w:r>
    </w:p>
    <w:p>
      <w:pPr>
        <w:spacing w:after="0" w:line="165" w:lineRule="exact"/>
        <w:rPr>
          <w:sz w:val="20"/>
          <w:szCs w:val="20"/>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conduct additional clinical trials of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 including completing preclinical studies and commencing trials for such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seek to enhance our SVP technology and discover and develop additional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seek regulatory approvals for any product candidates that successfully complete clinical trials;</w:t>
      </w:r>
    </w:p>
    <w:p>
      <w:pPr>
        <w:spacing w:after="0" w:line="221" w:lineRule="exact"/>
        <w:rPr>
          <w:rFonts w:ascii="Arial" w:cs="Arial" w:eastAsia="Arial" w:hAnsi="Arial"/>
          <w:sz w:val="15"/>
          <w:szCs w:val="15"/>
          <w:color w:val="auto"/>
        </w:rPr>
      </w:pPr>
    </w:p>
    <w:p>
      <w:pPr>
        <w:ind w:left="467" w:right="440" w:hanging="467"/>
        <w:spacing w:after="0" w:line="282" w:lineRule="auto"/>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 up external manufacturing capabilities to commercialize any products for which we may obtain regulatory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 including through licensing arrangements;</w:t>
      </w:r>
    </w:p>
    <w:p>
      <w:pPr>
        <w:spacing w:after="0" w:line="209" w:lineRule="exact"/>
        <w:rPr>
          <w:rFonts w:ascii="Arial" w:cs="Arial" w:eastAsia="Arial" w:hAnsi="Arial"/>
          <w:sz w:val="15"/>
          <w:szCs w:val="15"/>
          <w:color w:val="auto"/>
        </w:rPr>
      </w:pPr>
    </w:p>
    <w:p>
      <w:pPr>
        <w:ind w:left="467" w:right="420" w:hanging="467"/>
        <w:spacing w:after="0" w:line="282" w:lineRule="auto"/>
        <w:tabs>
          <w:tab w:leader="none" w:pos="4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experience any delays or encounter any issues with any of the above, including, but not limited to, failed studies, complex results, safety issues or other regulatory challenges.</w:t>
      </w:r>
    </w:p>
    <w:p>
      <w:pPr>
        <w:spacing w:after="0" w:line="210"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0" w:name="page21"/>
    <w:bookmarkEnd w:id="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19" w:lineRule="auto"/>
        <w:rPr>
          <w:sz w:val="20"/>
          <w:szCs w:val="20"/>
          <w:color w:val="auto"/>
        </w:rPr>
      </w:pPr>
      <w:r>
        <w:rPr>
          <w:rFonts w:ascii="Arial" w:cs="Arial" w:eastAsia="Arial" w:hAnsi="Arial"/>
          <w:sz w:val="14"/>
          <w:szCs w:val="14"/>
          <w:color w:val="auto"/>
        </w:rPr>
        <w:t>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28"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162" w:lineRule="exact"/>
        <w:rPr>
          <w:sz w:val="20"/>
          <w:szCs w:val="20"/>
          <w:color w:val="auto"/>
        </w:rPr>
      </w:pPr>
    </w:p>
    <w:p>
      <w:pPr>
        <w:ind w:left="7" w:right="280"/>
        <w:spacing w:after="0" w:line="362" w:lineRule="auto"/>
        <w:rPr>
          <w:sz w:val="20"/>
          <w:szCs w:val="20"/>
          <w:color w:val="auto"/>
        </w:rPr>
      </w:pPr>
      <w:r>
        <w:rPr>
          <w:rFonts w:ascii="Arial" w:cs="Arial" w:eastAsia="Arial" w:hAnsi="Arial"/>
          <w:sz w:val="13"/>
          <w:szCs w:val="13"/>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05" w:lineRule="exact"/>
        <w:rPr>
          <w:sz w:val="20"/>
          <w:szCs w:val="20"/>
          <w:color w:val="auto"/>
        </w:rPr>
      </w:pPr>
    </w:p>
    <w:p>
      <w:pPr>
        <w:ind w:left="7" w:right="80"/>
        <w:spacing w:after="0" w:line="319" w:lineRule="auto"/>
        <w:rPr>
          <w:sz w:val="20"/>
          <w:szCs w:val="20"/>
          <w:color w:val="auto"/>
        </w:rPr>
      </w:pPr>
      <w:r>
        <w:rPr>
          <w:rFonts w:ascii="Arial" w:cs="Arial" w:eastAsia="Arial" w:hAnsi="Arial"/>
          <w:sz w:val="13"/>
          <w:szCs w:val="13"/>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 These conditions cast substantial doubt about our ability to continue as a going concern. In this regard, our independent registered public accounting firm's report on our December 31, 2014 and 2015 financial statements included an explanatory paragraph referring to our ability to continue as a going concern. Our financial statements do not include any adjustments that may result from the outcome of this uncertainty.</w:t>
      </w:r>
    </w:p>
    <w:p>
      <w:pPr>
        <w:spacing w:after="0" w:line="124" w:lineRule="exact"/>
        <w:rPr>
          <w:sz w:val="20"/>
          <w:szCs w:val="20"/>
          <w:color w:val="auto"/>
        </w:rPr>
      </w:pPr>
    </w:p>
    <w:p>
      <w:pPr>
        <w:ind w:left="7" w:right="220"/>
        <w:spacing w:after="0" w:line="259" w:lineRule="auto"/>
        <w:rPr>
          <w:sz w:val="20"/>
          <w:szCs w:val="20"/>
          <w:color w:val="auto"/>
        </w:rPr>
      </w:pPr>
      <w:r>
        <w:rPr>
          <w:rFonts w:ascii="Arial" w:cs="Arial" w:eastAsia="Arial" w:hAnsi="Arial"/>
          <w:sz w:val="15"/>
          <w:szCs w:val="15"/>
          <w:b w:val="1"/>
          <w:bCs w:val="1"/>
          <w:color w:val="auto"/>
        </w:rPr>
        <w:t>Even if this offering is successful, 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56"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expect our expenses to increase in connection with our ongoing activities, particularly as we conduct our clinical trials of SEL-212,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148" w:lineRule="exact"/>
        <w:rPr>
          <w:sz w:val="20"/>
          <w:szCs w:val="20"/>
          <w:color w:val="auto"/>
        </w:rPr>
      </w:pPr>
    </w:p>
    <w:p>
      <w:pPr>
        <w:jc w:val="both"/>
        <w:ind w:left="7" w:right="80"/>
        <w:spacing w:after="0" w:line="330" w:lineRule="auto"/>
        <w:rPr>
          <w:sz w:val="20"/>
          <w:szCs w:val="20"/>
          <w:color w:val="auto"/>
        </w:rPr>
      </w:pPr>
      <w:r>
        <w:rPr>
          <w:rFonts w:ascii="Arial" w:cs="Arial" w:eastAsia="Arial" w:hAnsi="Arial"/>
          <w:sz w:val="13"/>
          <w:szCs w:val="13"/>
          <w:color w:val="auto"/>
        </w:rPr>
        <w:t>We believe that our existing cash, cash equivalents and investments, and funding that we expect to receive under our existing collaborations, together with the expected net proceeds from this offering, will enable us to fund our operating expenses and capital expenditure requirements through at least December 31, 2017. We have based this estimate on assumptions that may prove to be wrong, and we could use our capital resources sooner than we currently expect. Our future capital requirements will depend on many factors, including:</w:t>
      </w:r>
    </w:p>
    <w:p>
      <w:pPr>
        <w:spacing w:after="0" w:line="136" w:lineRule="exact"/>
        <w:rPr>
          <w:sz w:val="20"/>
          <w:szCs w:val="20"/>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entering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 of manufacturing clinical supplies of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21" w:name="page22"/>
    <w:bookmarkEnd w:id="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21" w:lineRule="exact"/>
        <w:rPr>
          <w:rFonts w:ascii="Arial" w:cs="Arial" w:eastAsia="Arial" w:hAnsi="Arial"/>
          <w:sz w:val="15"/>
          <w:szCs w:val="15"/>
          <w:color w:val="auto"/>
        </w:rPr>
      </w:pPr>
    </w:p>
    <w:p>
      <w:pPr>
        <w:ind w:left="467" w:right="500" w:hanging="467"/>
        <w:spacing w:after="0" w:line="282" w:lineRule="auto"/>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9"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arrangements for product candidates.</w:t>
      </w:r>
    </w:p>
    <w:p>
      <w:pPr>
        <w:spacing w:after="0" w:line="210"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54" w:lineRule="exact"/>
        <w:rPr>
          <w:sz w:val="20"/>
          <w:szCs w:val="20"/>
          <w:color w:val="auto"/>
        </w:rPr>
      </w:pPr>
    </w:p>
    <w:p>
      <w:pPr>
        <w:ind w:left="7" w:right="420"/>
        <w:spacing w:after="0" w:line="270" w:lineRule="auto"/>
        <w:rPr>
          <w:sz w:val="20"/>
          <w:szCs w:val="20"/>
          <w:color w:val="auto"/>
        </w:rPr>
      </w:pPr>
      <w:r>
        <w:rPr>
          <w:rFonts w:ascii="Arial" w:cs="Arial" w:eastAsia="Arial" w:hAnsi="Arial"/>
          <w:sz w:val="15"/>
          <w:szCs w:val="15"/>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limited operating history may make it difficult for you to evaluate the success of our business to date and to assess our future viability.</w:t>
      </w:r>
    </w:p>
    <w:p>
      <w:pPr>
        <w:spacing w:after="0" w:line="195" w:lineRule="exact"/>
        <w:rPr>
          <w:sz w:val="20"/>
          <w:szCs w:val="20"/>
          <w:color w:val="auto"/>
        </w:rPr>
      </w:pPr>
    </w:p>
    <w:p>
      <w:pPr>
        <w:ind w:left="7" w:right="40"/>
        <w:spacing w:after="0" w:line="308" w:lineRule="auto"/>
        <w:rPr>
          <w:sz w:val="20"/>
          <w:szCs w:val="20"/>
          <w:color w:val="auto"/>
        </w:rPr>
      </w:pPr>
      <w:r>
        <w:rPr>
          <w:rFonts w:ascii="Arial" w:cs="Arial" w:eastAsia="Arial" w:hAnsi="Arial"/>
          <w:sz w:val="13"/>
          <w:szCs w:val="13"/>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SEL-212, are still in preclinical development. We completed the patient treatment portion of our Phase 1a clinical trial of pegsiticase, a component of SEL-212, our lead product candidate, but have not yet completed any other clinical trials for SEL-212 or any other product candidates. We have not yet demonstrated our ability to successfully complete any Phase 2 clinical trial or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quarter-to-quarter and year-to-year due to a variety of factors, many of which are beyond our control. Consequently, any predictions you make about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63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future success or viability may not be as accurate as they could be if we had a longer operating history.</w:t>
      </w:r>
    </w:p>
    <w:p>
      <w:pPr>
        <w:spacing w:after="0" w:line="190" w:lineRule="exact"/>
        <w:rPr>
          <w:sz w:val="20"/>
          <w:szCs w:val="20"/>
          <w:color w:val="auto"/>
        </w:rPr>
      </w:pPr>
    </w:p>
    <w:p>
      <w:pPr>
        <w:ind w:right="280"/>
        <w:spacing w:after="0" w:line="277" w:lineRule="auto"/>
        <w:rPr>
          <w:sz w:val="20"/>
          <w:szCs w:val="20"/>
          <w:color w:val="auto"/>
        </w:rPr>
      </w:pPr>
      <w:r>
        <w:rPr>
          <w:rFonts w:ascii="Arial" w:cs="Arial" w:eastAsia="Arial" w:hAnsi="Arial"/>
          <w:sz w:val="15"/>
          <w:szCs w:val="15"/>
          <w:b w:val="1"/>
          <w:b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143"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We have a $12.0 million credit facility with Oxford Finance LLC, or Oxford, and Pacific Western Bank, as successor in interest to Square 1 Bank, that is secured by a lien covering substantially all of our personal property, excluding intellectual property. As of March 31, 2016, the outstanding principal balance under the credit facility was $12.0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 greater than the lesser of 105% of all outstanding amounts under the credit facility and 100% of the cash and cash equivalents of our company and our wholly-owned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$4.2 million of total cash in Russian banks as of March 31, 2016, including $1.5 million of cash and cash equivalents, $2.0 million of short-term deposits and $0.7 million of restricted cash.</w:t>
      </w:r>
    </w:p>
    <w:p>
      <w:pPr>
        <w:spacing w:after="0" w:line="151" w:lineRule="exact"/>
        <w:rPr>
          <w:sz w:val="20"/>
          <w:szCs w:val="20"/>
          <w:color w:val="auto"/>
        </w:rPr>
      </w:pPr>
    </w:p>
    <w:p>
      <w:pPr>
        <w:ind w:right="500"/>
        <w:spacing w:after="0" w:line="277" w:lineRule="auto"/>
        <w:rPr>
          <w:sz w:val="20"/>
          <w:szCs w:val="20"/>
          <w:color w:val="auto"/>
        </w:rPr>
      </w:pPr>
      <w:r>
        <w:rPr>
          <w:rFonts w:ascii="Arial" w:cs="Arial" w:eastAsia="Arial" w:hAnsi="Arial"/>
          <w:sz w:val="15"/>
          <w:szCs w:val="15"/>
          <w:b w:val="1"/>
          <w:bCs w:val="1"/>
          <w:color w:val="auto"/>
        </w:rPr>
        <w:t>Our ability to use our net operating loss and research and development tax credit carryforwards to offset future taxable income may be subject to certain limitations.</w:t>
      </w:r>
    </w:p>
    <w:p>
      <w:pPr>
        <w:spacing w:after="0" w:line="143"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As of December 31, 2015, we had net operating loss carryforwards, or NOLs, for federal and state income tax purposes of $82.4 million and $76.3 million, respectively, which may be available to offset our future taxable income, if any, at various times through 2035. At December 31, 2015, we had available federal and state research and development income tax credits of approximately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 w:name="page24"/>
    <w:bookmarkEnd w:id="2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61" w:lineRule="auto"/>
        <w:rPr>
          <w:sz w:val="20"/>
          <w:szCs w:val="20"/>
          <w:color w:val="auto"/>
        </w:rPr>
      </w:pPr>
      <w:r>
        <w:rPr>
          <w:rFonts w:ascii="Arial" w:cs="Arial" w:eastAsia="Arial" w:hAnsi="Arial"/>
          <w:sz w:val="15"/>
          <w:szCs w:val="15"/>
          <w:color w:val="auto"/>
        </w:rPr>
        <w:t>and $1.1 million, respectively, which may be available to reduce future income taxes, if any, at various times through 2035. Our federal NOLs begin to expire in 2028. In general, under Sections 382 and 383 of the U.S. Internal Revenue Code of 1986, as amended, or the Code, a corporation that undergoes an "ownership change" is subject to limitations on its ability to use its pre-change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For these reasons, we may not be able to use a material portion of the NOLs reflected on our balance sheet, even if we attain profitability.</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THE DISCOVERY, DEVELOPMENT AND REGULATORY APPROVAL OF OUR PRODUCT CANDIDATES</w:t>
      </w:r>
    </w:p>
    <w:p>
      <w:pPr>
        <w:spacing w:after="0" w:line="187" w:lineRule="exact"/>
        <w:rPr>
          <w:sz w:val="20"/>
          <w:szCs w:val="20"/>
          <w:color w:val="auto"/>
        </w:rPr>
      </w:pPr>
    </w:p>
    <w:p>
      <w:pPr>
        <w:ind w:left="7" w:right="720"/>
        <w:spacing w:after="0" w:line="277" w:lineRule="auto"/>
        <w:rPr>
          <w:sz w:val="20"/>
          <w:szCs w:val="20"/>
          <w:color w:val="auto"/>
        </w:rPr>
      </w:pPr>
      <w:r>
        <w:rPr>
          <w:rFonts w:ascii="Arial" w:cs="Arial" w:eastAsia="Arial" w:hAnsi="Arial"/>
          <w:sz w:val="15"/>
          <w:szCs w:val="15"/>
          <w:b w:val="1"/>
          <w:bCs w:val="1"/>
          <w:color w:val="auto"/>
        </w:rPr>
        <w:t>We are very early in our clinical development efforts and may not be successful in our efforts to use our SVP technology to build a pipeline of product candidates and develop marketable drugs.</w:t>
      </w:r>
    </w:p>
    <w:p>
      <w:pPr>
        <w:spacing w:after="0" w:line="143" w:lineRule="exact"/>
        <w:rPr>
          <w:sz w:val="20"/>
          <w:szCs w:val="20"/>
          <w:color w:val="auto"/>
        </w:rPr>
      </w:pPr>
    </w:p>
    <w:p>
      <w:pPr>
        <w:ind w:left="7" w:right="80"/>
        <w:spacing w:after="0" w:line="261" w:lineRule="auto"/>
        <w:rPr>
          <w:sz w:val="20"/>
          <w:szCs w:val="20"/>
          <w:color w:val="auto"/>
        </w:rPr>
      </w:pPr>
      <w:r>
        <w:rPr>
          <w:rFonts w:ascii="Arial" w:cs="Arial" w:eastAsia="Arial" w:hAnsi="Arial"/>
          <w:sz w:val="15"/>
          <w:szCs w:val="15"/>
          <w:color w:val="auto"/>
        </w:rPr>
        <w:t>We are primarily using our SVP technology to improve and enable biologics that treat rare and serious diseases, with an initial focus on developing SEL-212 for the treatment of refractory and chronic tophaceous gout. While we believe our preclinical and clinical data to date, together with our collaborative relationships, have validated our technology to a degree, we are at an early stage of development and our technology has not yet led to, and may never lead to, approvable or marketable drugs. We are developing additional product candidates to address the problem of anti-drug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179" w:lineRule="exact"/>
        <w:rPr>
          <w:sz w:val="20"/>
          <w:szCs w:val="20"/>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completion of preclinical studies and clinical trials with positive results;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receipt of marketing approvals from applicable regulatory authorities;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obtaining and maintaining patent and trade secret protection and regulatory exclusivity for our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making arrangements with third party manufacturers for, or establishing, commercial manufacturing capabilities, or establishing such capabilities ourselves;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launching commercial sales of our products, if and when approved, whether alone or in collaboration with others;</w:t>
      </w:r>
    </w:p>
    <w:p>
      <w:pPr>
        <w:spacing w:after="0" w:line="209" w:lineRule="exact"/>
        <w:rPr>
          <w:rFonts w:ascii="Arial" w:cs="Arial" w:eastAsia="Arial" w:hAnsi="Arial"/>
          <w:sz w:val="15"/>
          <w:szCs w:val="15"/>
          <w:color w:val="auto"/>
        </w:rPr>
      </w:pPr>
    </w:p>
    <w:p>
      <w:pPr>
        <w:ind w:left="467" w:right="440" w:hanging="467"/>
        <w:spacing w:after="0" w:line="282" w:lineRule="auto"/>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existing collaboration agreements remaining in effect and our entering into new collaborations throughout the development process as appropriate, from preclinical studies through to commercialization;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acceptance of our products, if and when approved, by patients and the medical community;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7"/>
        </w:numPr>
        <w:rPr>
          <w:rFonts w:ascii="Arial" w:cs="Arial" w:eastAsia="Arial" w:hAnsi="Arial"/>
          <w:sz w:val="15"/>
          <w:szCs w:val="15"/>
          <w:color w:val="auto"/>
        </w:rPr>
      </w:pPr>
      <w:r>
        <w:rPr>
          <w:rFonts w:ascii="Arial" w:cs="Arial" w:eastAsia="Arial" w:hAnsi="Arial"/>
          <w:sz w:val="15"/>
          <w:szCs w:val="15"/>
          <w:color w:val="auto"/>
        </w:rPr>
        <w:t>effectively competing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4" w:name="page25"/>
    <w:bookmarkEnd w:id="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obtaining and maintaining coverage and adequate reimbursement by third-party payors, including government payors, for our products, if approved;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protecting our rights in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operating without infringing or violating the valid and enforceable patents or other intellectual property of third parties;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maintaining an acceptable safety profile of our products following approval;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maintaining and growing an organization of scientists and business people who can develop and commercialize our product candidates and technology.</w:t>
      </w:r>
    </w:p>
    <w:p>
      <w:pPr>
        <w:spacing w:after="0" w:line="198"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42"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Our product candidates are based on our SVP technology, which is an unproven approach designed to induce antigen-specific immune tolerance to biologic drugs or stimulate the immune system.</w:t>
      </w:r>
    </w:p>
    <w:p>
      <w:pPr>
        <w:spacing w:after="0" w:line="143" w:lineRule="exact"/>
        <w:rPr>
          <w:sz w:val="20"/>
          <w:szCs w:val="20"/>
          <w:color w:val="auto"/>
        </w:rPr>
      </w:pPr>
    </w:p>
    <w:p>
      <w:pPr>
        <w:ind w:left="7" w:right="240"/>
        <w:spacing w:after="0" w:line="266" w:lineRule="auto"/>
        <w:rPr>
          <w:sz w:val="20"/>
          <w:szCs w:val="20"/>
          <w:color w:val="auto"/>
        </w:rPr>
      </w:pPr>
      <w:r>
        <w:rPr>
          <w:rFonts w:ascii="Arial" w:cs="Arial" w:eastAsia="Arial" w:hAnsi="Arial"/>
          <w:sz w:val="15"/>
          <w:szCs w:val="15"/>
          <w:color w:val="auto"/>
        </w:rPr>
        <w:t>All of our product candidates are derived from our SVP technology, which is an unproven approach to inducing antigen-specific tolerance or stimulating the immune system. In addition, SEL-212,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a result, we cannot be certain that our approach, or our development of SEL-212, will lead to the development or approval of marketable products. In addition:</w:t>
      </w:r>
    </w:p>
    <w:p>
      <w:pPr>
        <w:spacing w:after="0" w:line="210" w:lineRule="exact"/>
        <w:rPr>
          <w:sz w:val="20"/>
          <w:szCs w:val="20"/>
          <w:color w:val="auto"/>
        </w:rPr>
      </w:pPr>
    </w:p>
    <w:p>
      <w:pPr>
        <w:ind w:left="467" w:hanging="467"/>
        <w:spacing w:after="0"/>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due to the unproven nature of our SVP therapeutics, they may have different efficacy and safety rates in various indications;</w:t>
      </w:r>
    </w:p>
    <w:p>
      <w:pPr>
        <w:spacing w:after="0" w:line="209" w:lineRule="exact"/>
        <w:rPr>
          <w:rFonts w:ascii="Arial" w:cs="Arial" w:eastAsia="Arial" w:hAnsi="Arial"/>
          <w:sz w:val="15"/>
          <w:szCs w:val="15"/>
          <w:color w:val="auto"/>
        </w:rPr>
      </w:pPr>
    </w:p>
    <w:p>
      <w:pPr>
        <w:ind w:left="467" w:right="180" w:hanging="467"/>
        <w:spacing w:after="0" w:line="270" w:lineRule="auto"/>
        <w:tabs>
          <w:tab w:leader="none" w:pos="467"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FDA or other regulatory agencies may lack experience in evaluating the efficacy and safety of products based on SVP or a biologic sourced from China or other jurisdictions, which could result in a longer-than-expected regulatory review process, increase our expected development costs or delay or prevent commercialization of our product candidates; and</w:t>
      </w:r>
    </w:p>
    <w:p>
      <w:pPr>
        <w:spacing w:after="0" w:line="182" w:lineRule="exact"/>
        <w:rPr>
          <w:rFonts w:ascii="Arial" w:cs="Arial" w:eastAsia="Arial" w:hAnsi="Arial"/>
          <w:sz w:val="15"/>
          <w:szCs w:val="15"/>
          <w:color w:val="auto"/>
        </w:rPr>
      </w:pPr>
    </w:p>
    <w:p>
      <w:pPr>
        <w:ind w:left="467" w:right="300" w:hanging="467"/>
        <w:spacing w:after="0" w:line="362" w:lineRule="auto"/>
        <w:tabs>
          <w:tab w:leader="none" w:pos="467"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the event of a biologics license application for SEL-212 or another product and a pre-approval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10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occurrence of any of the foregoing, would effectively prevent or delay approval of our lead and other product candidates.</w:t>
      </w:r>
    </w:p>
    <w:p>
      <w:pPr>
        <w:spacing w:after="0" w:line="190"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Because we have limited financial and management resources, we focus on a limited number of research programs and product candidates and are currently principally focused on SEL-212. As a result, we may forego or delay our pursuit of opportunities with other product candidates or for other indications that later prove to have greater commercial potential. Our resource-allocation decisions may cause us to fail to capitalize on viable commercial drugs or profitable market opportunities.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5"/>
          <w:szCs w:val="15"/>
          <w:b w:val="1"/>
          <w:b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3"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SEL-212 is currently being evaluated in a Phase 1/2 clinical program that includes a Phase 1a and Phase 1b clinical trial. As of June 3, 2016, on a combined basis, we had dosed a total of 70 subjects with either SEL-212 (SVP-Rapamycin and pegsiticase), SVP-Rapamycin alone or pegsiticase alone in the Phase 1a and Phase 1b clinical trials. We expect to receive final data from both Phase 1 clinical trials in the second half of 2016. Based on preliminary results from the Phase 1 clinical trials, we have generally observed that SEL-212 and its components, SVP-Rapamycin and pegsiticase, have been well tolerated.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SEL-212 or its components, SVP-Rapamycin and pegsiticase. As of June 16, 2016, there have been three serious adverse events, or SAEs, in the Phase 1 clinical trials. One SAE occurred in a</w:t>
      </w:r>
    </w:p>
    <w:p>
      <w:pPr>
        <w:spacing w:after="0" w:line="3"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62 year-old male who received a dose level of pegsiticase alone of 0.4 mg/kg. This subject developed atrial fibrillation 13 days after administration of pegsiticase. The subject was treated and the medical records from the principal investigator indicate that this subject has recovered. The principal investigator has deemed this SAE to not have been related to the study drug, pegsiticase. The second SAE occurred in a 59 year-old male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Following treatment, the medical records from the principal investigator indicate that the rash and joint pain experienced by the subject have been resolved. The principal investigator classified this second SAE as having been possibly related to the study drug, SEL-212. A third observation was classified by the principal investigator on June 15, 2016 as an SAE after a 59 year-old male from Cohort #7 (SVP-Rapamycin Cohort) of the Phase 1b clinical trial developed stomatitis approximately seven days after being dosed with 0.5 mg/kg of SVP-Rapamycin, the highest dose of SVP-Rapamycin in the SVP-Rapamycin Cohorts of the Phase 1b clinical trial, and experienced 4.3 kg of weight loss. Stomatitis is a form of mouth sores and inflammation of the mouth and lips that often limits food intake and, according to the label for rapamycin, is a common adverse reaction to rapamycin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6" w:name="page27"/>
    <w:bookmarkEnd w:id="2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This subject was treated with oral over-the-counter and topical antihistamines followed by a steroid gel. As of June 16, 2016, the principal investigator indicated that the subject's stomatitis was improving. The principal investigator classified this third SAE as having been possibly related to the study drug, SVP-Rapamycin. We can provide no assurance that additional SAEs or similar events will not arise in the course of our development of SEL-212 or other product candidates.</w:t>
      </w:r>
    </w:p>
    <w:p>
      <w:pPr>
        <w:spacing w:after="0" w:line="159"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154"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167"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We may experience numerous unforeseen events during, or as a result of, clinical trials that could delay or prevent our ability to receive marketing approval for, or commercialize, our product candidates, including:</w:t>
      </w:r>
    </w:p>
    <w:p>
      <w:pPr>
        <w:spacing w:after="0" w:line="162" w:lineRule="exact"/>
        <w:rPr>
          <w:sz w:val="20"/>
          <w:szCs w:val="20"/>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regulators or institutional review boards may not authorize us or our investigators to commence a clinical trial or conduct a clinical trial at a prospective trial site;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contract research organizations, or CROs, or clinical trial sites;</w:t>
      </w:r>
    </w:p>
    <w:p>
      <w:pPr>
        <w:spacing w:after="0" w:line="209" w:lineRule="exact"/>
        <w:rPr>
          <w:rFonts w:ascii="Arial" w:cs="Arial" w:eastAsia="Arial" w:hAnsi="Arial"/>
          <w:sz w:val="15"/>
          <w:szCs w:val="15"/>
          <w:color w:val="auto"/>
        </w:rPr>
      </w:pPr>
    </w:p>
    <w:p>
      <w:pPr>
        <w:ind w:left="467"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meet their contractual obligations to us in a timely manner, or at all;</w:t>
      </w:r>
    </w:p>
    <w:p>
      <w:pPr>
        <w:spacing w:after="0" w:line="221" w:lineRule="exact"/>
        <w:rPr>
          <w:rFonts w:ascii="Arial" w:cs="Arial" w:eastAsia="Arial" w:hAnsi="Arial"/>
          <w:sz w:val="15"/>
          <w:szCs w:val="15"/>
          <w:color w:val="auto"/>
        </w:rPr>
      </w:pPr>
    </w:p>
    <w:p>
      <w:pPr>
        <w:ind w:left="467" w:right="180"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have to suspend or terminate clinical trials of our product candidates for various reasons, including a finding that the participants are being exposed to unacceptable health risks;</w:t>
      </w:r>
    </w:p>
    <w:p>
      <w:pPr>
        <w:spacing w:after="0" w:line="162"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investigators, regulators, data safety monitoring boards or institutional review boards may require that we or our investigators suspend or terminate clinical research, or we may decide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27" w:name="page28"/>
    <w:bookmarkEnd w:id="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467" w:right="60"/>
        <w:spacing w:after="0" w:line="297" w:lineRule="auto"/>
        <w:rPr>
          <w:sz w:val="20"/>
          <w:szCs w:val="20"/>
          <w:color w:val="auto"/>
        </w:rPr>
      </w:pPr>
      <w:r>
        <w:rPr>
          <w:rFonts w:ascii="Arial" w:cs="Arial" w:eastAsia="Arial" w:hAnsi="Arial"/>
          <w:sz w:val="14"/>
          <w:szCs w:val="14"/>
          <w:color w:val="auto"/>
        </w:rPr>
        <w:t>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155" w:lineRule="exact"/>
        <w:rPr>
          <w:sz w:val="20"/>
          <w:szCs w:val="20"/>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expect;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regulators may revise the requirements for approving our product candidates, or such requirements may not be as we expect; and</w:t>
      </w:r>
    </w:p>
    <w:p>
      <w:pPr>
        <w:spacing w:after="0" w:line="209" w:lineRule="exact"/>
        <w:rPr>
          <w:rFonts w:ascii="Arial" w:cs="Arial" w:eastAsia="Arial" w:hAnsi="Arial"/>
          <w:sz w:val="15"/>
          <w:szCs w:val="15"/>
          <w:color w:val="auto"/>
        </w:rPr>
      </w:pPr>
    </w:p>
    <w:p>
      <w:pPr>
        <w:ind w:left="467" w:right="580" w:hanging="467"/>
        <w:spacing w:after="0" w:line="282" w:lineRule="auto"/>
        <w:tabs>
          <w:tab w:leader="none" w:pos="4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51"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 if at all;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lose the support of collaborators, requiring us to bear more of the burden of research and development;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marketing approval in some countries and not in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approval with labeling that includes significant use or distribution restrictions or safety warnings;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 subject to additional post-marketing testing requirements;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have a product removed from the market after obtaining marketing approval.</w:t>
      </w:r>
    </w:p>
    <w:p>
      <w:pPr>
        <w:spacing w:after="0" w:line="198" w:lineRule="exact"/>
        <w:rPr>
          <w:sz w:val="20"/>
          <w:szCs w:val="20"/>
          <w:color w:val="auto"/>
        </w:rPr>
      </w:pPr>
    </w:p>
    <w:p>
      <w:pPr>
        <w:jc w:val="both"/>
        <w:ind w:left="7" w:right="20"/>
        <w:spacing w:after="0" w:line="266" w:lineRule="auto"/>
        <w:rPr>
          <w:sz w:val="20"/>
          <w:szCs w:val="20"/>
          <w:color w:val="auto"/>
        </w:rPr>
      </w:pPr>
      <w:r>
        <w:rPr>
          <w:rFonts w:ascii="Arial" w:cs="Arial" w:eastAsia="Arial" w:hAnsi="Arial"/>
          <w:sz w:val="15"/>
          <w:szCs w:val="15"/>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54" w:lineRule="exact"/>
        <w:rPr>
          <w:sz w:val="20"/>
          <w:szCs w:val="20"/>
          <w:color w:val="auto"/>
        </w:rPr>
      </w:pPr>
    </w:p>
    <w:p>
      <w:pPr>
        <w:ind w:left="7" w:right="780"/>
        <w:spacing w:after="0" w:line="277" w:lineRule="auto"/>
        <w:rPr>
          <w:sz w:val="20"/>
          <w:szCs w:val="20"/>
          <w:color w:val="auto"/>
        </w:rPr>
      </w:pPr>
      <w:r>
        <w:rPr>
          <w:rFonts w:ascii="Arial" w:cs="Arial" w:eastAsia="Arial" w:hAnsi="Arial"/>
          <w:sz w:val="15"/>
          <w:szCs w:val="15"/>
          <w:b w:val="1"/>
          <w:bCs w:val="1"/>
          <w:color w:val="auto"/>
        </w:rPr>
        <w:t>If we experience delays or difficulties in the enrollment of patients in clinical trials, our receipt of necessary regulatory approvals could be delayed or prevented.</w:t>
      </w:r>
    </w:p>
    <w:p>
      <w:pPr>
        <w:spacing w:after="0" w:line="143"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630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8" w:name="page29"/>
    <w:bookmarkEnd w:id="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We are initially developing our lead product candidate, SEL-212, for the treatment of chronic refractory gout, which affects approximately 50,000 patients in the United States. Accordingly, there is a limited number of patients who could enroll in our clinical studies.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to the size of the patient population, patient enrollment is also affected by other factors including:</w:t>
      </w:r>
    </w:p>
    <w:p>
      <w:pPr>
        <w:spacing w:after="0" w:line="210" w:lineRule="exact"/>
        <w:rPr>
          <w:sz w:val="20"/>
          <w:szCs w:val="20"/>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patient eligibility criteria for the study in question;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availability of other treatments for the disease under investigation;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existence of competing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efforts to facilitate timely enrollment in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payments for participating in clinical trials;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nature of the trial protocol;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98"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51"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43" w:lineRule="exact"/>
        <w:rPr>
          <w:sz w:val="20"/>
          <w:szCs w:val="20"/>
          <w:color w:val="auto"/>
        </w:rPr>
      </w:pPr>
    </w:p>
    <w:p>
      <w:pPr>
        <w:ind w:left="7"/>
        <w:spacing w:after="0" w:line="281"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157"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4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Although the FDA and other regulatory authorities have approved nanotechnology-based therapeutics in the past, they are monitoring whether nanotechnology-based therapeutics pose any specific health and human safety risks. While they have not issued any regulations to date, it is possible that the FDA and other regulatory authorities could issue regulations in the future regarding nanotechnology-based therapeutics that could adversely affect our product candidates.</w:t>
      </w:r>
    </w:p>
    <w:p>
      <w:pPr>
        <w:spacing w:after="0" w:line="15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42" w:lineRule="exact"/>
        <w:rPr>
          <w:sz w:val="20"/>
          <w:szCs w:val="20"/>
          <w:color w:val="auto"/>
        </w:rPr>
      </w:pPr>
    </w:p>
    <w:p>
      <w:pPr>
        <w:ind w:right="340"/>
        <w:spacing w:after="0" w:line="277" w:lineRule="auto"/>
        <w:rPr>
          <w:sz w:val="20"/>
          <w:szCs w:val="20"/>
          <w:color w:val="auto"/>
        </w:rPr>
      </w:pPr>
      <w:r>
        <w:rPr>
          <w:rFonts w:ascii="Arial" w:cs="Arial" w:eastAsia="Arial" w:hAnsi="Arial"/>
          <w:sz w:val="15"/>
          <w:szCs w:val="15"/>
          <w:b w:val="1"/>
          <w:b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6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United States, orphan designation entitles a party to financial incentives such as opportunities for grant funding towards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previously obtained orphan drug status for chronic refractory gout, although the exclusivity period has lapsed. However, Krystexxa could in the future obtain orphan drug status for chronic tophaceous gout, an indication we plan to pursue.</w:t>
      </w:r>
    </w:p>
    <w:p>
      <w:pPr>
        <w:spacing w:after="0" w:line="154"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The applicable exclusivity period is ten years in Europe, but such exclusivity period can be reduced to six years if a product no longer meets the criteria for orphan designation or if the product is sufficiently profitable so that market exclusivity is no longer justified.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43" w:lineRule="exact"/>
        <w:rPr>
          <w:sz w:val="20"/>
          <w:szCs w:val="20"/>
          <w:color w:val="auto"/>
        </w:rPr>
      </w:pPr>
    </w:p>
    <w:p>
      <w:pPr>
        <w:jc w:val="both"/>
        <w:ind w:right="100"/>
        <w:spacing w:after="0" w:line="263" w:lineRule="auto"/>
        <w:rPr>
          <w:sz w:val="20"/>
          <w:szCs w:val="20"/>
          <w:color w:val="auto"/>
        </w:rPr>
      </w:pPr>
      <w:r>
        <w:rPr>
          <w:rFonts w:ascii="Arial" w:cs="Arial" w:eastAsia="Arial" w:hAnsi="Arial"/>
          <w:sz w:val="15"/>
          <w:szCs w:val="15"/>
          <w:color w:val="auto"/>
        </w:rPr>
        <w:t>We may in the future seek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1" w:name="page32"/>
    <w:bookmarkEnd w:id="3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could be sued and held liable for harm caused to patients;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98"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risk-benefit perspective, any of which would harm our business.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DEPENDENCE ON THIRD PARTIES AND MANUFACTURING</w:t>
      </w:r>
    </w:p>
    <w:p>
      <w:pPr>
        <w:spacing w:after="0" w:line="187" w:lineRule="exact"/>
        <w:rPr>
          <w:sz w:val="20"/>
          <w:szCs w:val="20"/>
          <w:color w:val="auto"/>
        </w:rPr>
      </w:pPr>
    </w:p>
    <w:p>
      <w:pPr>
        <w:ind w:left="7" w:right="160"/>
        <w:spacing w:after="0" w:line="253" w:lineRule="auto"/>
        <w:rPr>
          <w:sz w:val="20"/>
          <w:szCs w:val="20"/>
          <w:color w:val="auto"/>
        </w:rPr>
      </w:pPr>
      <w:r>
        <w:rPr>
          <w:rFonts w:ascii="Arial" w:cs="Arial" w:eastAsia="Arial" w:hAnsi="Arial"/>
          <w:sz w:val="15"/>
          <w:szCs w:val="15"/>
          <w:b w:val="1"/>
          <w:b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6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obtain the biologic pegsiticase, a component of SEL-212, our lead product candidate, from 3SBio in China. Under our license agreement with 3SBio, we are not permitted to manufacture pegisticase and, as a result, expect to continue to rely on 3SBio for our supply of pegsiticase for the foreseeable future. Although we intend to seek to secure a backup supplier outside of China, we cannot assure you that we will be able to do so on acceptable terms.</w:t>
      </w:r>
    </w:p>
    <w:p>
      <w:pPr>
        <w:spacing w:after="0" w:line="159"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Any disruption in production or inability of 3SBio in China to produce adequate quantities of pegsiticase to meet our needs, whether as a result of a natural disaster or other causes, could impair our ability to operate our business on a day-to-day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third-party or clinical researcher interest and support of our proposed trials. These interruptions or failures could also impede commercialization of our future product candidates and impair our competitive position. Further, we may be exposed to fluctuations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26630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2" w:name="page33"/>
    <w:bookmarkEnd w:id="3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51"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62" w:lineRule="exact"/>
        <w:rPr>
          <w:sz w:val="20"/>
          <w:szCs w:val="20"/>
          <w:color w:val="auto"/>
        </w:rPr>
      </w:pPr>
    </w:p>
    <w:p>
      <w:pPr>
        <w:ind w:left="7" w:right="380"/>
        <w:spacing w:after="0" w:line="282" w:lineRule="auto"/>
        <w:rPr>
          <w:sz w:val="20"/>
          <w:szCs w:val="20"/>
          <w:color w:val="auto"/>
        </w:rPr>
      </w:pPr>
      <w:r>
        <w:rPr>
          <w:rFonts w:ascii="Arial" w:cs="Arial" w:eastAsia="Arial" w:hAnsi="Arial"/>
          <w:sz w:val="15"/>
          <w:szCs w:val="15"/>
          <w:color w:val="auto"/>
        </w:rPr>
        <w:t>We may be unable to establish any agreements with third-party manufacturers on acceptable terms or at all. Even if we are able to establish agreements with third-party manufacturers, reliance on third-party manufacturers entails additional risks, including the:</w:t>
      </w:r>
    </w:p>
    <w:p>
      <w:pPr>
        <w:spacing w:after="0" w:line="162" w:lineRule="exact"/>
        <w:rPr>
          <w:sz w:val="20"/>
          <w:szCs w:val="20"/>
          <w:color w:val="auto"/>
        </w:rPr>
      </w:pPr>
    </w:p>
    <w:p>
      <w:pPr>
        <w:ind w:left="467" w:right="260" w:hanging="467"/>
        <w:spacing w:after="0" w:line="282"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inability, failure or unwillingness of third-party manufacturers to comply with regulatory requirements, maintain quality assurance, meet our needs, specifications or schedules or continue to supply products to 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reduced control we have over product development, including with respect to our lead product candidate, due to our reliance on such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breach of manufacturing agreements by the third-party manufacturers;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misappropriation or disclosure of our proprietary information, including our trade secrets and know-how;</w:t>
      </w:r>
    </w:p>
    <w:p>
      <w:pPr>
        <w:spacing w:after="0" w:line="221" w:lineRule="exact"/>
        <w:rPr>
          <w:rFonts w:ascii="Arial" w:cs="Arial" w:eastAsia="Arial" w:hAnsi="Arial"/>
          <w:sz w:val="15"/>
          <w:szCs w:val="15"/>
          <w:color w:val="auto"/>
        </w:rPr>
      </w:pPr>
    </w:p>
    <w:p>
      <w:pPr>
        <w:jc w:val="both"/>
        <w:ind w:left="467" w:right="60" w:hanging="467"/>
        <w:spacing w:after="0" w:line="270" w:lineRule="auto"/>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cost-effective; and</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termination or nonrenewal of agreements by third-party manufacturers at times that are costly or inconvenient for us.</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contract manufacturer is unable to comply with cGMP regulations or if the FDA does not approve their facility upon a pre-approval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54"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33" w:name="page34"/>
    <w:bookmarkEnd w:id="3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97" w:lineRule="auto"/>
        <w:rPr>
          <w:sz w:val="20"/>
          <w:szCs w:val="20"/>
          <w:color w:val="auto"/>
        </w:rPr>
      </w:pPr>
      <w:r>
        <w:rPr>
          <w:rFonts w:ascii="Arial" w:cs="Arial" w:eastAsia="Arial" w:hAnsi="Arial"/>
          <w:sz w:val="14"/>
          <w:szCs w:val="14"/>
          <w:color w:val="auto"/>
        </w:rPr>
        <w:t>manufacturer to produce multiple product components. For instance, one of our contract manufacturers produces polymers used in our SVP technology. If our current contract manufacturers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35" w:lineRule="exact"/>
        <w:rPr>
          <w:sz w:val="20"/>
          <w:szCs w:val="20"/>
          <w:color w:val="auto"/>
        </w:rPr>
      </w:pPr>
    </w:p>
    <w:p>
      <w:pPr>
        <w:ind w:left="7" w:right="860"/>
        <w:spacing w:after="0" w:line="277" w:lineRule="auto"/>
        <w:rPr>
          <w:sz w:val="20"/>
          <w:szCs w:val="20"/>
          <w:color w:val="auto"/>
        </w:rPr>
      </w:pPr>
      <w:r>
        <w:rPr>
          <w:rFonts w:ascii="Arial" w:cs="Arial" w:eastAsia="Arial" w:hAnsi="Arial"/>
          <w:sz w:val="15"/>
          <w:szCs w:val="15"/>
          <w:b w:val="1"/>
          <w:b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43" w:lineRule="exact"/>
        <w:rPr>
          <w:sz w:val="20"/>
          <w:szCs w:val="20"/>
          <w:color w:val="auto"/>
        </w:rPr>
      </w:pPr>
    </w:p>
    <w:p>
      <w:pPr>
        <w:ind w:left="7" w:right="100"/>
        <w:spacing w:after="0" w:line="263" w:lineRule="auto"/>
        <w:rPr>
          <w:sz w:val="20"/>
          <w:szCs w:val="20"/>
          <w:color w:val="auto"/>
        </w:rPr>
      </w:pPr>
      <w:r>
        <w:rPr>
          <w:rFonts w:ascii="Arial" w:cs="Arial" w:eastAsia="Arial" w:hAnsi="Arial"/>
          <w:sz w:val="15"/>
          <w:szCs w:val="15"/>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Our collaboration and license agreements include those with Sanofi, Massachusetts Institute of Technology, or MIT, 3SBio, BIND Therapeutics, Inc. and the Massachusetts Eye and Ear Infirmary and The Schepens Eye Research Institute, Inc. Our collaborations with Sanofi also provided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78" w:lineRule="exact"/>
        <w:rPr>
          <w:sz w:val="20"/>
          <w:szCs w:val="20"/>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have significant discretion in determining the efforts and resources that they will apply to these collaborations;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209" w:lineRule="exact"/>
        <w:rPr>
          <w:rFonts w:ascii="Arial" w:cs="Arial" w:eastAsia="Arial" w:hAnsi="Arial"/>
          <w:sz w:val="15"/>
          <w:szCs w:val="15"/>
          <w:color w:val="auto"/>
        </w:rPr>
      </w:pPr>
    </w:p>
    <w:p>
      <w:pPr>
        <w:ind w:left="467" w:right="120" w:hanging="467"/>
        <w:spacing w:after="0" w:line="270"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0"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5"/>
          <w:szCs w:val="15"/>
          <w:color w:val="auto"/>
        </w:rPr>
      </w:pPr>
    </w:p>
    <w:p>
      <w:pPr>
        <w:ind w:left="467" w:right="340" w:hanging="467"/>
        <w:spacing w:after="0" w:line="270"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70" w:lineRule="exact"/>
        <w:rPr>
          <w:rFonts w:ascii="Arial" w:cs="Arial" w:eastAsia="Arial" w:hAnsi="Arial"/>
          <w:sz w:val="15"/>
          <w:szCs w:val="15"/>
          <w:color w:val="auto"/>
        </w:rPr>
      </w:pPr>
    </w:p>
    <w:p>
      <w:pPr>
        <w:ind w:left="467" w:right="100" w:hanging="467"/>
        <w:spacing w:after="0" w:line="282"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rFonts w:ascii="Arial" w:cs="Arial" w:eastAsia="Arial" w:hAnsi="Arial"/>
          <w:sz w:val="15"/>
          <w:szCs w:val="15"/>
          <w:color w:val="auto"/>
        </w:rPr>
      </w:pPr>
    </w:p>
    <w:p>
      <w:pPr>
        <w:ind w:left="467" w:right="140" w:hanging="467"/>
        <w:spacing w:after="0" w:line="270" w:lineRule="auto"/>
        <w:tabs>
          <w:tab w:leader="none" w:pos="4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4" w:name="page35"/>
    <w:bookmarkEnd w:id="3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60" w:hanging="467"/>
        <w:spacing w:after="0" w:line="282"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209"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collaborations may be terminated for the convenience of the collaborator and, if terminated, we would potentially lose the right to pursue further development or commercialization of the applicable product candidates;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collaborators may learn about our technology and use this knowledge to compete with us in the future;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there may be conflicts between different collaborators that could negatively affect those collaborations and potentially others;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number and type of our collaborations could adversely affect our attractiveness to future collaborators or acquirers; and</w:t>
      </w:r>
    </w:p>
    <w:p>
      <w:pPr>
        <w:spacing w:after="0" w:line="209" w:lineRule="exact"/>
        <w:rPr>
          <w:rFonts w:ascii="Arial" w:cs="Arial" w:eastAsia="Arial" w:hAnsi="Arial"/>
          <w:sz w:val="15"/>
          <w:szCs w:val="15"/>
          <w:color w:val="auto"/>
        </w:rPr>
      </w:pPr>
    </w:p>
    <w:p>
      <w:pPr>
        <w:ind w:left="467" w:right="80" w:hanging="467"/>
        <w:spacing w:after="0" w:line="282"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currently have, and in the future may have, a limited number of collaborations and the loss of, or a disruption in our relationship with, any one or more of such collaborators may could harm our business.</w:t>
      </w:r>
    </w:p>
    <w:p>
      <w:pPr>
        <w:spacing w:after="0" w:line="151" w:lineRule="exact"/>
        <w:rPr>
          <w:sz w:val="20"/>
          <w:szCs w:val="20"/>
          <w:color w:val="auto"/>
        </w:rPr>
      </w:pPr>
    </w:p>
    <w:p>
      <w:pPr>
        <w:ind w:left="7" w:right="160"/>
        <w:spacing w:after="0" w:line="287"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prospectus also apply to the activities of our therapeutic program collaborators and there can be no assurance that our collaborations will produce positive results or successful products on a timely basis or at all.</w:t>
      </w:r>
    </w:p>
    <w:p>
      <w:pPr>
        <w:spacing w:after="0" w:line="149"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48" w:lineRule="exact"/>
        <w:rPr>
          <w:sz w:val="20"/>
          <w:szCs w:val="20"/>
          <w:color w:val="auto"/>
        </w:rPr>
      </w:pPr>
    </w:p>
    <w:p>
      <w:pPr>
        <w:ind w:left="7" w:right="60"/>
        <w:spacing w:after="0" w:line="310" w:lineRule="auto"/>
        <w:rPr>
          <w:sz w:val="20"/>
          <w:szCs w:val="20"/>
          <w:color w:val="auto"/>
        </w:rPr>
      </w:pPr>
      <w:r>
        <w:rPr>
          <w:rFonts w:ascii="Arial" w:cs="Arial" w:eastAsia="Arial" w:hAnsi="Arial"/>
          <w:sz w:val="13"/>
          <w:szCs w:val="13"/>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6630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35" w:lineRule="exact"/>
        <w:rPr>
          <w:sz w:val="20"/>
          <w:szCs w:val="20"/>
          <w:color w:val="auto"/>
        </w:rPr>
      </w:pPr>
    </w:p>
    <w:p>
      <w:pPr>
        <w:jc w:val="both"/>
        <w:ind w:right="140"/>
        <w:spacing w:after="0" w:line="277" w:lineRule="auto"/>
        <w:rPr>
          <w:sz w:val="20"/>
          <w:szCs w:val="20"/>
          <w:color w:val="auto"/>
        </w:rPr>
      </w:pPr>
      <w:r>
        <w:rPr>
          <w:rFonts w:ascii="Arial" w:cs="Arial" w:eastAsia="Arial" w:hAnsi="Arial"/>
          <w:sz w:val="15"/>
          <w:szCs w:val="15"/>
          <w:b w:val="1"/>
          <w:b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43"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We expect to continue to rely on third parties, such as CROs, clinical data management organizations, medical institutions and clinical investigators, to conduct and manage our clinical trials, including our Phase 1b clinical trial of SEL-212.</w:t>
      </w:r>
    </w:p>
    <w:p>
      <w:pPr>
        <w:spacing w:after="0" w:line="151"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government-sponsored database, </w:t>
      </w:r>
      <w:r>
        <w:rPr>
          <w:rFonts w:ascii="Arial" w:cs="Arial" w:eastAsia="Arial" w:hAnsi="Arial"/>
          <w:sz w:val="14"/>
          <w:szCs w:val="14"/>
          <w:i w:val="1"/>
          <w:iCs w:val="1"/>
          <w:color w:val="auto"/>
        </w:rPr>
        <w:t>ClinicalTrials.gov</w:t>
      </w:r>
      <w:r>
        <w:rPr>
          <w:rFonts w:ascii="Arial" w:cs="Arial" w:eastAsia="Arial" w:hAnsi="Arial"/>
          <w:sz w:val="14"/>
          <w:szCs w:val="14"/>
          <w:color w:val="auto"/>
        </w:rPr>
        <w:t>, within specified timeframes. Failure to do so can result in fines, adverse publicity and civil and criminal sanctions.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67" w:lineRule="exact"/>
        <w:rPr>
          <w:sz w:val="20"/>
          <w:szCs w:val="20"/>
          <w:color w:val="auto"/>
        </w:rPr>
      </w:pPr>
    </w:p>
    <w:p>
      <w:pPr>
        <w:ind w:right="220"/>
        <w:spacing w:after="0" w:line="362" w:lineRule="auto"/>
        <w:rPr>
          <w:sz w:val="20"/>
          <w:szCs w:val="20"/>
          <w:color w:val="auto"/>
        </w:rPr>
      </w:pPr>
      <w:r>
        <w:rPr>
          <w:rFonts w:ascii="Arial" w:cs="Arial" w:eastAsia="Arial" w:hAnsi="Arial"/>
          <w:sz w:val="13"/>
          <w:szCs w:val="13"/>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97" w:lineRule="exact"/>
        <w:rPr>
          <w:sz w:val="20"/>
          <w:szCs w:val="20"/>
          <w:color w:val="auto"/>
        </w:rPr>
      </w:pPr>
    </w:p>
    <w:p>
      <w:pPr>
        <w:jc w:val="both"/>
        <w:ind w:right="320"/>
        <w:spacing w:after="0" w:line="259" w:lineRule="auto"/>
        <w:rPr>
          <w:sz w:val="20"/>
          <w:szCs w:val="20"/>
          <w:color w:val="auto"/>
        </w:rPr>
      </w:pPr>
      <w:r>
        <w:rPr>
          <w:rFonts w:ascii="Arial" w:cs="Arial" w:eastAsia="Arial" w:hAnsi="Arial"/>
          <w:sz w:val="15"/>
          <w:szCs w:val="15"/>
          <w:b w:val="1"/>
          <w:b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56"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We have a pilot manufacturing facility at our Watertown, Massachusetts location where we conduct process development, scale-up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lead-time to replace our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6" w:name="page37"/>
    <w:bookmarkEnd w:id="3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capabilities. In such event, we would be forced to identify and rely entirely on alternative third-party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159" w:lineRule="exact"/>
        <w:rPr>
          <w:sz w:val="20"/>
          <w:szCs w:val="20"/>
          <w:color w:val="auto"/>
        </w:rPr>
      </w:pPr>
    </w:p>
    <w:p>
      <w:pPr>
        <w:jc w:val="both"/>
        <w:ind w:left="7" w:right="220"/>
        <w:spacing w:after="0" w:line="297" w:lineRule="auto"/>
        <w:rPr>
          <w:sz w:val="20"/>
          <w:szCs w:val="20"/>
          <w:color w:val="auto"/>
        </w:rPr>
      </w:pPr>
      <w:r>
        <w:rPr>
          <w:rFonts w:ascii="Arial" w:cs="Arial" w:eastAsia="Arial" w:hAnsi="Arial"/>
          <w:sz w:val="14"/>
          <w:szCs w:val="14"/>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44"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We may choose to establish a manufacturing facility for our product candidates for production at a commercial scale. However,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62" w:lineRule="exact"/>
        <w:rPr>
          <w:sz w:val="20"/>
          <w:szCs w:val="20"/>
          <w:color w:val="auto"/>
        </w:rPr>
      </w:pPr>
    </w:p>
    <w:p>
      <w:pPr>
        <w:ind w:left="7" w:right="540"/>
        <w:spacing w:after="0" w:line="362" w:lineRule="auto"/>
        <w:rPr>
          <w:sz w:val="20"/>
          <w:szCs w:val="20"/>
          <w:color w:val="auto"/>
        </w:rPr>
      </w:pPr>
      <w:r>
        <w:rPr>
          <w:rFonts w:ascii="Arial" w:cs="Arial" w:eastAsia="Arial" w:hAnsi="Arial"/>
          <w:sz w:val="13"/>
          <w:szCs w:val="13"/>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COMMERCIALIZATION OF OUR PRODUCT CANDIDATES AND OTHER LEGAL COMPLIANCE MATTERS</w:t>
      </w:r>
    </w:p>
    <w:p>
      <w:pPr>
        <w:spacing w:after="0" w:line="187" w:lineRule="exact"/>
        <w:rPr>
          <w:sz w:val="20"/>
          <w:szCs w:val="20"/>
          <w:color w:val="auto"/>
        </w:rPr>
      </w:pPr>
    </w:p>
    <w:p>
      <w:pPr>
        <w:ind w:left="7" w:right="180"/>
        <w:spacing w:after="0" w:line="277" w:lineRule="auto"/>
        <w:rPr>
          <w:sz w:val="20"/>
          <w:szCs w:val="20"/>
          <w:color w:val="auto"/>
        </w:rPr>
      </w:pPr>
      <w:r>
        <w:rPr>
          <w:rFonts w:ascii="Arial" w:cs="Arial" w:eastAsia="Arial" w:hAnsi="Arial"/>
          <w:sz w:val="15"/>
          <w:szCs w:val="15"/>
          <w:b w:val="1"/>
          <w:b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43"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71" w:lineRule="exact"/>
        <w:rPr>
          <w:sz w:val="20"/>
          <w:szCs w:val="20"/>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their efficacy, safety and other potential advantages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clinical indications for which our product candidates are approved;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offer them for sale at competitive prices;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their convenience and ease of administration compared to alternative treatments;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availability of third-party coverage and adequate reimbursement for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prevalence and severity of their side effects and their overall safety profiles;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restrictions on the use of our product candidates together with other medications;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interactions of our product candidates with other medicines patients are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37" w:name="page38"/>
    <w:bookmarkEnd w:id="3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ability to create awareness with patients and physicians about the harmful effects of uric acid deposits;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inability of certain types of patients to take our product candidates;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their ability to remain attractive in the event of changing treatment guidelines.</w:t>
      </w:r>
    </w:p>
    <w:p>
      <w:pPr>
        <w:spacing w:after="0" w:line="198" w:lineRule="exact"/>
        <w:rPr>
          <w:sz w:val="20"/>
          <w:szCs w:val="20"/>
          <w:color w:val="auto"/>
        </w:rPr>
      </w:pPr>
    </w:p>
    <w:p>
      <w:pPr>
        <w:ind w:left="7" w:right="300"/>
        <w:spacing w:after="0" w:line="263" w:lineRule="auto"/>
        <w:rPr>
          <w:sz w:val="20"/>
          <w:szCs w:val="20"/>
          <w:color w:val="auto"/>
        </w:rPr>
      </w:pPr>
      <w:r>
        <w:rPr>
          <w:rFonts w:ascii="Arial" w:cs="Arial" w:eastAsia="Arial" w:hAnsi="Arial"/>
          <w:sz w:val="15"/>
          <w:szCs w:val="15"/>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159" w:lineRule="exact"/>
        <w:rPr>
          <w:sz w:val="20"/>
          <w:szCs w:val="20"/>
          <w:color w:val="auto"/>
        </w:rPr>
      </w:pPr>
    </w:p>
    <w:p>
      <w:pPr>
        <w:ind w:left="7" w:right="380"/>
        <w:spacing w:after="0" w:line="277" w:lineRule="auto"/>
        <w:rPr>
          <w:sz w:val="20"/>
          <w:szCs w:val="20"/>
          <w:color w:val="auto"/>
        </w:rPr>
      </w:pPr>
      <w:r>
        <w:rPr>
          <w:rFonts w:ascii="Arial" w:cs="Arial" w:eastAsia="Arial" w:hAnsi="Arial"/>
          <w:sz w:val="15"/>
          <w:szCs w:val="15"/>
          <w:b w:val="1"/>
          <w:b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43"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pacing w:after="0" w:line="159"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Factors that may inhibit our efforts to commercialize our product candidates on our own include:</w:t>
      </w:r>
    </w:p>
    <w:p>
      <w:pPr>
        <w:spacing w:after="0" w:line="210" w:lineRule="exact"/>
        <w:rPr>
          <w:sz w:val="20"/>
          <w:szCs w:val="20"/>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inability to recruit, train and retain adequate numbers of effective sales and marketing personnel;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or educate physicians on the benefits of our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inability to obtain sufficient coverage and reimbursement from third-party payors and governmental agencies for our product candidates.</w:t>
      </w:r>
    </w:p>
    <w:p>
      <w:pPr>
        <w:spacing w:after="0" w:line="198"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Outside the United States, we may rely on third parties to sell, market and distribute our product candidates. We may not be successful in entering into arrangements with such third parties or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product candidates, if approved, may fail to offer material commercial advantages over other treatments.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We face substantial competition, which may result in others discovering, developing or commercializing competing products before or more successfully than we do.</w:t>
      </w:r>
    </w:p>
    <w:p>
      <w:pPr>
        <w:spacing w:after="0" w:line="14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many companies offer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this regard, SEL-212 may compete with Krystexxa, recently acquired by affiliates of Horizon Pharma plc, which contains a pegylated uricase similar to the pegsiticase component of SEL-212 and is indicated for the treatment of refractory gout. Large companies with active research to prevent the formation of ADAs and treat allergies and autoimmune diseases include Sanofi, Pfizer Inc., or Pfizer, and Merck &amp; Co., Inc., or Merck. Small early-stage biopharmaceutical companies active in the research for new technologies to achieve antigen-specific tolerance include Anokion SA, Cour Pharmaceutical Development Company, Inc., or Cour Pharmaceutical, Apitope International NV, Evotec AG and Dendright International, Inc. Large pharmaceutical companies, including Astra Zeneca PLC, or Astra Zeneca, Roche Holding AG, Pfizer, Merck, Bristol-Myers Squibb Company, and Amgen Inc., as well as smaller biopharmaceutical companies, including Immune Design Corp., are active in the research and development of cancer vaccines. Clinical stage companies with vaccine approaches to treating HPV-associated cancer include VGX3100 from Inovio Pharmaceuticals, Inc., or Inovio, ISA-101 from ISA Pharmaceuticals B.V., GTL001 from Genticel, INO-3112 licensed by Astra Zeneca from Inovio, and others. Some of these competitive products and therapies are based on scientific approaches that are the same as or similar to our approach, and others may be based on entirely different approaches. For example, Anokion SA targets to induce antigen-specific tolerance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26630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660"/>
        <w:spacing w:after="0" w:line="270" w:lineRule="auto"/>
        <w:rPr>
          <w:sz w:val="20"/>
          <w:szCs w:val="20"/>
          <w:color w:val="auto"/>
        </w:rPr>
      </w:pPr>
      <w:r>
        <w:rPr>
          <w:rFonts w:ascii="Arial" w:cs="Arial" w:eastAsia="Arial" w:hAnsi="Arial"/>
          <w:sz w:val="15"/>
          <w:szCs w:val="15"/>
          <w:color w:val="auto"/>
        </w:rPr>
        <w:t>attaching an antigen to red blood cells and Cour Pharmaceutical is working on a nanoparticle encapsulating antigen without any immunomodulator to treat celiac disease.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159" w:lineRule="exact"/>
        <w:rPr>
          <w:sz w:val="20"/>
          <w:szCs w:val="20"/>
          <w:color w:val="auto"/>
        </w:rPr>
      </w:pPr>
    </w:p>
    <w:p>
      <w:pPr>
        <w:ind w:right="220"/>
        <w:spacing w:after="0" w:line="277" w:lineRule="auto"/>
        <w:rPr>
          <w:sz w:val="20"/>
          <w:szCs w:val="20"/>
          <w:color w:val="auto"/>
        </w:rPr>
      </w:pPr>
      <w:r>
        <w:rPr>
          <w:rFonts w:ascii="Arial" w:cs="Arial" w:eastAsia="Arial" w:hAnsi="Arial"/>
          <w:sz w:val="15"/>
          <w:szCs w:val="15"/>
          <w:b w:val="1"/>
          <w:bCs w:val="1"/>
          <w:color w:val="auto"/>
        </w:rPr>
        <w:t>Even if we are able to commercialize any product candidates, the products may become subject to unfavorable pricing regulations or third-party coverage or reimbursement policies, any of which would harm our business.</w:t>
      </w:r>
    </w:p>
    <w:p>
      <w:pPr>
        <w:spacing w:after="0" w:line="143"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62"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Obtaining and maintaining adequate reimbursement for our products may be difficult. The process for determining whether a third-party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26630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0" w:name="page41"/>
    <w:bookmarkEnd w:id="4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97" w:lineRule="auto"/>
        <w:rPr>
          <w:sz w:val="20"/>
          <w:szCs w:val="20"/>
          <w:color w:val="auto"/>
        </w:rPr>
      </w:pPr>
      <w:r>
        <w:rPr>
          <w:rFonts w:ascii="Arial" w:cs="Arial" w:eastAsia="Arial" w:hAnsi="Arial"/>
          <w:sz w:val="14"/>
          <w:szCs w:val="14"/>
          <w:color w:val="auto"/>
        </w:rPr>
        <w:t>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44"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54" w:lineRule="exact"/>
        <w:rPr>
          <w:sz w:val="20"/>
          <w:szCs w:val="20"/>
          <w:color w:val="auto"/>
        </w:rPr>
      </w:pPr>
    </w:p>
    <w:p>
      <w:pPr>
        <w:ind w:left="7" w:right="20"/>
        <w:spacing w:after="0" w:line="282" w:lineRule="auto"/>
        <w:rPr>
          <w:sz w:val="20"/>
          <w:szCs w:val="20"/>
          <w:color w:val="auto"/>
        </w:rPr>
      </w:pPr>
      <w:r>
        <w:rPr>
          <w:rFonts w:ascii="Arial" w:cs="Arial" w:eastAsia="Arial" w:hAnsi="Arial"/>
          <w:sz w:val="14"/>
          <w:szCs w:val="14"/>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Product liability lawsuits against us could cause us to incur substantial liabilities and limit commercialization of any products that we may develop.</w:t>
      </w:r>
    </w:p>
    <w:p>
      <w:pPr>
        <w:spacing w:after="0" w:line="195"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1" w:lineRule="exact"/>
        <w:rPr>
          <w:sz w:val="20"/>
          <w:szCs w:val="20"/>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regulatory investigations, product recalls or withdrawals, or labeling, marketing or promotional restrictions;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1"/>
        </w:numPr>
        <w:rPr>
          <w:rFonts w:ascii="Arial" w:cs="Arial" w:eastAsia="Arial" w:hAnsi="Arial"/>
          <w:sz w:val="15"/>
          <w:szCs w:val="15"/>
          <w:color w:val="auto"/>
        </w:rPr>
      </w:pPr>
      <w:r>
        <w:rPr>
          <w:rFonts w:ascii="Arial" w:cs="Arial" w:eastAsia="Arial" w:hAnsi="Arial"/>
          <w:sz w:val="15"/>
          <w:szCs w:val="15"/>
          <w:color w:val="auto"/>
        </w:rPr>
        <w:t>decreased demand for any product candidates or products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41" w:name="page42"/>
    <w:bookmarkEnd w:id="4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injury to our reputation and significant negative media attention;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withdrawal of clinical trial participants;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costs to defend the related litigation;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substantial monetary awards to trial participants or patients;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loss of revenue;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reduced resources of our management to pursue our business strategy;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inability to commercialize any products that we may develop.</w:t>
      </w:r>
    </w:p>
    <w:p>
      <w:pPr>
        <w:spacing w:after="0" w:line="198" w:lineRule="exact"/>
        <w:rPr>
          <w:sz w:val="20"/>
          <w:szCs w:val="20"/>
          <w:color w:val="auto"/>
        </w:rPr>
      </w:pPr>
    </w:p>
    <w:p>
      <w:pPr>
        <w:jc w:val="both"/>
        <w:ind w:left="7" w:right="80"/>
        <w:spacing w:after="0" w:line="297" w:lineRule="auto"/>
        <w:rPr>
          <w:sz w:val="20"/>
          <w:szCs w:val="20"/>
          <w:color w:val="auto"/>
        </w:rPr>
      </w:pPr>
      <w:r>
        <w:rPr>
          <w:rFonts w:ascii="Arial" w:cs="Arial" w:eastAsia="Arial" w:hAnsi="Arial"/>
          <w:sz w:val="14"/>
          <w:szCs w:val="14"/>
          <w:color w:val="auto"/>
        </w:rPr>
        <w:t>We currently hold $10 million in product liability insurance coverage in the aggregate, with no per occurrence limit,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Failure to obtain marketing approval in international jurisdictions would prevent our product candidates from being marketed abroad.</w:t>
      </w:r>
    </w:p>
    <w:p>
      <w:pPr>
        <w:spacing w:after="0" w:line="195" w:lineRule="exact"/>
        <w:rPr>
          <w:sz w:val="20"/>
          <w:szCs w:val="20"/>
          <w:color w:val="auto"/>
        </w:rPr>
      </w:pPr>
    </w:p>
    <w:p>
      <w:pPr>
        <w:ind w:left="7" w:right="60"/>
        <w:spacing w:after="0" w:line="260" w:lineRule="auto"/>
        <w:rPr>
          <w:sz w:val="20"/>
          <w:szCs w:val="20"/>
          <w:color w:val="auto"/>
        </w:rPr>
      </w:pPr>
      <w:r>
        <w:rPr>
          <w:rFonts w:ascii="Arial" w:cs="Arial" w:eastAsia="Arial" w:hAnsi="Arial"/>
          <w:sz w:val="15"/>
          <w:szCs w:val="15"/>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162" w:lineRule="exact"/>
        <w:rPr>
          <w:sz w:val="20"/>
          <w:szCs w:val="20"/>
          <w:color w:val="auto"/>
        </w:rPr>
      </w:pPr>
    </w:p>
    <w:p>
      <w:pPr>
        <w:ind w:left="7" w:right="380"/>
        <w:spacing w:after="0" w:line="253" w:lineRule="auto"/>
        <w:rPr>
          <w:sz w:val="20"/>
          <w:szCs w:val="20"/>
          <w:color w:val="auto"/>
        </w:rPr>
      </w:pPr>
      <w:r>
        <w:rPr>
          <w:rFonts w:ascii="Arial" w:cs="Arial" w:eastAsia="Arial" w:hAnsi="Arial"/>
          <w:sz w:val="15"/>
          <w:szCs w:val="15"/>
          <w:b w:val="1"/>
          <w:bCs w:val="1"/>
          <w:color w:val="auto"/>
        </w:rPr>
        <w:t>Although we are not currently marketing our product candidates, including to healthcare providers, if and when we do, our relationships with healthcare providers, customers and third-party payors may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1"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Healthcare providers, customers and third-party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2" w:name="page43"/>
    <w:bookmarkEnd w:id="4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for which we obtain marketing approval. Restrictions under applicable federal and state healthcare laws and regulations may include the following:</w:t>
      </w:r>
    </w:p>
    <w:p>
      <w:pPr>
        <w:spacing w:after="0" w:line="210" w:lineRule="exact"/>
        <w:rPr>
          <w:sz w:val="20"/>
          <w:szCs w:val="20"/>
          <w:color w:val="auto"/>
        </w:rPr>
      </w:pPr>
    </w:p>
    <w:p>
      <w:pPr>
        <w:ind w:left="467" w:hanging="467"/>
        <w:spacing w:after="0" w:line="287" w:lineRule="auto"/>
        <w:tabs>
          <w:tab w:leader="none" w:pos="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2" w:lineRule="exact"/>
        <w:rPr>
          <w:rFonts w:ascii="Arial" w:cs="Arial" w:eastAsia="Arial" w:hAnsi="Arial"/>
          <w:sz w:val="14"/>
          <w:szCs w:val="14"/>
          <w:color w:val="auto"/>
        </w:rPr>
      </w:pPr>
    </w:p>
    <w:p>
      <w:pPr>
        <w:jc w:val="both"/>
        <w:ind w:left="467" w:right="220" w:hanging="467"/>
        <w:spacing w:after="0" w:line="270"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70"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70" w:lineRule="exact"/>
        <w:rPr>
          <w:rFonts w:ascii="Arial" w:cs="Arial" w:eastAsia="Arial" w:hAnsi="Arial"/>
          <w:sz w:val="15"/>
          <w:szCs w:val="15"/>
          <w:color w:val="auto"/>
        </w:rPr>
      </w:pPr>
    </w:p>
    <w:p>
      <w:pPr>
        <w:jc w:val="both"/>
        <w:ind w:left="467" w:right="120" w:hanging="467"/>
        <w:spacing w:after="0" w:line="270"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2" w:lineRule="exact"/>
        <w:rPr>
          <w:rFonts w:ascii="Arial" w:cs="Arial" w:eastAsia="Arial" w:hAnsi="Arial"/>
          <w:sz w:val="15"/>
          <w:szCs w:val="15"/>
          <w:color w:val="auto"/>
        </w:rPr>
      </w:pPr>
    </w:p>
    <w:p>
      <w:pPr>
        <w:ind w:left="467" w:right="180" w:hanging="467"/>
        <w:spacing w:after="0" w:line="263"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78" w:lineRule="exact"/>
        <w:rPr>
          <w:rFonts w:ascii="Arial" w:cs="Arial" w:eastAsia="Arial" w:hAnsi="Arial"/>
          <w:sz w:val="15"/>
          <w:szCs w:val="15"/>
          <w:color w:val="auto"/>
        </w:rPr>
      </w:pPr>
    </w:p>
    <w:p>
      <w:pPr>
        <w:ind w:left="467" w:right="20" w:hanging="467"/>
        <w:spacing w:after="0" w:line="262" w:lineRule="auto"/>
        <w:tabs>
          <w:tab w:leader="none" w:pos="467"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43" w:name="page44"/>
    <w:bookmarkEnd w:id="4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06" w:lineRule="auto"/>
        <w:rPr>
          <w:sz w:val="20"/>
          <w:szCs w:val="20"/>
          <w:color w:val="auto"/>
        </w:rPr>
      </w:pPr>
      <w:r>
        <w:rPr>
          <w:rFonts w:ascii="Arial" w:cs="Arial" w:eastAsia="Arial" w:hAnsi="Arial"/>
          <w:sz w:val="13"/>
          <w:szCs w:val="13"/>
          <w:color w:val="auto"/>
        </w:rPr>
        <w:t>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135" w:lineRule="exact"/>
        <w:rPr>
          <w:sz w:val="20"/>
          <w:szCs w:val="20"/>
          <w:color w:val="auto"/>
        </w:rPr>
      </w:pPr>
    </w:p>
    <w:p>
      <w:pPr>
        <w:ind w:left="7" w:right="200"/>
        <w:spacing w:after="0" w:line="277" w:lineRule="auto"/>
        <w:rPr>
          <w:sz w:val="20"/>
          <w:szCs w:val="20"/>
          <w:color w:val="auto"/>
        </w:rPr>
      </w:pPr>
      <w:r>
        <w:rPr>
          <w:rFonts w:ascii="Arial" w:cs="Arial" w:eastAsia="Arial" w:hAnsi="Arial"/>
          <w:sz w:val="15"/>
          <w:szCs w:val="15"/>
          <w:b w:val="1"/>
          <w:bCs w:val="1"/>
          <w:color w:val="auto"/>
        </w:rPr>
        <w:t>Recently enacted and future legislation may increase the difficulty and cost for us to obtain marketing approval of and commercialize our product candidates and affect the prices we may obtain.</w:t>
      </w:r>
    </w:p>
    <w:p>
      <w:pPr>
        <w:spacing w:after="0" w:line="143"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59" w:lineRule="exact"/>
        <w:rPr>
          <w:sz w:val="20"/>
          <w:szCs w:val="20"/>
          <w:color w:val="auto"/>
        </w:rPr>
      </w:pPr>
    </w:p>
    <w:p>
      <w:pPr>
        <w:jc w:val="both"/>
        <w:ind w:left="7" w:right="140"/>
        <w:spacing w:after="0" w:line="330" w:lineRule="auto"/>
        <w:rPr>
          <w:sz w:val="20"/>
          <w:szCs w:val="20"/>
          <w:color w:val="auto"/>
        </w:rPr>
      </w:pPr>
      <w:r>
        <w:rPr>
          <w:rFonts w:ascii="Arial" w:cs="Arial" w:eastAsia="Arial" w:hAnsi="Arial"/>
          <w:sz w:val="13"/>
          <w:szCs w:val="13"/>
          <w:color w:val="auto"/>
        </w:rPr>
        <w:t>For example, in the United States, in 2010, President Obama signed into law the Patient Protection and Affordable Care Act, as amended by the Health Care and Education Reconciliation Act, or collectively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Among the provisions of the PPACA of importance to our potential product candidates are the following:</w:t>
      </w:r>
    </w:p>
    <w:p>
      <w:pPr>
        <w:spacing w:after="0" w:line="210" w:lineRule="exact"/>
        <w:rPr>
          <w:sz w:val="20"/>
          <w:szCs w:val="20"/>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annual, nondeductible fee payable by any entity that manufactures or imports specified branded prescription drugs and biologic agents;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increase in the statutory minimum rebates a manufacturer must pay under the Medicaid Drug Rebate Program;</w:t>
      </w:r>
    </w:p>
    <w:p>
      <w:pPr>
        <w:spacing w:after="0" w:line="209" w:lineRule="exact"/>
        <w:rPr>
          <w:rFonts w:ascii="Arial" w:cs="Arial" w:eastAsia="Arial" w:hAnsi="Arial"/>
          <w:sz w:val="15"/>
          <w:szCs w:val="15"/>
          <w:color w:val="auto"/>
        </w:rPr>
      </w:pPr>
    </w:p>
    <w:p>
      <w:pPr>
        <w:ind w:left="467" w:right="380" w:hanging="467"/>
        <w:spacing w:after="0" w:line="282" w:lineRule="auto"/>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new methodology by which rebates owed by manufacturers under the Medicaid Drug Rebate Program are calculated for drugs that are inhaled, infused, instilled, implanted or injected;</w:t>
      </w:r>
    </w:p>
    <w:p>
      <w:pPr>
        <w:spacing w:after="0" w:line="162" w:lineRule="exact"/>
        <w:rPr>
          <w:rFonts w:ascii="Arial" w:cs="Arial" w:eastAsia="Arial" w:hAnsi="Arial"/>
          <w:sz w:val="15"/>
          <w:szCs w:val="15"/>
          <w:color w:val="auto"/>
        </w:rPr>
      </w:pPr>
    </w:p>
    <w:p>
      <w:pPr>
        <w:ind w:left="467" w:right="260" w:hanging="467"/>
        <w:spacing w:after="0" w:line="319" w:lineRule="auto"/>
        <w:tabs>
          <w:tab w:leader="none" w:pos="46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under their coverage gap period, as a condition for the manufacturer's outpatient drugs to be covered under Medicare Part D;</w:t>
      </w:r>
    </w:p>
    <w:p>
      <w:pPr>
        <w:spacing w:after="0" w:line="151" w:lineRule="exact"/>
        <w:rPr>
          <w:rFonts w:ascii="Arial" w:cs="Arial" w:eastAsia="Arial" w:hAnsi="Arial"/>
          <w:sz w:val="14"/>
          <w:szCs w:val="14"/>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extension of manufacturers' Medicaid rebate liability to individuals enrolled in Medicaid managed care organizations;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expansion of the entities eligible for discounts under the Public Health Service pharmaceutical pricing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4" w:name="page45"/>
    <w:bookmarkEnd w:id="4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new requirement to annually report drug samples that manufacturers and distributors provide to physicians;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5"/>
        </w:numPr>
        <w:rPr>
          <w:rFonts w:ascii="Arial" w:cs="Arial" w:eastAsia="Arial" w:hAnsi="Arial"/>
          <w:sz w:val="13"/>
          <w:szCs w:val="13"/>
          <w:color w:val="auto"/>
        </w:rPr>
      </w:pPr>
      <w:r>
        <w:rPr>
          <w:rFonts w:ascii="Arial" w:cs="Arial" w:eastAsia="Arial" w:hAnsi="Arial"/>
          <w:sz w:val="13"/>
          <w:szCs w:val="13"/>
          <w:color w:val="auto"/>
        </w:rPr>
        <w:t>a new Patient-Centered Outcomes Research Institute to oversee, identify priorities in, and conduct comparative clinical effectiveness research, along with funding for such research.</w:t>
      </w:r>
    </w:p>
    <w:p>
      <w:pPr>
        <w:spacing w:after="0" w:line="221"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In addition, other legislative changes have been proposed and adopted since the PPACA was enacted. These changes included aggregate reductions to Medicare payments to providers of up to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67"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expect that the PPACA,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left="7" w:right="160"/>
        <w:spacing w:after="0" w:line="290" w:lineRule="auto"/>
        <w:rPr>
          <w:sz w:val="20"/>
          <w:szCs w:val="20"/>
          <w:color w:val="auto"/>
        </w:rPr>
      </w:pPr>
      <w:r>
        <w:rPr>
          <w:rFonts w:ascii="Arial" w:cs="Arial" w:eastAsia="Arial" w:hAnsi="Arial"/>
          <w:sz w:val="14"/>
          <w:szCs w:val="14"/>
          <w:color w:val="auto"/>
        </w:rPr>
        <w:t>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0" w:lineRule="exact"/>
        <w:rPr>
          <w:sz w:val="20"/>
          <w:szCs w:val="20"/>
          <w:color w:val="auto"/>
        </w:rPr>
      </w:pPr>
    </w:p>
    <w:p>
      <w:pPr>
        <w:jc w:val="both"/>
        <w:ind w:left="7" w:right="140"/>
        <w:spacing w:after="0" w:line="259" w:lineRule="auto"/>
        <w:rPr>
          <w:sz w:val="20"/>
          <w:szCs w:val="20"/>
          <w:color w:val="auto"/>
        </w:rPr>
      </w:pPr>
      <w:r>
        <w:rPr>
          <w:rFonts w:ascii="Arial" w:cs="Arial" w:eastAsia="Arial" w:hAnsi="Arial"/>
          <w:sz w:val="15"/>
          <w:szCs w:val="15"/>
          <w:b w:val="1"/>
          <w:bCs w:val="1"/>
          <w:color w:val="auto"/>
        </w:rPr>
        <w:t>Any product candidate for which we obtain marketing approval could be subject to post-marketing restrictions or withdrawal from the market, and we may be subject to penalties if we fail to comply with regulatory requirements or if we experience unexpected problems with our products, when and if any of them are approved.</w:t>
      </w:r>
    </w:p>
    <w:p>
      <w:pPr>
        <w:spacing w:after="0" w:line="156"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45" w:name="page46"/>
    <w:bookmarkEnd w:id="4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51" w:lineRule="exact"/>
        <w:rPr>
          <w:sz w:val="20"/>
          <w:szCs w:val="20"/>
          <w:color w:val="auto"/>
        </w:rPr>
      </w:pPr>
    </w:p>
    <w:p>
      <w:pPr>
        <w:ind w:left="7" w:right="200"/>
        <w:spacing w:after="0" w:line="287"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149" w:lineRule="exact"/>
        <w:rPr>
          <w:sz w:val="20"/>
          <w:szCs w:val="20"/>
          <w:color w:val="auto"/>
        </w:rPr>
      </w:pPr>
    </w:p>
    <w:p>
      <w:pPr>
        <w:ind w:left="7" w:right="440"/>
        <w:spacing w:after="0" w:line="297" w:lineRule="auto"/>
        <w:rPr>
          <w:sz w:val="20"/>
          <w:szCs w:val="20"/>
          <w:color w:val="auto"/>
        </w:rPr>
      </w:pPr>
      <w:r>
        <w:rPr>
          <w:rFonts w:ascii="Arial" w:cs="Arial" w:eastAsia="Arial" w:hAnsi="Arial"/>
          <w:sz w:val="14"/>
          <w:szCs w:val="14"/>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55" w:lineRule="exact"/>
        <w:rPr>
          <w:sz w:val="20"/>
          <w:szCs w:val="20"/>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litigation involving patients taking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such products, manufacturers or manufacturing processes;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the labeling or marketing of a product;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restrictions on product distribution or use;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requirements to conduct post-marketing studies or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warning letters;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withdrawal of products from the market;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termination of ongoing clinical trials;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damage to relationships with existing and potential collaborators;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unfavorable press coverage and damage to our reputation;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injunctions;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imposition of civil or criminal penalties.</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Noncompliance with other requirements in foreign jurisdictions regarding safety monitoring or pharmacovigilance can also result in significant financial penalties. Similarly, failure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U.S. and foreign regulatory requirements regarding the development of products for pediatric populations and the protection of personal health information can also lead to significant penalties and sanctions.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59" w:lineRule="exact"/>
        <w:rPr>
          <w:sz w:val="20"/>
          <w:szCs w:val="20"/>
          <w:color w:val="auto"/>
        </w:rPr>
      </w:pPr>
    </w:p>
    <w:p>
      <w:pPr>
        <w:jc w:val="both"/>
        <w:ind w:right="20"/>
        <w:spacing w:after="0" w:line="266"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5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Governments outside the United States tend to impose strict price controls, which may adversely affect our revenues, if any.</w:t>
      </w:r>
    </w:p>
    <w:p>
      <w:pPr>
        <w:spacing w:after="0" w:line="195"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b w:val="1"/>
          <w:b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43" w:lineRule="exact"/>
        <w:rPr>
          <w:sz w:val="20"/>
          <w:szCs w:val="20"/>
          <w:color w:val="auto"/>
        </w:rPr>
      </w:pPr>
    </w:p>
    <w:p>
      <w:pPr>
        <w:ind w:right="200"/>
        <w:spacing w:after="0" w:line="262" w:lineRule="auto"/>
        <w:rPr>
          <w:sz w:val="20"/>
          <w:szCs w:val="20"/>
          <w:color w:val="auto"/>
        </w:rPr>
      </w:pPr>
      <w:r>
        <w:rPr>
          <w:rFonts w:ascii="Arial" w:cs="Arial" w:eastAsia="Arial" w:hAnsi="Arial"/>
          <w:sz w:val="15"/>
          <w:szCs w:val="15"/>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5"/>
          <w:szCs w:val="15"/>
          <w:b w:val="1"/>
          <w:b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testing or approval of our product candidates, stricter labeling requirements for those product candidates that are approved and a decrease in demand for any such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43"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4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w:t>
      </w:r>
    </w:p>
    <w:p>
      <w:pPr>
        <w:spacing w:after="0" w:line="157"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32"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third-party product. These and other factors may provide opportunities for our competitors to design around our patents, should they issue.</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Moreover, other parties may have developed technologies that may be related or competitive to our approach, and may have filed or may file patent applications, and may have received or may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We may be subject to a third-party preissuance submission of prior art to the U.S. Patent and Trademark Office, or USPTO,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49"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0" w:name="page51"/>
    <w:bookmarkEnd w:id="5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Intellectual property rights do not prevent all potential threats to competitive advantages we may have.</w:t>
      </w:r>
    </w:p>
    <w:p>
      <w:pPr>
        <w:spacing w:after="0" w:line="195"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examples are illustrative:</w:t>
      </w:r>
    </w:p>
    <w:p>
      <w:pPr>
        <w:spacing w:after="0" w:line="210" w:lineRule="exact"/>
        <w:rPr>
          <w:sz w:val="20"/>
          <w:szCs w:val="20"/>
          <w:color w:val="auto"/>
        </w:rPr>
      </w:pPr>
    </w:p>
    <w:p>
      <w:pPr>
        <w:ind w:left="467" w:right="8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be able to make compounds that are the same as or similar to our current or future product candidates but that are not covered by the claims of the patents that we own or have exclusively licensed;</w:t>
      </w:r>
    </w:p>
    <w:p>
      <w:pPr>
        <w:spacing w:after="0" w:line="173"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make the inventions covered by the patents or pending patent applications that we own or have exclusively licensed;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or any of our licensors or collaborators might not have been the first to file patent applications covering certain of our inventions;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technologies without infringing our intellectual property rights;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prosecution of our pending patent applications may not result in granted patents;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3"/>
          <w:szCs w:val="13"/>
          <w:color w:val="auto"/>
        </w:rPr>
      </w:pPr>
      <w:r>
        <w:rPr>
          <w:rFonts w:ascii="Arial" w:cs="Arial" w:eastAsia="Arial" w:hAnsi="Arial"/>
          <w:sz w:val="13"/>
          <w:szCs w:val="13"/>
          <w:color w:val="auto"/>
        </w:rPr>
        <w:t>granted patents that we own or have licensed may not cover our products or may be held not infringed, invalid or unenforceable, as a result of legal challenges by our competitors;</w:t>
      </w:r>
    </w:p>
    <w:p>
      <w:pPr>
        <w:spacing w:after="0" w:line="232" w:lineRule="exact"/>
        <w:rPr>
          <w:rFonts w:ascii="Arial" w:cs="Arial" w:eastAsia="Arial" w:hAnsi="Arial"/>
          <w:sz w:val="13"/>
          <w:szCs w:val="13"/>
          <w:color w:val="auto"/>
        </w:rPr>
      </w:pPr>
    </w:p>
    <w:p>
      <w:pPr>
        <w:ind w:left="467" w:right="6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with respect to granted patents that we own or have licensed, especially patents that we either acquire or in-license, if certain information was withheld from or misrepresented to the patent examiner, such patents might be held to be unenforceable;</w:t>
      </w:r>
    </w:p>
    <w:p>
      <w:pPr>
        <w:spacing w:after="0" w:line="173"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patent protection on our product candidates may expire before we are able to develop and commercialize the product, or before we are able to recover our investment in the product candidates;</w:t>
      </w:r>
    </w:p>
    <w:p>
      <w:pPr>
        <w:spacing w:after="0" w:line="162" w:lineRule="exact"/>
        <w:rPr>
          <w:rFonts w:ascii="Arial" w:cs="Arial" w:eastAsia="Arial" w:hAnsi="Arial"/>
          <w:sz w:val="15"/>
          <w:szCs w:val="15"/>
          <w:color w:val="auto"/>
        </w:rPr>
      </w:pPr>
    </w:p>
    <w:p>
      <w:pPr>
        <w:ind w:left="467" w:right="300" w:hanging="467"/>
        <w:spacing w:after="0" w:line="270" w:lineRule="auto"/>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patents of others may have an adverse effect on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51" w:name="page52"/>
    <w:bookmarkEnd w:id="5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580" w:hanging="467"/>
        <w:spacing w:after="0" w:line="282" w:lineRule="auto"/>
        <w:tabs>
          <w:tab w:leader="none" w:pos="467"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may choose not to file a patent application for certain technologies, trade secrets or know-how, and a third party may subsequently file a patent covering such intellectual property.</w:t>
      </w:r>
    </w:p>
    <w:p>
      <w:pPr>
        <w:spacing w:after="0" w:line="142" w:lineRule="exact"/>
        <w:rPr>
          <w:sz w:val="20"/>
          <w:szCs w:val="20"/>
          <w:color w:val="auto"/>
        </w:rPr>
      </w:pPr>
    </w:p>
    <w:p>
      <w:pPr>
        <w:ind w:left="7" w:right="460"/>
        <w:spacing w:after="0" w:line="277" w:lineRule="auto"/>
        <w:rPr>
          <w:sz w:val="20"/>
          <w:szCs w:val="20"/>
          <w:color w:val="auto"/>
        </w:rPr>
      </w:pPr>
      <w:r>
        <w:rPr>
          <w:rFonts w:ascii="Arial" w:cs="Arial" w:eastAsia="Arial" w:hAnsi="Arial"/>
          <w:sz w:val="15"/>
          <w:szCs w:val="15"/>
          <w:b w:val="1"/>
          <w:bCs w:val="1"/>
          <w:color w:val="auto"/>
        </w:rPr>
        <w:t>We may not identify relevant patents or may incorrectly interpret the relevance, scope or expiration of a patent, which might adversely affect our ability to develop and market our product candidates.</w:t>
      </w:r>
    </w:p>
    <w:p>
      <w:pPr>
        <w:spacing w:after="0" w:line="143" w:lineRule="exact"/>
        <w:rPr>
          <w:sz w:val="20"/>
          <w:szCs w:val="20"/>
          <w:color w:val="auto"/>
        </w:rPr>
      </w:pPr>
    </w:p>
    <w:p>
      <w:pPr>
        <w:ind w:left="7" w:right="320"/>
        <w:spacing w:after="0" w:line="270" w:lineRule="auto"/>
        <w:rPr>
          <w:sz w:val="20"/>
          <w:szCs w:val="20"/>
          <w:color w:val="auto"/>
        </w:rPr>
      </w:pPr>
      <w:r>
        <w:rPr>
          <w:rFonts w:ascii="Arial" w:cs="Arial" w:eastAsia="Arial" w:hAnsi="Arial"/>
          <w:sz w:val="15"/>
          <w:szCs w:val="15"/>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59" w:lineRule="exact"/>
        <w:rPr>
          <w:sz w:val="20"/>
          <w:szCs w:val="20"/>
          <w:color w:val="auto"/>
        </w:rPr>
      </w:pPr>
    </w:p>
    <w:p>
      <w:pPr>
        <w:ind w:left="7" w:right="240"/>
        <w:spacing w:after="0" w:line="270" w:lineRule="auto"/>
        <w:rPr>
          <w:sz w:val="20"/>
          <w:szCs w:val="20"/>
          <w:color w:val="auto"/>
        </w:rPr>
      </w:pPr>
      <w:r>
        <w:rPr>
          <w:rFonts w:ascii="Arial" w:cs="Arial" w:eastAsia="Arial" w:hAnsi="Arial"/>
          <w:sz w:val="15"/>
          <w:szCs w:val="15"/>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third-party patent.</w:t>
      </w:r>
    </w:p>
    <w:p>
      <w:pPr>
        <w:spacing w:after="0" w:line="159" w:lineRule="exact"/>
        <w:rPr>
          <w:sz w:val="20"/>
          <w:szCs w:val="20"/>
          <w:color w:val="auto"/>
        </w:rPr>
      </w:pPr>
    </w:p>
    <w:p>
      <w:pPr>
        <w:ind w:left="7" w:right="180"/>
        <w:spacing w:after="0" w:line="263" w:lineRule="auto"/>
        <w:rPr>
          <w:sz w:val="20"/>
          <w:szCs w:val="20"/>
          <w:color w:val="auto"/>
        </w:rPr>
      </w:pPr>
      <w:r>
        <w:rPr>
          <w:rFonts w:ascii="Arial" w:cs="Arial" w:eastAsia="Arial" w:hAnsi="Arial"/>
          <w:sz w:val="15"/>
          <w:szCs w:val="15"/>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failure to identify and correctly interpret relevant patents may negatively impact our ability to develop and market our product candidates.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we are unable to protect the confidentiality of our trade secrets and know-how, our business and competitive position would be harmed.</w:t>
      </w:r>
    </w:p>
    <w:p>
      <w:pPr>
        <w:spacing w:after="0" w:line="195" w:lineRule="exact"/>
        <w:rPr>
          <w:sz w:val="20"/>
          <w:szCs w:val="20"/>
          <w:color w:val="auto"/>
        </w:rPr>
      </w:pPr>
    </w:p>
    <w:p>
      <w:pPr>
        <w:ind w:left="7" w:right="60"/>
        <w:spacing w:after="0" w:line="260"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663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U.S. patent law could diminish the value of patents in general, thereby impairing our ability to protect our product candidates.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is the case with other biotechnology companies, our success is heavily dependent on intellectual property, particularly patents. Obtaining and enforcing patents in the biotechnology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industry involves both technological and legal complexity, and is therefore costly, time-consuming and inherently uncertain. In addition, recent patent reform legislation could further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increase the uncertainties and costs surrounding the prosecution of our patent applications and the enforcement or defense of our issued patents. On September 16, 2011,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America Invents Act, or the Leahy-Smith Act, was signed into law. The Leahy-Smith Act includes a number of significant changes to U.S. patent law. These include provisions that affect</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the way patent applications are prosecuted and may also affect patent litigation. The USPTO recently developed new regulations and procedures to govern administration of the 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and many of the substantive changes to patent law associated with the Leahy-Smith Act, in particular the first to file provisions, became effective on March 16, 2013. A third party that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files a patent application in the USPTO after that date but before us could therefore be awarded a patent covering an invention of ours even if we had made the invention before it was made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by the third party. This requires us to be cognizant of the time from invention to filing of a patent application. Thus, for our U.S. patent applications containing a priority claim after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March 16, 2013, there is a greater level of uncertainty in the patent law. Moreover, some of the patent applications in our portfolio will be subject to examination under the pre-Leahy-Smith</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Act law and regulations, while other patents applications in our portfolio will be subject to examination under the law and regulations, as amended by the Leahy-Smith Act. This introduces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additional complexities into the prosecution and management of our portfolio.</w:t>
      </w:r>
    </w:p>
    <w:p>
      <w:pPr>
        <w:spacing w:after="0" w:line="193"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59"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may become involved in lawsuits to protect or enforce our patents or other intellectual property, which could be expensive, time-consuming and ultimately unsuccessful.</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5"/>
          <w:szCs w:val="15"/>
          <w:b w:val="1"/>
          <w:b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162"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4" w:name="page55"/>
    <w:bookmarkEnd w:id="5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00"/>
        <w:spacing w:after="0" w:line="290" w:lineRule="auto"/>
        <w:rPr>
          <w:sz w:val="20"/>
          <w:szCs w:val="20"/>
          <w:color w:val="auto"/>
        </w:rPr>
      </w:pPr>
      <w:r>
        <w:rPr>
          <w:rFonts w:ascii="Arial" w:cs="Arial" w:eastAsia="Arial" w:hAnsi="Arial"/>
          <w:sz w:val="14"/>
          <w:szCs w:val="14"/>
          <w:color w:val="auto"/>
        </w:rPr>
        <w:t>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48" w:lineRule="exact"/>
        <w:rPr>
          <w:sz w:val="20"/>
          <w:szCs w:val="20"/>
          <w:color w:val="auto"/>
        </w:rPr>
      </w:pPr>
    </w:p>
    <w:p>
      <w:pPr>
        <w:ind w:left="7" w:right="140"/>
        <w:spacing w:after="0" w:line="261" w:lineRule="auto"/>
        <w:rPr>
          <w:sz w:val="20"/>
          <w:szCs w:val="20"/>
          <w:color w:val="auto"/>
        </w:rPr>
      </w:pPr>
      <w:r>
        <w:rPr>
          <w:rFonts w:ascii="Arial" w:cs="Arial" w:eastAsia="Arial" w:hAnsi="Arial"/>
          <w:sz w:val="15"/>
          <w:szCs w:val="15"/>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54"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addition, intellectual property litigation or claims could force us to do one or more of the following:</w:t>
      </w:r>
    </w:p>
    <w:p>
      <w:pPr>
        <w:spacing w:after="0" w:line="210" w:lineRule="exact"/>
        <w:rPr>
          <w:sz w:val="20"/>
          <w:szCs w:val="20"/>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cease developing, selling or otherwise commercializing our product candidates;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39"/>
        </w:numPr>
        <w:rPr>
          <w:rFonts w:ascii="Arial" w:cs="Arial" w:eastAsia="Arial" w:hAnsi="Arial"/>
          <w:sz w:val="15"/>
          <w:szCs w:val="15"/>
          <w:color w:val="auto"/>
        </w:rPr>
      </w:pPr>
      <w:r>
        <w:rPr>
          <w:rFonts w:ascii="Arial" w:cs="Arial" w:eastAsia="Arial" w:hAnsi="Arial"/>
          <w:sz w:val="15"/>
          <w:szCs w:val="15"/>
          <w:color w:val="auto"/>
        </w:rPr>
        <w:t>pay substantial damages for past use of the asserted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55" w:name="page56"/>
    <w:bookmarkEnd w:id="5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obtain a license from the holder of the asserted intellectual property, which license may not be available on reasonable terms, if at all; and</w:t>
      </w:r>
    </w:p>
    <w:p>
      <w:pPr>
        <w:spacing w:after="0" w:line="221" w:lineRule="exact"/>
        <w:rPr>
          <w:rFonts w:ascii="Arial" w:cs="Arial" w:eastAsia="Arial" w:hAnsi="Arial"/>
          <w:sz w:val="15"/>
          <w:szCs w:val="15"/>
          <w:color w:val="auto"/>
        </w:rPr>
      </w:pPr>
    </w:p>
    <w:p>
      <w:pPr>
        <w:ind w:left="467" w:right="220" w:hanging="467"/>
        <w:spacing w:after="0" w:line="282" w:lineRule="auto"/>
        <w:tabs>
          <w:tab w:leader="none" w:pos="467"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51" w:lineRule="exact"/>
        <w:rPr>
          <w:sz w:val="20"/>
          <w:szCs w:val="20"/>
          <w:color w:val="auto"/>
        </w:rPr>
      </w:pPr>
    </w:p>
    <w:p>
      <w:pPr>
        <w:jc w:val="both"/>
        <w:ind w:left="7" w:right="220"/>
        <w:spacing w:after="0" w:line="270" w:lineRule="auto"/>
        <w:rPr>
          <w:sz w:val="20"/>
          <w:szCs w:val="20"/>
          <w:color w:val="auto"/>
        </w:rPr>
      </w:pPr>
      <w:r>
        <w:rPr>
          <w:rFonts w:ascii="Arial" w:cs="Arial" w:eastAsia="Arial" w:hAnsi="Arial"/>
          <w:sz w:val="15"/>
          <w:szCs w:val="15"/>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risks coming to fruition could harm our business.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Issued patents covering our product candidates could be found invalid or unenforceable or could be interpreted narrowly if challenged in court.</w:t>
      </w:r>
    </w:p>
    <w:p>
      <w:pPr>
        <w:spacing w:after="0" w:line="195" w:lineRule="exact"/>
        <w:rPr>
          <w:sz w:val="20"/>
          <w:szCs w:val="20"/>
          <w:color w:val="auto"/>
        </w:rPr>
      </w:pPr>
    </w:p>
    <w:p>
      <w:pPr>
        <w:ind w:left="7" w:right="20"/>
        <w:spacing w:after="0" w:line="279" w:lineRule="auto"/>
        <w:rPr>
          <w:sz w:val="20"/>
          <w:szCs w:val="20"/>
          <w:color w:val="auto"/>
        </w:rPr>
      </w:pPr>
      <w:r>
        <w:rPr>
          <w:rFonts w:ascii="Arial" w:cs="Arial" w:eastAsia="Arial" w:hAnsi="Arial"/>
          <w:sz w:val="14"/>
          <w:szCs w:val="14"/>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53" w:lineRule="exact"/>
        <w:rPr>
          <w:sz w:val="20"/>
          <w:szCs w:val="20"/>
          <w:color w:val="auto"/>
        </w:rPr>
      </w:pPr>
    </w:p>
    <w:p>
      <w:pPr>
        <w:ind w:left="7" w:right="120"/>
        <w:spacing w:after="0" w:line="277" w:lineRule="auto"/>
        <w:rPr>
          <w:sz w:val="20"/>
          <w:szCs w:val="20"/>
          <w:color w:val="auto"/>
        </w:rPr>
      </w:pPr>
      <w:r>
        <w:rPr>
          <w:rFonts w:ascii="Arial" w:cs="Arial" w:eastAsia="Arial" w:hAnsi="Arial"/>
          <w:sz w:val="15"/>
          <w:szCs w:val="15"/>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3"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claims challenging the inventorship or ownership of our patents and other intellectual property.</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6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5"/>
          <w:szCs w:val="15"/>
          <w:b w:val="1"/>
          <w:bCs w:val="1"/>
          <w:color w:val="auto"/>
        </w:rPr>
        <w:t>If we fail to comply with our obligations in our intellectual property licenses and funding arrangements with third parties, we could lose rights that are important to our business.</w:t>
      </w:r>
    </w:p>
    <w:p>
      <w:pPr>
        <w:spacing w:after="0" w:line="1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For example, we currently rely on certain intellectual property rights licensed to us from MIT, and have licensed additional intellectual property rights under agreements with 3SBio, BIND Therapeutics, Inc. and The Massachusetts Eye and Ear Infirmary and the Schepens Eye Research Institute, Inc.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80"/>
        <w:spacing w:after="0" w:line="297" w:lineRule="auto"/>
        <w:rPr>
          <w:sz w:val="20"/>
          <w:szCs w:val="20"/>
          <w:color w:val="auto"/>
        </w:rPr>
      </w:pPr>
      <w:r>
        <w:rPr>
          <w:rFonts w:ascii="Arial" w:cs="Arial" w:eastAsia="Arial" w:hAnsi="Arial"/>
          <w:sz w:val="14"/>
          <w:szCs w:val="14"/>
          <w:color w:val="auto"/>
        </w:rPr>
        <w:t>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 For more information on our license agreements and associated obligations, please see "Business—Licenses and collaborations."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successful in obtaining or maintaining necessary rights to our product candidates through acquisitions and in-licenses.</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39"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67"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5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4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b w:val="1"/>
          <w:b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31" w:lineRule="exact"/>
        <w:rPr>
          <w:sz w:val="20"/>
          <w:szCs w:val="20"/>
          <w:color w:val="auto"/>
        </w:rPr>
      </w:pPr>
    </w:p>
    <w:p>
      <w:pPr>
        <w:ind w:right="660"/>
        <w:spacing w:after="0" w:line="277" w:lineRule="auto"/>
        <w:rPr>
          <w:sz w:val="20"/>
          <w:szCs w:val="20"/>
          <w:color w:val="auto"/>
        </w:rPr>
      </w:pPr>
      <w:r>
        <w:rPr>
          <w:rFonts w:ascii="Arial" w:cs="Arial" w:eastAsia="Arial" w:hAnsi="Arial"/>
          <w:sz w:val="15"/>
          <w:szCs w:val="15"/>
          <w:b w:val="1"/>
          <w:bCs w:val="1"/>
          <w:color w:val="auto"/>
        </w:rPr>
        <w:t>We will need to obtain FDA approval for any proposed product names, and any failure or delay associated with such approval may adversely affect our business.</w:t>
      </w:r>
    </w:p>
    <w:p>
      <w:pPr>
        <w:spacing w:after="0" w:line="143"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5"/>
          <w:szCs w:val="15"/>
          <w:b w:val="1"/>
          <w:b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4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Filing, prosecuting and defending patents on product candidates in all countries and jurisdictions throughout the world would be prohibitively expensive, and our intellectual property rights in 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51" w:lineRule="exact"/>
        <w:rPr>
          <w:sz w:val="20"/>
          <w:szCs w:val="20"/>
          <w:color w:val="auto"/>
        </w:rPr>
      </w:pPr>
    </w:p>
    <w:p>
      <w:pPr>
        <w:ind w:right="620"/>
        <w:spacing w:after="0" w:line="277" w:lineRule="auto"/>
        <w:rPr>
          <w:sz w:val="20"/>
          <w:szCs w:val="20"/>
          <w:color w:val="auto"/>
        </w:rPr>
      </w:pPr>
      <w:r>
        <w:rPr>
          <w:rFonts w:ascii="Arial" w:cs="Arial" w:eastAsia="Arial" w:hAnsi="Arial"/>
          <w:sz w:val="15"/>
          <w:szCs w:val="15"/>
          <w:b w:val="1"/>
          <w:bCs w:val="1"/>
          <w:color w:val="auto"/>
        </w:rPr>
        <w:t>If we do not obtain additional protection under the Hatch-Waxman Act and similar foreign legislation extending the terms of our patents for our product candidates, our business may be harmed.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Depending upon the timing, duration and specifics of FDA regulatory approval for our product candidates, one or more of our U.S. patents may be eligible for limited patent term restoration under the Hatch-Waxman Act. The Hatch-Waxman Act permits a patent restoration term of up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face competition from biosimilars, which may have a material adverse effect on the future commercial prospects of our product candidates.</w:t>
      </w:r>
    </w:p>
    <w:p>
      <w:pPr>
        <w:spacing w:after="0" w:line="195"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137" w:lineRule="exact"/>
        <w:rPr>
          <w:sz w:val="20"/>
          <w:szCs w:val="20"/>
          <w:color w:val="auto"/>
        </w:rPr>
      </w:pPr>
    </w:p>
    <w:p>
      <w:pPr>
        <w:jc w:val="both"/>
        <w:ind w:right="2760"/>
        <w:spacing w:after="0" w:line="541" w:lineRule="auto"/>
        <w:rPr>
          <w:sz w:val="20"/>
          <w:szCs w:val="20"/>
          <w:color w:val="auto"/>
        </w:rPr>
      </w:pPr>
      <w:r>
        <w:rPr>
          <w:rFonts w:ascii="Arial" w:cs="Arial" w:eastAsia="Arial" w:hAnsi="Arial"/>
          <w:sz w:val="14"/>
          <w:szCs w:val="14"/>
          <w:b w:val="1"/>
          <w:bCs w:val="1"/>
          <w:color w:val="auto"/>
        </w:rPr>
        <w:t>RISKS RELATED TO EMPLOYEE MATTERS AND MANAGING GROWTH AND OTHER RISKS RELATED TO OUR BUSINESS Our future success depends on our ability to retain key executives and to attract, retain and motivate qualified personnel.</w:t>
      </w:r>
    </w:p>
    <w:p>
      <w:pPr>
        <w:ind w:right="100"/>
        <w:spacing w:after="0" w:line="270" w:lineRule="auto"/>
        <w:rPr>
          <w:sz w:val="20"/>
          <w:szCs w:val="20"/>
          <w:color w:val="auto"/>
        </w:rPr>
      </w:pPr>
      <w:r>
        <w:rPr>
          <w:rFonts w:ascii="Arial" w:cs="Arial" w:eastAsia="Arial" w:hAnsi="Arial"/>
          <w:sz w:val="15"/>
          <w:szCs w:val="15"/>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Recruiting and retaining qualified scientific, clinical, manufacturing and sales and marketing personnel will also be critical to our success. The loss of the services of our executive officers or other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1" w:name="page62"/>
    <w:bookmarkEnd w:id="6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4"/>
          <w:szCs w:val="14"/>
          <w:color w:val="auto"/>
        </w:rPr>
        <w:t>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6" w:lineRule="exact"/>
        <w:rPr>
          <w:sz w:val="20"/>
          <w:szCs w:val="20"/>
          <w:color w:val="auto"/>
        </w:rPr>
      </w:pPr>
    </w:p>
    <w:p>
      <w:pPr>
        <w:ind w:left="7" w:right="160"/>
        <w:spacing w:after="0" w:line="277" w:lineRule="auto"/>
        <w:rPr>
          <w:sz w:val="20"/>
          <w:szCs w:val="20"/>
          <w:color w:val="auto"/>
        </w:rPr>
      </w:pPr>
      <w:r>
        <w:rPr>
          <w:rFonts w:ascii="Arial" w:cs="Arial" w:eastAsia="Arial" w:hAnsi="Arial"/>
          <w:sz w:val="15"/>
          <w:szCs w:val="15"/>
          <w:b w:val="1"/>
          <w:b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3" w:lineRule="exact"/>
        <w:rPr>
          <w:sz w:val="20"/>
          <w:szCs w:val="20"/>
          <w:color w:val="auto"/>
        </w:rPr>
      </w:pPr>
    </w:p>
    <w:p>
      <w:pPr>
        <w:ind w:left="7" w:right="40"/>
        <w:spacing w:after="0" w:line="284"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 variety of risks associated with operating in Russia and internationally could adversely affect our business.</w:t>
      </w:r>
    </w:p>
    <w:p>
      <w:pPr>
        <w:spacing w:after="0" w:line="195"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 For example, one of our principal shareholders, RUSNANO, is a Russian Federation controlled entity and, according to press reports, in 2015 and 2016 several current and former RUSNANO managers were under investigation for embezzlement. While we and our officers and directors were not accused of any wrongdoing, further investigations or other accusations could adversely affect us.</w:t>
      </w:r>
    </w:p>
    <w:p>
      <w:pPr>
        <w:spacing w:after="0" w:line="14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467" w:right="220" w:hanging="467"/>
        <w:spacing w:after="0" w:line="282" w:lineRule="auto"/>
        <w:tabs>
          <w:tab w:leader="none" w:pos="467" w:val="left"/>
        </w:tabs>
        <w:numPr>
          <w:ilvl w:val="0"/>
          <w:numId w:val="41"/>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2" w:name="page63"/>
    <w:bookmarkEnd w:id="6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 candidates in various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of and enforcing our intellectual property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complexities associated with managing multiple-payor reimbursement regimes, government payors or patient self-pay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limits on our ability to penetrate international markets;</w:t>
      </w:r>
    </w:p>
    <w:p>
      <w:pPr>
        <w:spacing w:after="0" w:line="209" w:lineRule="exact"/>
        <w:rPr>
          <w:rFonts w:ascii="Arial" w:cs="Arial" w:eastAsia="Arial" w:hAnsi="Arial"/>
          <w:sz w:val="15"/>
          <w:szCs w:val="15"/>
          <w:color w:val="auto"/>
        </w:rPr>
      </w:pPr>
    </w:p>
    <w:p>
      <w:pPr>
        <w:ind w:left="467" w:right="260" w:hanging="467"/>
        <w:spacing w:after="0" w:line="319" w:lineRule="auto"/>
        <w:tabs>
          <w:tab w:leader="none" w:pos="467"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51" w:lineRule="exact"/>
        <w:rPr>
          <w:rFonts w:ascii="Arial" w:cs="Arial" w:eastAsia="Arial" w:hAnsi="Arial"/>
          <w:sz w:val="14"/>
          <w:szCs w:val="14"/>
          <w:color w:val="auto"/>
        </w:rPr>
      </w:pPr>
    </w:p>
    <w:p>
      <w:pPr>
        <w:ind w:left="467" w:right="24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changes in diplomatic and trade relationships;</w:t>
      </w:r>
    </w:p>
    <w:p>
      <w:pPr>
        <w:spacing w:after="0" w:line="209"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in enforcing our contractual and intellectual property rights, especially in those foreign countries that do not respect and protect intellectual property rights to the same extent as the United States;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legal risks, including use of the legal system by the government to benefit itself or affiliated entities at our expense, including expropriation of property; and</w:t>
      </w:r>
    </w:p>
    <w:p>
      <w:pPr>
        <w:spacing w:after="0" w:line="209" w:lineRule="exact"/>
        <w:rPr>
          <w:rFonts w:ascii="Arial" w:cs="Arial" w:eastAsia="Arial" w:hAnsi="Arial"/>
          <w:sz w:val="15"/>
          <w:szCs w:val="15"/>
          <w:color w:val="auto"/>
        </w:rPr>
      </w:pPr>
    </w:p>
    <w:p>
      <w:pPr>
        <w:ind w:left="467" w:right="360" w:hanging="467"/>
        <w:spacing w:after="0" w:line="282" w:lineRule="auto"/>
        <w:tabs>
          <w:tab w:leader="none" w:pos="4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sales and activities that may fall within the purview of the FCPA its books and records provisions, or its anti-bribery provisions.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Sanctions against Russia, and Russia's response to those sanctions, could adversely affect our business.</w:t>
      </w:r>
    </w:p>
    <w:p>
      <w:pPr>
        <w:spacing w:after="0" w:line="195"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Due to Russia's recent military intervention in Ukraine, the United States and the European Union have imposed sanctions on certain individuals and six financial institutions in Russia and have proposed the use of broader economic sanctions. In response, Russia has imposed entry bans on certain U.S. lawmakers and officials. Our wholly owned subsidiary, Selecta RUS, held $4.2 million of total cash in Russian banks as of March 31, 2016, including $1.5 million of cash and cash equivalents, $2.0 million of short-term deposits and $0.7 million of restricted cash. If the United States and European Union were to impose sanctions on Russian businesses, or if Russia were to take retaliatory action against U.S. companies operating in Russia, our research and development activities with respect to our program for HPV-associated cancers currently conducted by Selecta RUS, or any other research and development activities with respect to our other immune stimulation programs conducted by Selecta RUS in the future,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63" w:name="page64"/>
    <w:bookmarkEnd w:id="6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business and operations would suffer in the event of system failures.</w:t>
      </w:r>
    </w:p>
    <w:p>
      <w:pPr>
        <w:spacing w:after="0" w:line="195" w:lineRule="exact"/>
        <w:rPr>
          <w:sz w:val="20"/>
          <w:szCs w:val="20"/>
          <w:color w:val="auto"/>
        </w:rPr>
      </w:pPr>
    </w:p>
    <w:p>
      <w:pPr>
        <w:ind w:left="7" w:right="60"/>
        <w:spacing w:after="0" w:line="308" w:lineRule="auto"/>
        <w:rPr>
          <w:sz w:val="20"/>
          <w:szCs w:val="20"/>
          <w:color w:val="auto"/>
        </w:rPr>
      </w:pPr>
      <w:r>
        <w:rPr>
          <w:rFonts w:ascii="Arial" w:cs="Arial" w:eastAsia="Arial" w:hAnsi="Arial"/>
          <w:sz w:val="13"/>
          <w:szCs w:val="13"/>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31" w:lineRule="exact"/>
        <w:rPr>
          <w:sz w:val="20"/>
          <w:szCs w:val="20"/>
          <w:color w:val="auto"/>
        </w:rPr>
      </w:pPr>
    </w:p>
    <w:p>
      <w:pPr>
        <w:ind w:left="7" w:right="300"/>
        <w:spacing w:after="0" w:line="277" w:lineRule="auto"/>
        <w:rPr>
          <w:sz w:val="20"/>
          <w:szCs w:val="20"/>
          <w:color w:val="auto"/>
        </w:rPr>
      </w:pPr>
      <w:r>
        <w:rPr>
          <w:rFonts w:ascii="Arial" w:cs="Arial" w:eastAsia="Arial" w:hAnsi="Arial"/>
          <w:sz w:val="15"/>
          <w:szCs w:val="15"/>
          <w:b w:val="1"/>
          <w:b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43" w:lineRule="exact"/>
        <w:rPr>
          <w:sz w:val="20"/>
          <w:szCs w:val="20"/>
          <w:color w:val="auto"/>
        </w:rPr>
      </w:pPr>
    </w:p>
    <w:p>
      <w:pPr>
        <w:jc w:val="both"/>
        <w:ind w:left="7" w:right="220"/>
        <w:spacing w:after="0" w:line="300" w:lineRule="auto"/>
        <w:rPr>
          <w:sz w:val="20"/>
          <w:szCs w:val="20"/>
          <w:color w:val="auto"/>
        </w:rPr>
      </w:pPr>
      <w:r>
        <w:rPr>
          <w:rFonts w:ascii="Arial" w:cs="Arial" w:eastAsia="Arial" w:hAnsi="Arial"/>
          <w:sz w:val="13"/>
          <w:szCs w:val="13"/>
          <w:color w:val="auto"/>
        </w:rPr>
        <w:t>We are exposed to the risk that our employees, independent contractors, principal investigators, CROs, consultants, commercial partners and vendors may engage in fraudulent conduct or other illegal activity. Misconduct by these parties could include 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w:t>
      </w:r>
    </w:p>
    <w:p>
      <w:pPr>
        <w:ind w:left="7" w:right="60" w:hanging="7"/>
        <w:spacing w:after="0" w:line="280" w:lineRule="auto"/>
        <w:tabs>
          <w:tab w:leader="none" w:pos="221" w:val="left"/>
        </w:tabs>
        <w:numPr>
          <w:ilvl w:val="0"/>
          <w:numId w:val="43"/>
        </w:numPr>
        <w:rPr>
          <w:rFonts w:ascii="Arial" w:cs="Arial" w:eastAsia="Arial" w:hAnsi="Arial"/>
          <w:sz w:val="14"/>
          <w:szCs w:val="14"/>
          <w:color w:val="auto"/>
        </w:rPr>
      </w:pPr>
      <w:r>
        <w:rPr>
          <w:rFonts w:ascii="Arial" w:cs="Arial" w:eastAsia="Arial" w:hAnsi="Arial"/>
          <w:sz w:val="14"/>
          <w:szCs w:val="14"/>
          <w:color w:val="auto"/>
        </w:rPr>
        <w:t>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Acquisitions or joint ventures could disrupt our business, cause dilution to our stockholders and otherwise harm our business.</w:t>
      </w:r>
    </w:p>
    <w:p>
      <w:pPr>
        <w:spacing w:after="0" w:line="195"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4" w:name="page65"/>
    <w:bookmarkEnd w:id="6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transactions could be material to our financial condition and operating results and expose us to many risks, including:</w:t>
      </w:r>
    </w:p>
    <w:p>
      <w:pPr>
        <w:spacing w:after="0" w:line="210" w:lineRule="exact"/>
        <w:rPr>
          <w:sz w:val="20"/>
          <w:szCs w:val="20"/>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disruption in our relationships with future customers or with current or future distributors or suppliers as a result of such a transaction;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unexpected liabilities related to acquired companies;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difficulties integrating acquired personnel, technologies and operations into our existing business;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acquisition integration challenges;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increases in our expenses and reductions in our cash available for operations and other uses;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possible write-offs or impairment charges relating to acquired businesses;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inability to develop a sales force for any additional product candidates.</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1"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RISKS RELATED TO OUR COMMON STOCK AND THIS OFFERING</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An active trading market for our common stock may not develop.</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for our common stock will be determined through negotiations with the underwriters. Although our common stock has been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54" w:lineRule="exact"/>
        <w:rPr>
          <w:sz w:val="20"/>
          <w:szCs w:val="20"/>
          <w:color w:val="auto"/>
        </w:rPr>
      </w:pPr>
    </w:p>
    <w:p>
      <w:pPr>
        <w:ind w:left="7"/>
        <w:spacing w:after="0" w:line="277" w:lineRule="auto"/>
        <w:rPr>
          <w:sz w:val="20"/>
          <w:szCs w:val="20"/>
          <w:color w:val="auto"/>
        </w:rPr>
      </w:pPr>
      <w:r>
        <w:rPr>
          <w:rFonts w:ascii="Arial" w:cs="Arial" w:eastAsia="Arial" w:hAnsi="Arial"/>
          <w:sz w:val="15"/>
          <w:szCs w:val="15"/>
          <w:b w:val="1"/>
          <w:bCs w:val="1"/>
          <w:color w:val="auto"/>
        </w:rPr>
        <w:t>The market price of our common stock may be volatile and fluctuate substantially, which could result in substantial losses for purchasers of our common stock in this offering.</w:t>
      </w:r>
    </w:p>
    <w:p>
      <w:pPr>
        <w:spacing w:after="0" w:line="143"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82" w:lineRule="exact"/>
        <w:rPr>
          <w:sz w:val="20"/>
          <w:szCs w:val="20"/>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actual or expected changes in our growth rate relative to our competitors;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results of clinical trials of our product candidates or those of our competitors;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developments related to our existing or any future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65" w:name="page66"/>
    <w:bookmarkEnd w:id="6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development of new product candidates that may address our markets and make our product candidates less attractive;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physician, hospital or healthcare provider practices that may make our product candidates less useful;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announcements by us, our partners or our competitors of significant acquisitions, strategic partnerships, joint ventures, collaborations or capital commitments;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level of expenses related to any of our product candidates or clinical development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failure to meet or exceed financial estimates and projections of the investment community or that we provide to the public;</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products;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actual or expected changes in estimates as to financial results, development timelines or recommendations by securities analysts;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 and elsewhere in this prospectus.</w:t>
      </w:r>
    </w:p>
    <w:p>
      <w:pPr>
        <w:spacing w:after="0" w:line="190" w:lineRule="exact"/>
        <w:rPr>
          <w:sz w:val="20"/>
          <w:szCs w:val="20"/>
          <w:color w:val="auto"/>
        </w:rPr>
      </w:pPr>
    </w:p>
    <w:p>
      <w:pPr>
        <w:ind w:left="7" w:right="440"/>
        <w:spacing w:after="0" w:line="277" w:lineRule="auto"/>
        <w:rPr>
          <w:sz w:val="20"/>
          <w:szCs w:val="20"/>
          <w:color w:val="auto"/>
        </w:rPr>
      </w:pPr>
      <w:r>
        <w:rPr>
          <w:rFonts w:ascii="Arial" w:cs="Arial" w:eastAsia="Arial" w:hAnsi="Arial"/>
          <w:sz w:val="15"/>
          <w:szCs w:val="15"/>
          <w:b w:val="1"/>
          <w:b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143" w:lineRule="exact"/>
        <w:rPr>
          <w:sz w:val="20"/>
          <w:szCs w:val="20"/>
          <w:color w:val="auto"/>
        </w:rPr>
      </w:pPr>
    </w:p>
    <w:p>
      <w:pPr>
        <w:ind w:left="7" w:right="80"/>
        <w:spacing w:after="0" w:line="262" w:lineRule="auto"/>
        <w:rPr>
          <w:sz w:val="20"/>
          <w:szCs w:val="20"/>
          <w:color w:val="auto"/>
        </w:rPr>
      </w:pPr>
      <w:r>
        <w:rPr>
          <w:rFonts w:ascii="Arial" w:cs="Arial" w:eastAsia="Arial" w:hAnsi="Arial"/>
          <w:sz w:val="15"/>
          <w:szCs w:val="15"/>
          <w:color w:val="auto"/>
        </w:rPr>
        <w:t>Upon the closing of this offering, based on the number of shares of common stock outstanding as of May 31, 2016, our executive officers, directors and stockholders who owned more than 5% of our outstanding common stock before this offering and their respective affiliates will, in the aggregate, hold shares representing approximately 45% of our outstanding voting stock, which does not take into account any potential participation by such parties in this offering. See "Certain relationships and related person transactions—Participation in this offering."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If you purchase shares of common stock in this offering, you will suffer immediate dilution of your investment.</w:t>
      </w:r>
    </w:p>
    <w:p>
      <w:pPr>
        <w:spacing w:after="0" w:line="195"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The initial public offering price of our common stock will be substantially higher than the net tangible book value per share of our common stock. Therefore, if you purchase shares of our common stock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offering, you will pay a price per share that substantially exceeds our net tangible book value per share after this offering. To the extent shares subsequently are issued under outstanding options or warrants, you will incur further dilution. Based on an assumed initial public offering price of $15.00 per share, which is the midpoint of the price range set forth on the cover page of this prospectus, you will experience immediate dilution of $10.88 per share as of March 31, 2016, representing the difference between our pro forma as adjusted net tangible book value per share, after giving effect to this offering, and the assumed initial public offering price. In addition, purchasers of common stock in this offering will have contributed approximately 35.0% of the aggregate price paid by all purchasers of our stock but will own only approximately 25.0% of our common stock outstanding after this offering.</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broad discretion in the use of the net proceeds from this offering and may not use them effectively.</w:t>
      </w:r>
    </w:p>
    <w:p>
      <w:pPr>
        <w:spacing w:after="0" w:line="19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to support the clinical development of SEL-212, conduct preclinical studies of our other SVP product candidates in order to advance such product candidates into clinical development and for working capital and general corporate purposes. However, our use of these proceeds may differ substantially from our current plans.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59" w:lineRule="exact"/>
        <w:rPr>
          <w:sz w:val="20"/>
          <w:szCs w:val="20"/>
          <w:color w:val="auto"/>
        </w:rPr>
      </w:pPr>
    </w:p>
    <w:p>
      <w:pPr>
        <w:ind w:right="600"/>
        <w:spacing w:after="0" w:line="277" w:lineRule="auto"/>
        <w:rPr>
          <w:sz w:val="20"/>
          <w:szCs w:val="20"/>
          <w:color w:val="auto"/>
        </w:rPr>
      </w:pPr>
      <w:r>
        <w:rPr>
          <w:rFonts w:ascii="Arial" w:cs="Arial" w:eastAsia="Arial" w:hAnsi="Arial"/>
          <w:sz w:val="15"/>
          <w:szCs w:val="15"/>
          <w:b w:val="1"/>
          <w:b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43"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After this offering, we will have outstanding 16,914,048 shares of common stock based on the number of shares outstanding as of May 31, 2016. This includes the 4,250,000 shares that we are selling in this offering, which may be resold in the public market immediately without restriction, unless purchased by our affiliates, existing stockholders that are required to file reports pursuant to Section 16 of the Securities Exchange Act of 1934, as amended, or the Exchange Act, or participants in our directed share program who purchase more than $1,000,000 of shares. See "Prospectus summary—Directed share program" and "Shares eligible for future sale." The remaining 12,664,048 shares are currently restricted as a result of securities laws or lock-up agreements but will become eligible to be sold at various times beginning 180 days after this offering, unless held by one of our affiliates, in which case the resale of those securities will be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67" w:name="page68"/>
    <w:bookmarkEnd w:id="6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313" w:lineRule="auto"/>
        <w:rPr>
          <w:sz w:val="20"/>
          <w:szCs w:val="20"/>
          <w:color w:val="auto"/>
        </w:rPr>
      </w:pPr>
      <w:r>
        <w:rPr>
          <w:rFonts w:ascii="Arial" w:cs="Arial" w:eastAsia="Arial" w:hAnsi="Arial"/>
          <w:sz w:val="13"/>
          <w:szCs w:val="13"/>
          <w:color w:val="auto"/>
        </w:rPr>
        <w:t>volume limitations under Rule 144 of the Securities Act of 1933, as amended, or Rule 144. Moreover, after this offering, holders of 12,016,162 shares of our common stock will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29" w:lineRule="exact"/>
        <w:rPr>
          <w:sz w:val="20"/>
          <w:szCs w:val="20"/>
          <w:color w:val="auto"/>
        </w:rPr>
      </w:pPr>
    </w:p>
    <w:p>
      <w:pPr>
        <w:ind w:left="7" w:right="60"/>
        <w:spacing w:after="0" w:line="277" w:lineRule="auto"/>
        <w:rPr>
          <w:sz w:val="20"/>
          <w:szCs w:val="20"/>
          <w:color w:val="auto"/>
        </w:rPr>
      </w:pPr>
      <w:r>
        <w:rPr>
          <w:rFonts w:ascii="Arial" w:cs="Arial" w:eastAsia="Arial" w:hAnsi="Arial"/>
          <w:sz w:val="15"/>
          <w:szCs w:val="15"/>
          <w:b w:val="1"/>
          <w:bCs w:val="1"/>
          <w:color w:val="auto"/>
        </w:rPr>
        <w:t>We are an "emerging growth company," and the reduced disclosure requirements applicable to emerging growth companies may make our common stock less attractive to investors.</w:t>
      </w:r>
    </w:p>
    <w:p>
      <w:pPr>
        <w:spacing w:after="0" w:line="143" w:lineRule="exact"/>
        <w:rPr>
          <w:sz w:val="20"/>
          <w:szCs w:val="20"/>
          <w:color w:val="auto"/>
        </w:rPr>
      </w:pPr>
    </w:p>
    <w:p>
      <w:pPr>
        <w:ind w:left="7" w:right="100"/>
        <w:spacing w:after="0" w:line="287"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1" w:lineRule="exact"/>
        <w:rPr>
          <w:sz w:val="20"/>
          <w:szCs w:val="20"/>
          <w:color w:val="auto"/>
        </w:rPr>
      </w:pPr>
    </w:p>
    <w:p>
      <w:pPr>
        <w:ind w:left="467" w:right="68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in the assessment of our internal control over financial reporting;</w:t>
      </w:r>
    </w:p>
    <w:p>
      <w:pPr>
        <w:spacing w:after="0" w:line="209" w:lineRule="exact"/>
        <w:rPr>
          <w:rFonts w:ascii="Arial" w:cs="Arial" w:eastAsia="Arial" w:hAnsi="Arial"/>
          <w:sz w:val="15"/>
          <w:szCs w:val="15"/>
          <w:color w:val="auto"/>
        </w:rPr>
      </w:pPr>
    </w:p>
    <w:p>
      <w:pPr>
        <w:ind w:left="467" w:right="7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and</w:t>
      </w:r>
    </w:p>
    <w:p>
      <w:pPr>
        <w:spacing w:after="0" w:line="221" w:lineRule="exact"/>
        <w:rPr>
          <w:rFonts w:ascii="Arial" w:cs="Arial" w:eastAsia="Arial" w:hAnsi="Arial"/>
          <w:sz w:val="15"/>
          <w:szCs w:val="15"/>
          <w:color w:val="auto"/>
        </w:rPr>
      </w:pPr>
    </w:p>
    <w:p>
      <w:pPr>
        <w:ind w:left="467" w:right="320" w:hanging="467"/>
        <w:spacing w:after="0" w:line="282" w:lineRule="auto"/>
        <w:tabs>
          <w:tab w:leader="none" w:pos="4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vote on executive compensation and shareholder approval of any golden parachute payments not previously approved.</w:t>
      </w:r>
    </w:p>
    <w:p>
      <w:pPr>
        <w:spacing w:after="0" w:line="151" w:lineRule="exact"/>
        <w:rPr>
          <w:sz w:val="20"/>
          <w:szCs w:val="20"/>
          <w:color w:val="auto"/>
        </w:rPr>
      </w:pPr>
    </w:p>
    <w:p>
      <w:pPr>
        <w:ind w:left="7" w:right="220"/>
        <w:spacing w:after="0" w:line="284"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this exemption and, therefore, we will be subject to the same new or revised accounting standards as other public companies that are not emerging growth companies.</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b w:val="1"/>
          <w:bCs w:val="1"/>
          <w:color w:val="auto"/>
        </w:rPr>
        <w:t>We will incur increased costs as a result of operating as a public company, and our management will be required to devote substantial time to new compliance initiatives and corporate governance practices.</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6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5" w:lineRule="exact"/>
        <w:rPr>
          <w:sz w:val="20"/>
          <w:szCs w:val="20"/>
          <w:color w:val="auto"/>
        </w:rPr>
      </w:pPr>
    </w:p>
    <w:p>
      <w:pPr>
        <w:ind w:right="80"/>
        <w:spacing w:after="0" w:line="306" w:lineRule="auto"/>
        <w:rPr>
          <w:sz w:val="20"/>
          <w:szCs w:val="20"/>
          <w:color w:val="auto"/>
        </w:rPr>
      </w:pPr>
      <w:r>
        <w:rPr>
          <w:rFonts w:ascii="Arial" w:cs="Arial" w:eastAsia="Arial" w:hAnsi="Arial"/>
          <w:sz w:val="13"/>
          <w:szCs w:val="13"/>
          <w:color w:val="auto"/>
        </w:rPr>
        <w:t>Pursuant to Section 404 of the Sarbanes-Oxley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5"/>
          <w:szCs w:val="15"/>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43"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69" w:name="page70"/>
    <w:bookmarkEnd w:id="6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30" w:lineRule="auto"/>
        <w:rPr>
          <w:sz w:val="20"/>
          <w:szCs w:val="20"/>
          <w:color w:val="auto"/>
        </w:rPr>
      </w:pPr>
      <w:r>
        <w:rPr>
          <w:rFonts w:ascii="Arial" w:cs="Arial" w:eastAsia="Arial" w:hAnsi="Arial"/>
          <w:sz w:val="13"/>
          <w:szCs w:val="13"/>
          <w:color w:val="auto"/>
        </w:rPr>
        <w:t>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16" w:lineRule="exact"/>
        <w:rPr>
          <w:sz w:val="20"/>
          <w:szCs w:val="20"/>
          <w:color w:val="auto"/>
        </w:rPr>
      </w:pPr>
    </w:p>
    <w:p>
      <w:pPr>
        <w:ind w:left="7" w:right="240"/>
        <w:spacing w:after="0" w:line="277" w:lineRule="auto"/>
        <w:rPr>
          <w:sz w:val="20"/>
          <w:szCs w:val="20"/>
          <w:color w:val="auto"/>
        </w:rPr>
      </w:pPr>
      <w:r>
        <w:rPr>
          <w:rFonts w:ascii="Arial" w:cs="Arial" w:eastAsia="Arial" w:hAnsi="Arial"/>
          <w:sz w:val="15"/>
          <w:szCs w:val="15"/>
          <w:b w:val="1"/>
          <w:b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43" w:lineRule="exact"/>
        <w:rPr>
          <w:sz w:val="20"/>
          <w:szCs w:val="20"/>
          <w:color w:val="auto"/>
        </w:rPr>
      </w:pPr>
    </w:p>
    <w:p>
      <w:pPr>
        <w:ind w:left="7" w:right="140"/>
        <w:spacing w:after="0" w:line="262" w:lineRule="auto"/>
        <w:rPr>
          <w:sz w:val="20"/>
          <w:szCs w:val="20"/>
          <w:color w:val="auto"/>
        </w:rPr>
      </w:pPr>
      <w:r>
        <w:rPr>
          <w:rFonts w:ascii="Arial" w:cs="Arial" w:eastAsia="Arial" w:hAnsi="Arial"/>
          <w:sz w:val="15"/>
          <w:szCs w:val="15"/>
          <w:color w:val="auto"/>
        </w:rPr>
        <w:t>Provisions in our restated certificate of incorporation and our restated bylaws, which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79" w:lineRule="exact"/>
        <w:rPr>
          <w:sz w:val="20"/>
          <w:szCs w:val="20"/>
          <w:color w:val="auto"/>
        </w:rPr>
      </w:pPr>
    </w:p>
    <w:p>
      <w:pPr>
        <w:ind w:left="467" w:hanging="467"/>
        <w:spacing w:after="0"/>
        <w:tabs>
          <w:tab w:leader="none" w:pos="46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classified board of directors with three-year staggered terms, which may delay the ability of stockholders to change the membership of a majority of our board of directors;</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 cumulative voting in the election of directors, which limits the ability of minority stockholders to elect director candidates;</w:t>
      </w:r>
    </w:p>
    <w:p>
      <w:pPr>
        <w:spacing w:after="0" w:line="209" w:lineRule="exact"/>
        <w:rPr>
          <w:rFonts w:ascii="Arial" w:cs="Arial" w:eastAsia="Arial" w:hAnsi="Arial"/>
          <w:sz w:val="15"/>
          <w:szCs w:val="15"/>
          <w:color w:val="auto"/>
        </w:rPr>
      </w:pPr>
    </w:p>
    <w:p>
      <w:pPr>
        <w:ind w:left="467" w:right="260"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2"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ability of our board of directors to alter our bylaws without obtaining stockholder approval;</w:t>
      </w:r>
    </w:p>
    <w:p>
      <w:pPr>
        <w:spacing w:after="0" w:line="209"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221" w:lineRule="exact"/>
        <w:rPr>
          <w:rFonts w:ascii="Arial" w:cs="Arial" w:eastAsia="Arial" w:hAnsi="Arial"/>
          <w:sz w:val="15"/>
          <w:szCs w:val="15"/>
          <w:color w:val="auto"/>
        </w:rPr>
      </w:pPr>
    </w:p>
    <w:p>
      <w:pPr>
        <w:ind w:left="467" w:right="20"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2" w:lineRule="exact"/>
        <w:rPr>
          <w:rFonts w:ascii="Arial" w:cs="Arial" w:eastAsia="Arial" w:hAnsi="Arial"/>
          <w:sz w:val="15"/>
          <w:szCs w:val="15"/>
          <w:color w:val="auto"/>
        </w:rPr>
      </w:pPr>
    </w:p>
    <w:p>
      <w:pPr>
        <w:ind w:left="467" w:right="340" w:hanging="467"/>
        <w:spacing w:after="0" w:line="282" w:lineRule="auto"/>
        <w:tabs>
          <w:tab w:leader="none" w:pos="467" w:val="left"/>
        </w:tabs>
        <w:numPr>
          <w:ilvl w:val="0"/>
          <w:numId w:val="48"/>
        </w:numPr>
        <w:rPr>
          <w:rFonts w:ascii="Arial" w:cs="Arial" w:eastAsia="Arial" w:hAnsi="Arial"/>
          <w:sz w:val="15"/>
          <w:szCs w:val="15"/>
          <w:color w:val="auto"/>
        </w:rPr>
      </w:pPr>
      <w:r>
        <w:rPr>
          <w:rFonts w:ascii="Arial" w:cs="Arial" w:eastAsia="Arial" w:hAnsi="Arial"/>
          <w:sz w:val="15"/>
          <w:szCs w:val="15"/>
          <w:color w:val="auto"/>
        </w:rPr>
        <w:t>advance notice procedures that stockholders must comply with in order to nominate candidates to our board of directors or to propose matters to be acted upon at a stockholders' meeting,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may discourage or deter a potential acquirer from conducting a solicitation of proxies to elect the acquirer's own slate of directors or otherwise attempting to obtain control of us.</w:t>
      </w:r>
    </w:p>
    <w:p>
      <w:pPr>
        <w:spacing w:after="0" w:line="210" w:lineRule="exact"/>
        <w:rPr>
          <w:sz w:val="20"/>
          <w:szCs w:val="20"/>
          <w:color w:val="auto"/>
        </w:rPr>
      </w:pPr>
    </w:p>
    <w:p>
      <w:pPr>
        <w:jc w:val="both"/>
        <w:ind w:right="200"/>
        <w:spacing w:after="0" w:line="270" w:lineRule="auto"/>
        <w:rPr>
          <w:sz w:val="20"/>
          <w:szCs w:val="20"/>
          <w:color w:val="auto"/>
        </w:rPr>
      </w:pPr>
      <w:r>
        <w:rPr>
          <w:rFonts w:ascii="Arial" w:cs="Arial" w:eastAsia="Arial" w:hAnsi="Arial"/>
          <w:sz w:val="15"/>
          <w:szCs w:val="15"/>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5"/>
          <w:szCs w:val="15"/>
          <w:b w:val="1"/>
          <w:b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56"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do not expect paying any cash dividends on our capital stock in the foreseeable future, capital appreciation, if any, will be your sole source of gain.</w:t>
      </w:r>
    </w:p>
    <w:p>
      <w:pPr>
        <w:spacing w:after="0" w:line="195"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securities class action litigation.</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Special note regarding forward-looking statements</w:t>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prospective products and product candidates, product approvals, research and development costs, timing and likelihood of success, plans and objectives of management for future operations and future results of expected products and product candidates,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20"/>
        <w:spacing w:after="0" w:line="304" w:lineRule="auto"/>
        <w:rPr>
          <w:sz w:val="20"/>
          <w:szCs w:val="20"/>
          <w:color w:val="auto"/>
        </w:rPr>
      </w:pPr>
      <w:r>
        <w:rPr>
          <w:rFonts w:ascii="Arial" w:cs="Arial" w:eastAsia="Arial" w:hAnsi="Arial"/>
          <w:sz w:val="13"/>
          <w:szCs w:val="13"/>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factors,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26630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2" w:name="page73"/>
    <w:bookmarkEnd w:id="72"/>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0910" cy="7620"/>
                    </a:xfrm>
                    <a:prstGeom prst="rect">
                      <a:avLst/>
                    </a:prstGeom>
                    <a:noFill/>
                  </pic:spPr>
                </pic:pic>
              </a:graphicData>
            </a:graphic>
          </wp:anchor>
        </w:drawing>
        <w:t>Industry and other data</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obtained the industry, market and competitive position data in this prospectus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frequently involve a number of assumptions and limitations and therefore do not guarantee the accuracy or completeness of such information. Our estimates also involve risks and uncertainties and are subject to change based on various factors, including those discussed under the headings "Risk factors," "Special note regarding forward-looking statements" and "Management's discussion and analysis of financial condition and results of operations"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Trademarks, service marks and tradenames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We own or have rights to use a number of registered and common law trademarks, service marks and trade names in connection with our business in the United States and in certain foreign jurisdictions, including, but not limited to, "SELECTA."</w:t>
      </w:r>
    </w:p>
    <w:p>
      <w:pPr>
        <w:spacing w:after="0" w:line="151"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Solely for convenience, the trademarks, service marks, logos and trade names referred to in this prospectus are included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3" w:name="page74"/>
    <w:bookmarkEnd w:id="73"/>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0910" cy="7620"/>
                    </a:xfrm>
                    <a:prstGeom prst="rect">
                      <a:avLst/>
                    </a:prstGeom>
                    <a:noFill/>
                  </pic:spPr>
                </pic:pic>
              </a:graphicData>
            </a:graphic>
          </wp:anchor>
        </w:drawing>
        <w:t>Use of proceeds</w:t>
      </w:r>
    </w:p>
    <w:p>
      <w:pPr>
        <w:spacing w:after="0" w:line="183"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We estimate that the net proceeds from our sale of 4,250,000 shares of our common stock in this offering will be approximately $55.4 million, assuming an initial public offering price of $15.00 per share, which is the midpoint of the price range set forth on the cover page of this prospectus, and after deducting the estimated underwriting discounts and commissions and estimated offering expenses payable by us. If the underwriters' option to purchase additional shares from us is exercised in full, we estimate that our net proceeds will be $64.3 million. Each $1.00 increase (decrease) in the assumed initial public offering price of $15.00 per share would increase (decrease) the net proceeds to us from this offering by approximately $4.0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$14.0 million, assuming the assumed initial public offering price stays the same.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expect that we will use the net proceeds from this offering for the following purposes:</w:t>
      </w:r>
    </w:p>
    <w:p>
      <w:pPr>
        <w:spacing w:after="0" w:line="210" w:lineRule="exact"/>
        <w:rPr>
          <w:sz w:val="20"/>
          <w:szCs w:val="20"/>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approximately $23 million to support the clinical development and manufacturing scale-up of SEL-212, including SEL-212's Phase 2 clinical trial;</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approximately $10 million to fund the start of a Phase 1 clinical trial and manufacturing scale-up of our first gene therapy program; and</w:t>
      </w:r>
    </w:p>
    <w:p>
      <w:pPr>
        <w:spacing w:after="0" w:line="209" w:lineRule="exact"/>
        <w:rPr>
          <w:rFonts w:ascii="Arial" w:cs="Arial" w:eastAsia="Arial" w:hAnsi="Arial"/>
          <w:sz w:val="15"/>
          <w:szCs w:val="15"/>
          <w:color w:val="auto"/>
        </w:rPr>
      </w:pPr>
    </w:p>
    <w:p>
      <w:pPr>
        <w:ind w:left="467" w:right="120" w:hanging="467"/>
        <w:spacing w:after="0" w:line="362" w:lineRule="auto"/>
        <w:tabs>
          <w:tab w:leader="none" w:pos="467"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remainder, if any, to fund preparations for the Phase 3 clinical trial of SEL-212 and the further advancement of our second gene therapy program as well as other potential future development programs, early-stage research and development and continued development of our SVP technologies, and for working capital and general corporate purposes.</w:t>
      </w:r>
    </w:p>
    <w:p>
      <w:pPr>
        <w:spacing w:after="0" w:line="105" w:lineRule="exact"/>
        <w:rPr>
          <w:sz w:val="20"/>
          <w:szCs w:val="20"/>
          <w:color w:val="auto"/>
        </w:rPr>
      </w:pPr>
    </w:p>
    <w:p>
      <w:pPr>
        <w:ind w:left="7" w:right="80"/>
        <w:spacing w:after="0" w:line="282" w:lineRule="auto"/>
        <w:rPr>
          <w:sz w:val="20"/>
          <w:szCs w:val="20"/>
          <w:color w:val="auto"/>
        </w:rPr>
      </w:pPr>
      <w:r>
        <w:rPr>
          <w:rFonts w:ascii="Arial" w:cs="Arial" w:eastAsia="Arial" w:hAnsi="Arial"/>
          <w:sz w:val="14"/>
          <w:szCs w:val="14"/>
          <w:color w:val="auto"/>
        </w:rPr>
        <w:t>The expected use of the net proceeds from this offering represents our intentions based upon our current plans and business conditions. We may also use a portion of the net proceeds to in-license, acquire, or invest in additional businesses, technologies, products or assets, although currently we have no specific agreements, commitments or understandings in this regard. As of the date of this prospectus,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we expect that we will need additional funds to complete the development of SEL-212 and any other product candidates we identify.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54"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333" w:right="21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0910" cy="7620"/>
                    </a:xfrm>
                    <a:prstGeom prst="rect">
                      <a:avLst/>
                    </a:prstGeom>
                    <a:noFill/>
                  </pic:spPr>
                </pic:pic>
              </a:graphicData>
            </a:graphic>
          </wp:anchor>
        </w:drawing>
        <w:t>Dividend policy</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75" w:name="page76"/>
    <w:bookmarkEnd w:id="7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Capitalization</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table sets forth our cash and cash equivalents and capitalization as of March 31, 2016, as follows:</w:t>
      </w:r>
    </w:p>
    <w:p>
      <w:pPr>
        <w:spacing w:after="0" w:line="210" w:lineRule="exact"/>
        <w:rPr>
          <w:sz w:val="20"/>
          <w:szCs w:val="20"/>
          <w:color w:val="auto"/>
        </w:rPr>
      </w:pPr>
    </w:p>
    <w:p>
      <w:pPr>
        <w:ind w:left="467" w:hanging="467"/>
        <w:spacing w:after="0"/>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221" w:lineRule="exact"/>
        <w:rPr>
          <w:rFonts w:ascii="Arial" w:cs="Arial" w:eastAsia="Arial" w:hAnsi="Arial"/>
          <w:sz w:val="15"/>
          <w:szCs w:val="15"/>
          <w:color w:val="auto"/>
        </w:rPr>
      </w:pPr>
    </w:p>
    <w:p>
      <w:pPr>
        <w:ind w:left="467" w:right="200" w:hanging="467"/>
        <w:spacing w:after="0" w:line="261" w:lineRule="auto"/>
        <w:tabs>
          <w:tab w:leader="none" w:pos="467"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 a pro forma basis to reflect the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(iii) the automatic cashless exercise of the series E common warrants for 567,306 shares of our common stock and (iv) the filing of our restated certificate of incorporation; and</w:t>
      </w:r>
    </w:p>
    <w:p>
      <w:pPr>
        <w:spacing w:after="0" w:line="181" w:lineRule="exact"/>
        <w:rPr>
          <w:rFonts w:ascii="Arial" w:cs="Arial" w:eastAsia="Arial" w:hAnsi="Arial"/>
          <w:sz w:val="15"/>
          <w:szCs w:val="15"/>
          <w:color w:val="auto"/>
        </w:rPr>
      </w:pPr>
    </w:p>
    <w:p>
      <w:pPr>
        <w:ind w:left="467" w:hanging="467"/>
        <w:spacing w:after="0"/>
        <w:tabs>
          <w:tab w:leader="none" w:pos="467"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 pro forma as adjusted basis to give further effect to our issuance and sale of 4,250,000 shares of common stock in this offering at an assumed initial public offering price of</w:t>
      </w:r>
    </w:p>
    <w:p>
      <w:pPr>
        <w:spacing w:after="0" w:line="29" w:lineRule="exact"/>
        <w:rPr>
          <w:rFonts w:ascii="Arial" w:cs="Arial" w:eastAsia="Arial" w:hAnsi="Arial"/>
          <w:sz w:val="14"/>
          <w:szCs w:val="14"/>
          <w:color w:val="auto"/>
        </w:rPr>
      </w:pPr>
    </w:p>
    <w:p>
      <w:pPr>
        <w:ind w:left="467" w:right="200"/>
        <w:spacing w:after="0" w:line="275" w:lineRule="auto"/>
        <w:rPr>
          <w:rFonts w:ascii="Arial" w:cs="Arial" w:eastAsia="Arial" w:hAnsi="Arial"/>
          <w:sz w:val="14"/>
          <w:szCs w:val="14"/>
          <w:color w:val="auto"/>
        </w:rPr>
      </w:pPr>
      <w:r>
        <w:rPr>
          <w:rFonts w:ascii="Arial" w:cs="Arial" w:eastAsia="Arial" w:hAnsi="Arial"/>
          <w:sz w:val="15"/>
          <w:szCs w:val="15"/>
          <w:color w:val="auto"/>
        </w:rPr>
        <w:t>$15.00 per share, which is the midpoint of the price range set forth on the cover page of this prospectus, after deducting the estimated underwriting discounts and commissions and estimated offering expenses payable by us.</w:t>
      </w:r>
    </w:p>
    <w:p>
      <w:pPr>
        <w:spacing w:after="0" w:line="156"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Our capitalization following the closing of this offering will be adjusted based on the actual initial public offering price and other terms of this offering determined at pricing. You should read this information in conjunction with our consolidated financial statements and the related notes appearing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76" w:name="page77"/>
    <w:bookmarkEnd w:id="7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at the end of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center"/>
              <w:ind w:left="529"/>
              <w:spacing w:after="0"/>
              <w:rPr>
                <w:sz w:val="20"/>
                <w:szCs w:val="20"/>
                <w:color w:val="auto"/>
              </w:rPr>
            </w:pPr>
            <w:r>
              <w:rPr>
                <w:rFonts w:ascii="Arial" w:cs="Arial" w:eastAsia="Arial" w:hAnsi="Arial"/>
                <w:sz w:val="12"/>
                <w:szCs w:val="12"/>
                <w:b w:val="1"/>
                <w:bCs w:val="1"/>
                <w:color w:val="auto"/>
              </w:rPr>
              <w:t>As of March 31, 2016</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
              <w:spacing w:after="0" w:line="121" w:lineRule="exact"/>
              <w:rPr>
                <w:sz w:val="20"/>
                <w:szCs w:val="20"/>
                <w:color w:val="auto"/>
              </w:rPr>
            </w:pPr>
            <w:r>
              <w:rPr>
                <w:rFonts w:ascii="Arial" w:cs="Arial" w:eastAsia="Arial" w:hAnsi="Arial"/>
                <w:sz w:val="12"/>
                <w:szCs w:val="12"/>
                <w:b w:val="1"/>
                <w:bCs w:val="1"/>
                <w:color w:val="auto"/>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Actual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 forma</w:t>
            </w:r>
          </w:p>
        </w:tc>
        <w:tc>
          <w:tcPr>
            <w:tcW w:w="6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4"/>
        </w:trPr>
        <w:tc>
          <w:tcPr>
            <w:tcW w:w="63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right"/>
              <w:ind w:right="200"/>
              <w:spacing w:after="0" w:line="114" w:lineRule="exact"/>
              <w:rPr>
                <w:sz w:val="20"/>
                <w:szCs w:val="20"/>
                <w:color w:val="auto"/>
              </w:rPr>
            </w:pPr>
            <w:r>
              <w:rPr>
                <w:rFonts w:ascii="Arial" w:cs="Arial" w:eastAsia="Arial" w:hAnsi="Arial"/>
                <w:sz w:val="12"/>
                <w:szCs w:val="12"/>
                <w:b w:val="1"/>
                <w:bCs w:val="1"/>
                <w:color w:val="auto"/>
                <w:w w:val="85"/>
              </w:rPr>
              <w:t>(unaudited)</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7"/>
              <w:spacing w:after="0" w:line="11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0"/>
          </w:tcPr>
          <w:p>
            <w:pPr>
              <w:jc w:val="center"/>
              <w:ind w:right="280"/>
              <w:spacing w:after="0"/>
              <w:rPr>
                <w:sz w:val="20"/>
                <w:szCs w:val="20"/>
                <w:color w:val="auto"/>
              </w:rPr>
            </w:pPr>
            <w:r>
              <w:rPr>
                <w:rFonts w:ascii="Arial" w:cs="Arial" w:eastAsia="Arial" w:hAnsi="Arial"/>
                <w:sz w:val="12"/>
                <w:szCs w:val="12"/>
                <w:b w:val="1"/>
                <w:bCs w:val="1"/>
                <w:color w:val="auto"/>
              </w:rPr>
              <w:t>(in thousands, except for share data)</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81,367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5"/>
                <w:szCs w:val="15"/>
                <w:color w:val="auto"/>
              </w:rPr>
              <w:t>Other long-term liabilities</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310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60"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Loans payable, net of current portion</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340" w:type="dxa"/>
            <w:vAlign w:val="bottom"/>
          </w:tcPr>
          <w:p>
            <w:pPr>
              <w:spacing w:after="0"/>
              <w:rPr>
                <w:sz w:val="20"/>
                <w:szCs w:val="20"/>
                <w:color w:val="auto"/>
              </w:rPr>
            </w:pPr>
            <w:r>
              <w:rPr>
                <w:rFonts w:ascii="Arial" w:cs="Arial" w:eastAsia="Arial" w:hAnsi="Arial"/>
                <w:sz w:val="15"/>
                <w:szCs w:val="15"/>
                <w:color w:val="auto"/>
                <w:w w:val="93"/>
              </w:rPr>
              <w:t>Redeemable convertible preferred stock (Series A, B, C, D, E and SRN), par value $0.0001 per share;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89"/>
              </w:rPr>
              <w:t>37,835,623 shares authorized, 34,127,186 shares issued and outstanding, actual; no shares authorized,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120"/>
              <w:spacing w:after="0"/>
              <w:rPr>
                <w:sz w:val="20"/>
                <w:szCs w:val="20"/>
                <w:color w:val="auto"/>
              </w:rPr>
            </w:pPr>
            <w:r>
              <w:rPr>
                <w:rFonts w:ascii="Arial" w:cs="Arial" w:eastAsia="Arial" w:hAnsi="Arial"/>
                <w:sz w:val="15"/>
                <w:szCs w:val="15"/>
                <w:color w:val="auto"/>
              </w:rPr>
              <w:t>issued or outstanding, pro forma and pro forma as 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18"/>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w w:val="97"/>
              </w:rPr>
              <w:t>Preferred stock, par value $0.0001 per share; no shares authorized, issued or outstanding, actual;</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7"/>
              </w:rPr>
              <w:t>10,000,000 shares authorized and no shares issued or outstanding, pro forma and pro forma as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6340" w:type="dxa"/>
            <w:vAlign w:val="bottom"/>
          </w:tcPr>
          <w:p>
            <w:pPr>
              <w:spacing w:after="0"/>
              <w:rPr>
                <w:sz w:val="20"/>
                <w:szCs w:val="20"/>
                <w:color w:val="auto"/>
              </w:rPr>
            </w:pPr>
            <w:r>
              <w:rPr>
                <w:rFonts w:ascii="Arial" w:cs="Arial" w:eastAsia="Arial" w:hAnsi="Arial"/>
                <w:sz w:val="15"/>
                <w:szCs w:val="15"/>
                <w:color w:val="auto"/>
                <w:w w:val="89"/>
              </w:rPr>
              <w:t>Common stock, par value $0.0001 per share; 62,164,377 shares authorized, 2,183,541 shares issued and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7"/>
              </w:rPr>
              <w:t>2,177,858 shares outstanding (5,683 shares subject to repurchase), actual; 200,000,000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4"/>
              </w:rPr>
              <w:t>authorized, pro forma and pro forma as adjusted; 12,641,402 shares issued and 12,635,719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20"/>
              <w:spacing w:after="0"/>
              <w:rPr>
                <w:sz w:val="20"/>
                <w:szCs w:val="20"/>
                <w:color w:val="auto"/>
              </w:rPr>
            </w:pPr>
            <w:r>
              <w:rPr>
                <w:rFonts w:ascii="Arial" w:cs="Arial" w:eastAsia="Arial" w:hAnsi="Arial"/>
                <w:sz w:val="15"/>
                <w:szCs w:val="15"/>
                <w:color w:val="auto"/>
                <w:w w:val="93"/>
              </w:rPr>
              <w:t>outstanding, pro forma; 16,891,402 shares issued and 16,885,719 shares outstanding, pro forma as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tcPr>
          <w:p>
            <w:pPr>
              <w:ind w:left="120"/>
              <w:spacing w:after="0"/>
              <w:rPr>
                <w:sz w:val="20"/>
                <w:szCs w:val="20"/>
                <w:color w:val="auto"/>
              </w:rPr>
            </w:pPr>
            <w:r>
              <w:rPr>
                <w:rFonts w:ascii="Arial" w:cs="Arial" w:eastAsia="Arial" w:hAnsi="Arial"/>
                <w:sz w:val="15"/>
                <w:szCs w:val="15"/>
                <w:color w:val="auto"/>
              </w:rPr>
              <w:t>adjusted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 in capital</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140,147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20"/>
                <w:szCs w:val="20"/>
                <w:color w:val="auto"/>
              </w:rPr>
            </w:pPr>
            <w:r>
              <w:rPr>
                <w:rFonts w:ascii="Arial" w:cs="Arial" w:eastAsia="Arial" w:hAnsi="Arial"/>
                <w:sz w:val="15"/>
                <w:szCs w:val="15"/>
                <w:color w:val="auto"/>
              </w:rPr>
              <w:t>Accumulated deficit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(121,051)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(121,051)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(121,051)</w:t>
            </w:r>
          </w:p>
        </w:tc>
        <w:tc>
          <w:tcPr>
            <w:tcW w:w="0" w:type="dxa"/>
            <w:vAlign w:val="bottom"/>
          </w:tcPr>
          <w:p>
            <w:pPr>
              <w:spacing w:after="0"/>
              <w:rPr>
                <w:sz w:val="1"/>
                <w:szCs w:val="1"/>
                <w:color w:val="auto"/>
              </w:rPr>
            </w:pPr>
          </w:p>
        </w:tc>
      </w:tr>
      <w:tr>
        <w:trPr>
          <w:trHeight w:val="185"/>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(4,755)</w:t>
            </w:r>
          </w:p>
        </w:tc>
        <w:tc>
          <w:tcPr>
            <w:tcW w:w="0" w:type="dxa"/>
            <w:vAlign w:val="bottom"/>
          </w:tcPr>
          <w:p>
            <w:pPr>
              <w:spacing w:after="0"/>
              <w:rPr>
                <w:sz w:val="1"/>
                <w:szCs w:val="1"/>
                <w:color w:val="auto"/>
              </w:rPr>
            </w:pPr>
          </w:p>
        </w:tc>
      </w:tr>
      <w:tr>
        <w:trPr>
          <w:trHeight w:val="177"/>
        </w:trPr>
        <w:tc>
          <w:tcPr>
            <w:tcW w:w="6340" w:type="dxa"/>
            <w:vAlign w:val="bottom"/>
          </w:tcPr>
          <w:p>
            <w:pPr>
              <w:ind w:left="120"/>
              <w:spacing w:after="0"/>
              <w:rPr>
                <w:sz w:val="20"/>
                <w:szCs w:val="20"/>
                <w:color w:val="auto"/>
              </w:rPr>
            </w:pPr>
            <w:r>
              <w:rPr>
                <w:rFonts w:ascii="Arial" w:cs="Arial" w:eastAsia="Arial" w:hAnsi="Arial"/>
                <w:sz w:val="15"/>
                <w:szCs w:val="15"/>
                <w:color w:val="auto"/>
              </w:rPr>
              <w:t>Total stockholders' equity (deficit)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(125,805)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14,342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69,730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capitalization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25,511</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80,899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number of shares in the table above does not include:</w:t>
      </w:r>
    </w:p>
    <w:p>
      <w:pPr>
        <w:spacing w:after="0" w:line="210" w:lineRule="exact"/>
        <w:rPr>
          <w:sz w:val="20"/>
          <w:szCs w:val="20"/>
          <w:color w:val="auto"/>
        </w:rPr>
      </w:pPr>
    </w:p>
    <w:p>
      <w:pPr>
        <w:ind w:left="467" w:hanging="467"/>
        <w:spacing w:after="0"/>
        <w:tabs>
          <w:tab w:leader="none" w:pos="467" w:val="left"/>
        </w:tabs>
        <w:numPr>
          <w:ilvl w:val="0"/>
          <w:numId w:val="51"/>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$4.84 per share;</w:t>
      </w:r>
    </w:p>
    <w:p>
      <w:pPr>
        <w:spacing w:after="0" w:line="232" w:lineRule="exact"/>
        <w:rPr>
          <w:rFonts w:ascii="Arial" w:cs="Arial" w:eastAsia="Arial" w:hAnsi="Arial"/>
          <w:sz w:val="14"/>
          <w:szCs w:val="14"/>
          <w:color w:val="auto"/>
        </w:rPr>
      </w:pPr>
    </w:p>
    <w:p>
      <w:pPr>
        <w:ind w:left="467" w:right="80"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112,789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$17.43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7,091 shares of our common stock available for future issuance under our 2008 Equity Incentive Plan as of March 31, 2016;</w:t>
      </w:r>
    </w:p>
    <w:p>
      <w:pPr>
        <w:spacing w:after="0" w:line="209" w:lineRule="exact"/>
        <w:rPr>
          <w:rFonts w:ascii="Arial" w:cs="Arial" w:eastAsia="Arial" w:hAnsi="Arial"/>
          <w:sz w:val="15"/>
          <w:szCs w:val="15"/>
          <w:color w:val="auto"/>
        </w:rPr>
      </w:pPr>
    </w:p>
    <w:p>
      <w:pPr>
        <w:ind w:left="467" w:right="340" w:hanging="467"/>
        <w:spacing w:after="0" w:line="362" w:lineRule="auto"/>
        <w:tabs>
          <w:tab w:leader="none" w:pos="467" w:val="left"/>
        </w:tabs>
        <w:numPr>
          <w:ilvl w:val="0"/>
          <w:numId w:val="51"/>
        </w:numPr>
        <w:rPr>
          <w:rFonts w:ascii="Arial" w:cs="Arial" w:eastAsia="Arial" w:hAnsi="Arial"/>
          <w:sz w:val="13"/>
          <w:szCs w:val="13"/>
          <w:color w:val="auto"/>
        </w:rPr>
      </w:pPr>
      <w:r>
        <w:rPr>
          <w:rFonts w:ascii="Arial" w:cs="Arial" w:eastAsia="Arial" w:hAnsi="Arial"/>
          <w:sz w:val="13"/>
          <w:szCs w:val="13"/>
          <w:color w:val="auto"/>
        </w:rPr>
        <w:t>390,796 shares of common stock issuable upon the exercise of stock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28" w:lineRule="exact"/>
        <w:rPr>
          <w:rFonts w:ascii="Arial" w:cs="Arial" w:eastAsia="Arial" w:hAnsi="Arial"/>
          <w:sz w:val="13"/>
          <w:szCs w:val="13"/>
          <w:color w:val="auto"/>
        </w:rPr>
      </w:pPr>
    </w:p>
    <w:p>
      <w:pPr>
        <w:ind w:left="467" w:hanging="467"/>
        <w:spacing w:after="0" w:line="270"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 Incentive plans—2016 Incentive Award Plan"; and</w:t>
      </w:r>
    </w:p>
    <w:p>
      <w:pPr>
        <w:spacing w:after="0" w:line="170" w:lineRule="exact"/>
        <w:rPr>
          <w:rFonts w:ascii="Arial" w:cs="Arial" w:eastAsia="Arial" w:hAnsi="Arial"/>
          <w:sz w:val="15"/>
          <w:szCs w:val="15"/>
          <w:color w:val="auto"/>
        </w:rPr>
      </w:pPr>
    </w:p>
    <w:p>
      <w:pPr>
        <w:ind w:left="467" w:right="460" w:hanging="467"/>
        <w:spacing w:after="0" w:line="282" w:lineRule="auto"/>
        <w:tabs>
          <w:tab w:leader="none" w:pos="4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will become effective in connection with this offering, as well as shares of our common stock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460" w:right="400"/>
        <w:spacing w:after="0" w:line="282" w:lineRule="auto"/>
        <w:rPr>
          <w:sz w:val="20"/>
          <w:szCs w:val="20"/>
          <w:color w:val="auto"/>
        </w:rPr>
      </w:pPr>
      <w:r>
        <w:rPr>
          <w:rFonts w:ascii="Arial" w:cs="Arial" w:eastAsia="Arial" w:hAnsi="Arial"/>
          <w:sz w:val="15"/>
          <w:szCs w:val="15"/>
          <w:color w:val="auto"/>
        </w:rPr>
        <w:t>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In addition,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Dilution</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As of March 31, 2016, we had a historical net tangible book value (deficit) of $(125.8) million, or $(57.76) per share of common stock. Our historical net tangible book value per share is the amount of our total tangible assets less our total liabilities and redeemable convertible preferred stock, which is not included within stockholders' equity (deficit), divided by the number of shares of our common stock outstanding as of March 31, 2016.</w:t>
      </w:r>
    </w:p>
    <w:p>
      <w:pPr>
        <w:spacing w:after="0" w:line="159"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Our pro forma net tangible book value as of March 31, 2016 was $14.3 million, or $1.13 per share. Pro forma net tangible book value is the amount of our total tangible assets less our total liabilities and redeemable convertible preferred stock, which is not included within stockholders' equity (deficit), after giving effect to the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(iii) the automatic cashless exercise of the series E common warrants for 567,306 shares of our common stock and (iv) the filing of our restated certificate of incorporation; and the pro forma net tangible book value per share represents our pro forma net tangible book value divided by the total number of shares outstanding as of March 31, 2016, after giving effect to the pro forma adjustments described above as if they had occurred on such date.</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After giving further effect to the sale of 4,250,000 shares of common stock in this offering at an assumed initial public offering price of $15.00 per share, which is the midpoint of the price range set forth on the cover page of this prospectus, and after deducting the estimated underwriting discounts and commissions and estimated offering expenses payable by us, our pro forma as adjusted net tangible book value as of March 31, 2016 would have been approximately $69.7 million, or approximately $4.12 per share. This amount represents an immediate increase in pro forma net tangible book value of $2.99 per share to our existing stockholders and an immediate dilution of approximately $10.88 per share to new investors participating in this offering. We determine dilution by subtracting the pro forma as adjusted net tangible book value per share after this offering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79" w:name="page80"/>
    <w:bookmarkEnd w:id="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gridSpan w:val="2"/>
          </w:tcPr>
          <w:p>
            <w:pPr>
              <w:spacing w:after="0"/>
              <w:rPr>
                <w:sz w:val="20"/>
                <w:szCs w:val="20"/>
                <w:color w:val="auto"/>
              </w:rPr>
            </w:pPr>
            <w:r>
              <w:rPr>
                <w:rFonts w:ascii="Arial" w:cs="Arial" w:eastAsia="Arial" w:hAnsi="Arial"/>
                <w:sz w:val="15"/>
                <w:szCs w:val="15"/>
                <w:color w:val="auto"/>
              </w:rPr>
              <w:t>amount of cash that a new investor paid for a share of common stock. The following table illustrates this dilution: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5"/>
                <w:szCs w:val="15"/>
                <w:color w:val="auto"/>
              </w:rPr>
              <w:t>Historical net tangible book value (deficit) per share as of March 31, 2016</w:t>
            </w:r>
          </w:p>
        </w:tc>
        <w:tc>
          <w:tcPr>
            <w:tcW w:w="4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(57.76)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2"/>
              </w:rPr>
              <w:t>Increase per share attributable to the conversion of our preferred stock and cashless exercise of our series E common</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74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warrants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tcPr>
          <w:p>
            <w:pPr>
              <w:ind w:left="160"/>
              <w:spacing w:after="0"/>
              <w:rPr>
                <w:sz w:val="20"/>
                <w:szCs w:val="20"/>
                <w:color w:val="auto"/>
              </w:rPr>
            </w:pPr>
            <w:r>
              <w:rPr>
                <w:rFonts w:ascii="Arial" w:cs="Arial" w:eastAsia="Arial" w:hAnsi="Arial"/>
                <w:sz w:val="15"/>
                <w:szCs w:val="15"/>
                <w:color w:val="auto"/>
              </w:rPr>
              <w:t>Pro forma net tangible book value per share as of March 31, 2016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Increase per share attributable to this offering</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580" w:type="dxa"/>
            <w:vAlign w:val="bottom"/>
            <w:gridSpan w:val="2"/>
          </w:tcPr>
          <w:p>
            <w:pPr>
              <w:ind w:left="1140"/>
              <w:spacing w:after="0"/>
              <w:rPr>
                <w:sz w:val="20"/>
                <w:szCs w:val="20"/>
                <w:color w:val="auto"/>
              </w:rPr>
            </w:pPr>
            <w:r>
              <w:rPr>
                <w:rFonts w:ascii="Arial" w:cs="Arial" w:eastAsia="Arial" w:hAnsi="Arial"/>
                <w:sz w:val="15"/>
                <w:szCs w:val="15"/>
                <w:color w:val="auto"/>
              </w:rPr>
              <w:t>Pro forma as adjusted net tangible book value per share after this offering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Dilution per share to new investors in this offering</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40"/>
        <w:spacing w:after="0" w:line="303" w:lineRule="auto"/>
        <w:rPr>
          <w:sz w:val="20"/>
          <w:szCs w:val="20"/>
          <w:color w:val="auto"/>
        </w:rPr>
      </w:pPr>
      <w:r>
        <w:rPr>
          <w:rFonts w:ascii="Arial" w:cs="Arial" w:eastAsia="Arial" w:hAnsi="Arial"/>
          <w:sz w:val="13"/>
          <w:szCs w:val="13"/>
          <w:color w:val="auto"/>
        </w:rPr>
        <w:t>A $1.00, $2.00 and $3.00 increase in the assumed initial public offering price of $15.00 per share, which is the midpoint of the price range set forth on the cover page of this prospectus, would, in each case, increase the pro forma as adjusted net tangible book value per share after this offering by $0.24 and increase dilution per share to new investors participating in this offering by $0.76, assuming that the number of shares offered by us, as set forth on the cover page of this prospectus, remains the same and after deducting estimated underwriting discounts and commissions and estimated offering expenses payable by us. A $1.00, $2.00 and $3.00 decrease in the assumed initial public offering price of $15.00 per share, which is the midpoint of the price range set forth on the cover page of this prospectus, would decrease the pro forma as adjusted net tangible book value per share after this offering by $0.23, $0.23 and $0.22 and decrease dilution per share to new investors by $0.77, $0.77 and $0.78, respectively, assuming that the number of shares offered by us, as set forth on the cover page of this prospectus, remains the same and after deducting estimated underwriting discounts and commissions and estimated offering expenses payable by us. Each increase of 1.0 million shares in the number of shares offered by us would increase our pro forma as adjusted net tangible book value per share after this offering by $0.78 per share and decrease the dilution to new investors by $0.78 per share, assuming that the assumed initial public offering price remains the same, and after deducting the estimated underwriting discounts and commissions and the estimated offering expenses payable by us. Each decrease of 1.0 million shares in the number of shares offered by us, as set forth on the cover page of this prospectus, would decrease the pro forma as adjusted net tangible book value per share after this offering by approximately $0.88 and increase the dilution per share to new investors participating in this offering by approximately $0.88, assuming no change in the assumed initial public offering price and after deducting the estimated underwriting discounts and commissions and estimated offering expenses payable by us.</w:t>
      </w:r>
    </w:p>
    <w:p>
      <w:pPr>
        <w:spacing w:after="0" w:line="144" w:lineRule="exact"/>
        <w:rPr>
          <w:sz w:val="20"/>
          <w:szCs w:val="20"/>
          <w:color w:val="auto"/>
        </w:rPr>
      </w:pPr>
    </w:p>
    <w:p>
      <w:pPr>
        <w:ind w:right="220"/>
        <w:spacing w:after="0" w:line="270" w:lineRule="auto"/>
        <w:rPr>
          <w:sz w:val="20"/>
          <w:szCs w:val="20"/>
          <w:color w:val="auto"/>
        </w:rPr>
      </w:pPr>
      <w:r>
        <w:rPr>
          <w:rFonts w:ascii="Arial" w:cs="Arial" w:eastAsia="Arial" w:hAnsi="Arial"/>
          <w:sz w:val="15"/>
          <w:szCs w:val="15"/>
          <w:color w:val="auto"/>
        </w:rPr>
        <w:t>If the underwriters exercise their option to purchase additional shares of our common stock in full, the pro forma as adjusted net tangible book value after this offering would be $4.52 per share, the increase in pro forma net tangible book value per share would be $0.40 and the dilution per share to new investors would be $10.48 per share, in each case assuming an initial public offering price of $15.00 per share, which is the midpoint of the price range set forth on the cover page of this prospectus.</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The following table summarizes on the pro forma as adjusted basis described above, as of March 31, 2016, the differences between the number of shares purchased from us, the total consideration paid to us in cash and the average price per share that existing stockholders and new investors paid. The calculation below is based on an assumed initial public offering price of $15.00 per share,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0" w:name="page81"/>
    <w:bookmarkEnd w:id="8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midpoint of the price range set forth on the cover page of this prospectus, before deducting the estimated underwriting discounts and commissions and estimated offering expenses payable by us.</w:t>
      </w:r>
    </w:p>
    <w:p>
      <w:pPr>
        <w:spacing w:after="0" w:line="35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left="411"/>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71"/>
              <w:spacing w:after="0" w:line="129" w:lineRule="exact"/>
              <w:rPr>
                <w:sz w:val="20"/>
                <w:szCs w:val="20"/>
                <w:color w:val="auto"/>
              </w:rPr>
            </w:pPr>
            <w:r>
              <w:rPr>
                <w:rFonts w:ascii="Arial" w:cs="Arial" w:eastAsia="Arial" w:hAnsi="Arial"/>
                <w:sz w:val="12"/>
                <w:szCs w:val="12"/>
                <w:b w:val="1"/>
                <w:bCs w:val="1"/>
                <w:color w:val="auto"/>
              </w:rPr>
              <w:t>Shares purchased</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left="91"/>
              <w:spacing w:after="0" w:line="129" w:lineRule="exact"/>
              <w:rPr>
                <w:sz w:val="20"/>
                <w:szCs w:val="20"/>
                <w:color w:val="auto"/>
              </w:rPr>
            </w:pPr>
            <w:r>
              <w:rPr>
                <w:rFonts w:ascii="Arial" w:cs="Arial" w:eastAsia="Arial" w:hAnsi="Arial"/>
                <w:sz w:val="12"/>
                <w:szCs w:val="12"/>
                <w:b w:val="1"/>
                <w:bCs w:val="1"/>
                <w:color w:val="auto"/>
              </w:rPr>
              <w:t>consideration</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40"/>
              <w:spacing w:after="0" w:line="129" w:lineRule="exact"/>
              <w:rPr>
                <w:sz w:val="20"/>
                <w:szCs w:val="20"/>
                <w:color w:val="auto"/>
              </w:rPr>
            </w:pPr>
            <w:r>
              <w:rPr>
                <w:rFonts w:ascii="Arial" w:cs="Arial" w:eastAsia="Arial" w:hAnsi="Arial"/>
                <w:sz w:val="12"/>
                <w:szCs w:val="12"/>
                <w:b w:val="1"/>
                <w:bCs w:val="1"/>
                <w:color w:val="auto"/>
              </w:rPr>
              <w:t>Average price</w:t>
            </w: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tcPr>
          <w:p>
            <w:pPr>
              <w:jc w:val="right"/>
              <w:ind w:right="150"/>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w w:val="99"/>
              </w:rPr>
              <w:t>Percent</w:t>
            </w:r>
          </w:p>
        </w:tc>
        <w:tc>
          <w:tcPr>
            <w:tcW w:w="860" w:type="dxa"/>
            <w:vAlign w:val="bottom"/>
          </w:tcPr>
          <w:p>
            <w:pPr>
              <w:jc w:val="right"/>
              <w:ind w:right="231"/>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Percent</w:t>
            </w:r>
          </w:p>
        </w:tc>
        <w:tc>
          <w:tcPr>
            <w:tcW w:w="12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per share</w:t>
            </w:r>
          </w:p>
        </w:tc>
      </w:tr>
      <w:tr>
        <w:trPr>
          <w:trHeight w:val="177"/>
        </w:trPr>
        <w:tc>
          <w:tcPr>
            <w:tcW w:w="20" w:type="dxa"/>
            <w:vAlign w:val="bottom"/>
          </w:tcPr>
          <w:p>
            <w:pPr>
              <w:spacing w:after="0"/>
              <w:rPr>
                <w:sz w:val="15"/>
                <w:szCs w:val="15"/>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Existing stockholders(1)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12,641,402</w:t>
            </w:r>
          </w:p>
        </w:tc>
        <w:tc>
          <w:tcPr>
            <w:tcW w:w="98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75%$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118,547,735</w:t>
            </w: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Arial" w:cs="Arial" w:eastAsia="Arial" w:hAnsi="Arial"/>
                <w:sz w:val="15"/>
                <w:szCs w:val="15"/>
                <w:color w:val="auto"/>
              </w:rPr>
              <w:t>New investors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4,250,000</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63,750,000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15.00</w:t>
            </w: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16,891,402</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182,297,735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7" w:right="100" w:hanging="463"/>
        <w:spacing w:after="0" w:line="233" w:lineRule="auto"/>
        <w:tabs>
          <w:tab w:leader="none" w:pos="1607" w:val="left"/>
        </w:tabs>
        <w:numPr>
          <w:ilvl w:val="0"/>
          <w:numId w:val="52"/>
        </w:numPr>
        <w:rPr>
          <w:rFonts w:ascii="Arial" w:cs="Arial" w:eastAsia="Arial" w:hAnsi="Arial"/>
          <w:sz w:val="12"/>
          <w:szCs w:val="12"/>
          <w:color w:val="auto"/>
        </w:rPr>
      </w:pPr>
      <w:r>
        <w:rPr>
          <w:rFonts w:ascii="Arial" w:cs="Arial" w:eastAsia="Arial" w:hAnsi="Arial"/>
          <w:sz w:val="12"/>
          <w:szCs w:val="12"/>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The presentation in this table regarding ownership by existing stockholders does not give effect to any purchases in this offering by such stockholders.</w:t>
      </w:r>
    </w:p>
    <w:p>
      <w:pPr>
        <w:spacing w:after="0" w:line="167"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foregoing tables and calculations are based on 2,183,541 shares of our common stock outstanding as of March 31, 2016, which included 5,683 shares of unvested restricted stock, reflect the issuance of 567,306 shares of common stock issued in connection with the automatic cashless exercise of the series E common warrants on May 24, 2016, and give effect to the conversion of our outstanding preferred stock into 9,890,580 shares of common stock, based on an assumed initial public offering price of $15.00 per share, the midpoint of the price range set forth on the cover of this prospectus, upon the closing of this offering, and exclude:</w:t>
      </w:r>
    </w:p>
    <w:p>
      <w:pPr>
        <w:spacing w:after="0" w:line="173" w:lineRule="exact"/>
        <w:rPr>
          <w:sz w:val="20"/>
          <w:szCs w:val="20"/>
          <w:color w:val="auto"/>
        </w:rPr>
      </w:pPr>
    </w:p>
    <w:p>
      <w:pPr>
        <w:ind w:left="467" w:hanging="467"/>
        <w:spacing w:after="0"/>
        <w:tabs>
          <w:tab w:leader="none" w:pos="467" w:val="left"/>
        </w:tabs>
        <w:numPr>
          <w:ilvl w:val="0"/>
          <w:numId w:val="53"/>
        </w:numPr>
        <w:rPr>
          <w:rFonts w:ascii="Arial" w:cs="Arial" w:eastAsia="Arial" w:hAnsi="Arial"/>
          <w:sz w:val="14"/>
          <w:szCs w:val="14"/>
          <w:color w:val="auto"/>
        </w:rPr>
      </w:pPr>
      <w:r>
        <w:rPr>
          <w:rFonts w:ascii="Arial" w:cs="Arial" w:eastAsia="Arial" w:hAnsi="Arial"/>
          <w:sz w:val="14"/>
          <w:szCs w:val="14"/>
          <w:color w:val="auto"/>
        </w:rPr>
        <w:t>1,736,682 shares of common stock issuable upon exercise of stock options outstanding as of March 31, 2016, at a weighted average exercise price of $4.92 per share;</w:t>
      </w:r>
    </w:p>
    <w:p>
      <w:pPr>
        <w:spacing w:after="0" w:line="232" w:lineRule="exact"/>
        <w:rPr>
          <w:rFonts w:ascii="Arial" w:cs="Arial" w:eastAsia="Arial" w:hAnsi="Arial"/>
          <w:sz w:val="14"/>
          <w:szCs w:val="14"/>
          <w:color w:val="auto"/>
        </w:rPr>
      </w:pPr>
    </w:p>
    <w:p>
      <w:pPr>
        <w:ind w:left="467" w:right="140" w:hanging="467"/>
        <w:spacing w:after="0" w:line="282" w:lineRule="auto"/>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112,789 shares of common stock issuable upon the exercise of warrants outstanding as of March 31, 2016, including outstanding warrants to purchase shares of preferred stock that will become warrants to purchase common stock upon the closing of this offering, at a weighted average exercise price of $17.43 per share;</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7,091 shares of our common stock available for future issuance under our 2008 Equity Incentive Plan as of March 31, 2016;</w:t>
      </w:r>
    </w:p>
    <w:p>
      <w:pPr>
        <w:spacing w:after="0" w:line="209" w:lineRule="exact"/>
        <w:rPr>
          <w:rFonts w:ascii="Arial" w:cs="Arial" w:eastAsia="Arial" w:hAnsi="Arial"/>
          <w:sz w:val="15"/>
          <w:szCs w:val="15"/>
          <w:color w:val="auto"/>
        </w:rPr>
      </w:pPr>
    </w:p>
    <w:p>
      <w:pPr>
        <w:ind w:left="467" w:right="400" w:hanging="467"/>
        <w:spacing w:after="0" w:line="362" w:lineRule="auto"/>
        <w:tabs>
          <w:tab w:leader="none" w:pos="467" w:val="left"/>
        </w:tabs>
        <w:numPr>
          <w:ilvl w:val="0"/>
          <w:numId w:val="53"/>
        </w:numPr>
        <w:rPr>
          <w:rFonts w:ascii="Arial" w:cs="Arial" w:eastAsia="Arial" w:hAnsi="Arial"/>
          <w:sz w:val="13"/>
          <w:szCs w:val="13"/>
          <w:color w:val="auto"/>
        </w:rPr>
      </w:pPr>
      <w:r>
        <w:rPr>
          <w:rFonts w:ascii="Arial" w:cs="Arial" w:eastAsia="Arial" w:hAnsi="Arial"/>
          <w:sz w:val="13"/>
          <w:szCs w:val="13"/>
          <w:color w:val="auto"/>
        </w:rPr>
        <w:t>390,796 shares of common stock issuable upon the exercise of stock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28" w:lineRule="exact"/>
        <w:rPr>
          <w:rFonts w:ascii="Arial" w:cs="Arial" w:eastAsia="Arial" w:hAnsi="Arial"/>
          <w:sz w:val="13"/>
          <w:szCs w:val="13"/>
          <w:color w:val="auto"/>
        </w:rPr>
      </w:pPr>
    </w:p>
    <w:p>
      <w:pPr>
        <w:ind w:left="467" w:right="60" w:hanging="467"/>
        <w:spacing w:after="0" w:line="270" w:lineRule="auto"/>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819,460 shares of our common stock available for future issuance under our 2016 Plan, which will become effective in connection with this offering, as well as shares of our common stock that become available pursuant to provisions in our 2016 Plan on January 1 of each subsequent calendar year as described in "Executive and director compensation— Incentive plans—2016 Incentive Award Plan"; and</w:t>
      </w:r>
    </w:p>
    <w:p>
      <w:pPr>
        <w:spacing w:after="0" w:line="170" w:lineRule="exact"/>
        <w:rPr>
          <w:rFonts w:ascii="Arial" w:cs="Arial" w:eastAsia="Arial" w:hAnsi="Arial"/>
          <w:sz w:val="15"/>
          <w:szCs w:val="15"/>
          <w:color w:val="auto"/>
        </w:rPr>
      </w:pPr>
    </w:p>
    <w:p>
      <w:pPr>
        <w:ind w:left="467" w:right="220" w:hanging="467"/>
        <w:spacing w:after="0" w:line="270" w:lineRule="auto"/>
        <w:tabs>
          <w:tab w:leader="none" w:pos="467" w:val="left"/>
        </w:tabs>
        <w:numPr>
          <w:ilvl w:val="0"/>
          <w:numId w:val="53"/>
        </w:numPr>
        <w:rPr>
          <w:rFonts w:ascii="Arial" w:cs="Arial" w:eastAsia="Arial" w:hAnsi="Arial"/>
          <w:sz w:val="15"/>
          <w:szCs w:val="15"/>
          <w:color w:val="auto"/>
        </w:rPr>
      </w:pPr>
      <w:r>
        <w:rPr>
          <w:rFonts w:ascii="Arial" w:cs="Arial" w:eastAsia="Arial" w:hAnsi="Arial"/>
          <w:sz w:val="15"/>
          <w:szCs w:val="15"/>
          <w:color w:val="auto"/>
        </w:rPr>
        <w:t>173,076 shares of our common stock reserved for future issuance under our 2016 ESPP, which will become effective in connection with this offering, as well as shares of our common stock that become available pursuant to provisions in our 2016 ESPP that automatically increase the share reserve under our 2016 ESPP on January 1 of each subsequent calendar year as described in "Executive and director compensation—Incentive plans—2016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1" w:name="page82"/>
    <w:bookmarkEnd w:id="8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To the extent any of these outstanding options or warrants is exercised, there will be further dilution to new investors. If all of such outstanding options and warrants had been exercised as of March 31, 2016, the pro forma as adjusted net tangible book value per share after this offering would be $4.12, and total dilution per share to new investors would be $10.88.</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the underwriters exercise their option to purchase additional shares of our common stock in full:</w:t>
      </w:r>
    </w:p>
    <w:p>
      <w:pPr>
        <w:spacing w:after="0" w:line="210" w:lineRule="exact"/>
        <w:rPr>
          <w:sz w:val="20"/>
          <w:szCs w:val="20"/>
          <w:color w:val="auto"/>
        </w:rPr>
      </w:pPr>
    </w:p>
    <w:p>
      <w:pPr>
        <w:ind w:left="467" w:right="60" w:hanging="467"/>
        <w:spacing w:after="0" w:line="282" w:lineRule="auto"/>
        <w:tabs>
          <w:tab w:leader="none" w:pos="467"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percentage of shares of common stock held by existing stockholders will decrease to approximately 72% of the total number of shares of our common stock outstanding after this offering;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of shares held by new investors will increase to 4,887,500, or approximately 28% of the total number of shares of our common stock outstanding after this offering.</w:t>
      </w:r>
    </w:p>
    <w:p>
      <w:pPr>
        <w:spacing w:after="0" w:line="210"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In addition,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Selected consolidated financial data</w:t>
      </w:r>
    </w:p>
    <w:p>
      <w:pPr>
        <w:spacing w:after="0" w:line="18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and comprehensive loss data for the years ended December 31, 2014 and 2015 and the consolidated balance sheet data as of December 31, 2014 and 2015 from our audited consolidated financial statements appearing elsewhere in this prospectus. The consolidated statement of operations data for the three months ended March 31, 2015 and 2016 and the consolidated balance sheet data as of March 31, 2016 have been derived from our unaudited condensed consolidated financial statements appearing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results for the three months ended March 31, 2016 are not necessarily indicative of the results to be expected for the full 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3" w:name="page84"/>
    <w:bookmarkEnd w:id="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Years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860" w:type="dxa"/>
            <w:vAlign w:val="bottom"/>
            <w:tcBorders>
              <w:bottom w:val="single" w:sz="8" w:color="auto"/>
            </w:tcBorders>
          </w:tcPr>
          <w:p>
            <w:pPr>
              <w:spacing w:after="0"/>
              <w:rPr>
                <w:sz w:val="13"/>
                <w:szCs w:val="13"/>
                <w:color w:val="auto"/>
              </w:rPr>
            </w:pPr>
          </w:p>
        </w:tc>
        <w:tc>
          <w:tcPr>
            <w:tcW w:w="4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86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66"/>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r>
      <w:tr>
        <w:trPr>
          <w:trHeight w:val="149"/>
        </w:trPr>
        <w:tc>
          <w:tcPr>
            <w:tcW w:w="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gridSpan w:val="14"/>
          </w:tcPr>
          <w:p>
            <w:pPr>
              <w:jc w:val="right"/>
              <w:ind w:right="74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(15,399)</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(25,304)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(5,810)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(6,941)</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Investment income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w:t>
            </w:r>
          </w:p>
        </w:tc>
        <w:tc>
          <w:tcPr>
            <w:tcW w:w="140" w:type="dxa"/>
            <w:vAlign w:val="bottom"/>
          </w:tcPr>
          <w:p>
            <w:pPr>
              <w:spacing w:after="0"/>
              <w:rPr>
                <w:sz w:val="16"/>
                <w:szCs w:val="16"/>
                <w:color w:val="auto"/>
              </w:rPr>
            </w:pP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(loss) gain</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(552)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(948)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w:t>
            </w:r>
          </w:p>
        </w:tc>
      </w:tr>
      <w:tr>
        <w:trPr>
          <w:trHeight w:val="177"/>
        </w:trPr>
        <w:tc>
          <w:tcPr>
            <w:tcW w:w="4860" w:type="dxa"/>
            <w:vAlign w:val="bottom"/>
            <w:gridSpan w:val="2"/>
          </w:tcPr>
          <w:p>
            <w:pPr>
              <w:spacing w:after="0"/>
              <w:rPr>
                <w:sz w:val="20"/>
                <w:szCs w:val="20"/>
                <w:color w:val="auto"/>
              </w:rPr>
            </w:pPr>
            <w:r>
              <w:rPr>
                <w:rFonts w:ascii="Arial" w:cs="Arial" w:eastAsia="Arial" w:hAnsi="Arial"/>
                <w:sz w:val="15"/>
                <w:szCs w:val="15"/>
                <w:color w:val="auto"/>
              </w:rPr>
              <w:t>Total other income (expense), net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140" w:type="dxa"/>
            <w:vAlign w:val="bottom"/>
          </w:tcPr>
          <w:p>
            <w:pPr>
              <w:spacing w:after="0"/>
              <w:rPr>
                <w:sz w:val="15"/>
                <w:szCs w:val="15"/>
                <w:color w:val="auto"/>
              </w:rPr>
            </w:pPr>
          </w:p>
        </w:tc>
      </w:tr>
      <w:tr>
        <w:trPr>
          <w:trHeight w:val="177"/>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(25,174)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85"/>
        </w:trPr>
        <w:tc>
          <w:tcPr>
            <w:tcW w:w="4860" w:type="dxa"/>
            <w:vAlign w:val="bottom"/>
            <w:gridSpan w:val="2"/>
          </w:tcPr>
          <w:p>
            <w:pPr>
              <w:spacing w:after="0"/>
              <w:rPr>
                <w:sz w:val="20"/>
                <w:szCs w:val="20"/>
                <w:color w:val="auto"/>
              </w:rPr>
            </w:pPr>
            <w:r>
              <w:rPr>
                <w:rFonts w:ascii="Arial" w:cs="Arial" w:eastAsia="Arial" w:hAnsi="Arial"/>
                <w:sz w:val="15"/>
                <w:szCs w:val="15"/>
                <w:color w:val="auto"/>
              </w:rPr>
              <w:t>Accretion of redeemable convertible preferred stock</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(4,951)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(7,335)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8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4"/>
              </w:rPr>
              <w:t>Net effect of extinguishment of Series SRN redeemable convertible preferred</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860" w:type="dxa"/>
            <w:vAlign w:val="bottom"/>
            <w:gridSpan w:val="2"/>
          </w:tcPr>
          <w:p>
            <w:pPr>
              <w:spacing w:after="0"/>
              <w:rPr>
                <w:sz w:val="20"/>
                <w:szCs w:val="20"/>
                <w:color w:val="auto"/>
              </w:rPr>
            </w:pPr>
            <w:r>
              <w:rPr>
                <w:rFonts w:ascii="Arial" w:cs="Arial" w:eastAsia="Arial" w:hAnsi="Arial"/>
                <w:sz w:val="15"/>
                <w:szCs w:val="15"/>
                <w:color w:val="auto"/>
              </w:rPr>
              <w:t>Net loss attributable to common stockholders</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40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(7.84)</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(15.13)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8"/>
              </w:rPr>
              <w:t>2,090,677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860" w:type="dxa"/>
            <w:vAlign w:val="bottom"/>
            <w:gridSpan w:val="2"/>
            <w:shd w:val="clear" w:color="auto" w:fill="CCEEFF"/>
          </w:tcPr>
          <w:p>
            <w:pPr>
              <w:spacing w:after="0" w:line="160" w:lineRule="exact"/>
              <w:rPr>
                <w:sz w:val="20"/>
                <w:szCs w:val="20"/>
                <w:color w:val="auto"/>
              </w:rPr>
            </w:pPr>
            <w:r>
              <w:rPr>
                <w:rFonts w:ascii="Arial" w:cs="Arial" w:eastAsia="Arial" w:hAnsi="Arial"/>
                <w:sz w:val="15"/>
                <w:szCs w:val="15"/>
                <w:color w:val="auto"/>
                <w:w w:val="94"/>
              </w:rPr>
              <w:t>Pro forma net loss per share attributable to common stockholders (unaudited)</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(2.53)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(0.59)</w:t>
            </w: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8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7"/>
              </w:rPr>
              <w:t>Pro forma weighted average common shares of common stock outstanding</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(unaudited)</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860" w:type="dxa"/>
            <w:vAlign w:val="bottom"/>
            <w:gridSpan w:val="2"/>
          </w:tcPr>
          <w:p>
            <w:pPr>
              <w:ind w:left="160"/>
              <w:spacing w:after="0"/>
              <w:rPr>
                <w:sz w:val="20"/>
                <w:szCs w:val="20"/>
                <w:color w:val="auto"/>
              </w:rPr>
            </w:pPr>
            <w:r>
              <w:rPr>
                <w:rFonts w:ascii="Arial" w:cs="Arial" w:eastAsia="Arial" w:hAnsi="Arial"/>
                <w:sz w:val="15"/>
                <w:szCs w:val="15"/>
                <w:color w:val="auto"/>
              </w:rPr>
              <w:t>Basic and diluted(1)(2)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860" w:type="dxa"/>
            <w:vAlign w:val="bottom"/>
            <w:tcBorders>
              <w:bottom w:val="single" w:sz="8" w:color="auto"/>
            </w:tcBorders>
          </w:tcPr>
          <w:p>
            <w:pPr>
              <w:spacing w:after="0"/>
              <w:rPr>
                <w:sz w:val="5"/>
                <w:szCs w:val="5"/>
                <w:color w:val="auto"/>
              </w:rPr>
            </w:pPr>
          </w:p>
        </w:tc>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140" w:hanging="463"/>
        <w:spacing w:after="0" w:line="238" w:lineRule="auto"/>
        <w:tabs>
          <w:tab w:leader="none" w:pos="16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See Note 3 to our consolidated financial statements included elsewhere in this prospectus for additional information regarding the method used to calculate the historical and pro forma basic and diluted net loss per common share and the number of shares used in the computation of the per share amounts.</w:t>
      </w:r>
    </w:p>
    <w:p>
      <w:pPr>
        <w:spacing w:after="0" w:line="96" w:lineRule="exact"/>
        <w:rPr>
          <w:rFonts w:ascii="Arial" w:cs="Arial" w:eastAsia="Arial" w:hAnsi="Arial"/>
          <w:sz w:val="12"/>
          <w:szCs w:val="12"/>
          <w:color w:val="auto"/>
        </w:rPr>
      </w:pPr>
    </w:p>
    <w:p>
      <w:pPr>
        <w:ind w:left="1600" w:hanging="463"/>
        <w:spacing w:after="0" w:line="269" w:lineRule="auto"/>
        <w:tabs>
          <w:tab w:leader="none" w:pos="1600" w:val="left"/>
        </w:tabs>
        <w:numPr>
          <w:ilvl w:val="0"/>
          <w:numId w:val="55"/>
        </w:numPr>
        <w:rPr>
          <w:rFonts w:ascii="Arial" w:cs="Arial" w:eastAsia="Arial" w:hAnsi="Arial"/>
          <w:sz w:val="10"/>
          <w:szCs w:val="10"/>
          <w:color w:val="auto"/>
        </w:rPr>
      </w:pPr>
      <w:r>
        <w:rPr>
          <w:rFonts w:ascii="Arial" w:cs="Arial" w:eastAsia="Arial" w:hAnsi="Arial"/>
          <w:sz w:val="10"/>
          <w:szCs w:val="10"/>
          <w:color w:val="auto"/>
        </w:rPr>
        <w:t>Pro forma basic and diluted net loss per common share and weighted average common shares outstanding give effect to: (i) the automatic conversion of all shares of our preferred stock into common stock upon closing of this offering, which, based on an assumed initial public offering price of $15.00 per share, the midpoint of the price range set forth on the cover of this prospectus, would result in the issuance of 9,890,580 shares of our common stock, (ii) outstanding warrants to purchase series D preferred stock becoming warrants to purchase shares of our common stock, upon the closing of this offering, and outstanding warrants to purchase shares of our series E preferred stock becoming warrants to purchase 14,088 shares of our common stock, at a weighted average exercise price of $17.55 per share of common stock, based on an assumed initial public offering price of $15.00 per share, the midpoint of the price range set forth on the cover of this prospectus, upon the closing of this offering and (iii) the automatic cashless exercise of the series E common warrants for 567,306 shares of our common stock. Upon the closing of this offering, (a) our series E preferred stock will automatically convert into a number of shares of common stock and</w:t>
      </w:r>
    </w:p>
    <w:p>
      <w:pPr>
        <w:spacing w:after="0" w:line="1"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(b) outstanding warrants to purchase shares of our series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4" w:name="page85"/>
    <w:bookmarkEnd w:id="8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spacing w:after="0" w:line="333" w:lineRule="auto"/>
        <w:rPr>
          <w:sz w:val="20"/>
          <w:szCs w:val="20"/>
          <w:color w:val="auto"/>
        </w:rPr>
      </w:pPr>
      <w:r>
        <w:rPr>
          <w:rFonts w:ascii="Arial" w:cs="Arial" w:eastAsia="Arial" w:hAnsi="Arial"/>
          <w:sz w:val="10"/>
          <w:szCs w:val="10"/>
          <w:color w:val="auto"/>
        </w:rPr>
        <w:t>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 data:</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As of 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47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2014</w:t>
            </w: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short-term investments</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16,592</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36,462</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Total assets</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22,228</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42,824</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34,723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Loan payables, net of current portion</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4,824</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11,855</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5"/>
                <w:szCs w:val="15"/>
                <w:color w:val="auto"/>
              </w:rPr>
              <w:t>Redeemable convertible preferred stock</w:t>
            </w:r>
          </w:p>
        </w:tc>
        <w:tc>
          <w:tcPr>
            <w:tcW w:w="18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9"/>
              <w:spacing w:after="0"/>
              <w:rPr>
                <w:sz w:val="20"/>
                <w:szCs w:val="20"/>
                <w:color w:val="auto"/>
              </w:rPr>
            </w:pPr>
            <w:r>
              <w:rPr>
                <w:rFonts w:ascii="Arial" w:cs="Arial" w:eastAsia="Arial" w:hAnsi="Arial"/>
                <w:sz w:val="15"/>
                <w:szCs w:val="15"/>
                <w:color w:val="auto"/>
              </w:rPr>
              <w:t>94,033</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137,482</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139,837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 (deficit)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(87,755)</w:t>
            </w:r>
          </w:p>
        </w:tc>
        <w:tc>
          <w:tcPr>
            <w:tcW w:w="22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(116,493)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(125,805)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85" w:name="page86"/>
    <w:bookmarkEnd w:id="8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Management's discussion and analysis of financial condition and results of operations</w:t>
      </w:r>
    </w:p>
    <w:p>
      <w:pPr>
        <w:spacing w:after="0" w:line="183"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60"/>
        <w:spacing w:after="0" w:line="304" w:lineRule="auto"/>
        <w:rPr>
          <w:sz w:val="20"/>
          <w:szCs w:val="20"/>
          <w:color w:val="auto"/>
        </w:rPr>
      </w:pPr>
      <w:r>
        <w:rPr>
          <w:rFonts w:ascii="Arial" w:cs="Arial" w:eastAsia="Arial" w:hAnsi="Arial"/>
          <w:sz w:val="13"/>
          <w:szCs w:val="13"/>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antigen-specific immune tolerance to mitigate the formation of anti-drug antibodies, or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ummet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w:t>
      </w:r>
    </w:p>
    <w:p>
      <w:pPr>
        <w:spacing w:after="0" w:line="145" w:lineRule="exact"/>
        <w:rPr>
          <w:sz w:val="20"/>
          <w:szCs w:val="20"/>
          <w:color w:val="auto"/>
        </w:rPr>
      </w:pPr>
    </w:p>
    <w:p>
      <w:pPr>
        <w:ind w:right="220"/>
        <w:spacing w:after="0" w:line="287" w:lineRule="auto"/>
        <w:rPr>
          <w:sz w:val="20"/>
          <w:szCs w:val="20"/>
          <w:color w:val="auto"/>
        </w:rPr>
      </w:pPr>
      <w:r>
        <w:rPr>
          <w:rFonts w:ascii="Arial" w:cs="Arial" w:eastAsia="Arial" w:hAnsi="Arial"/>
          <w:sz w:val="14"/>
          <w:szCs w:val="14"/>
          <w:color w:val="auto"/>
        </w:rPr>
        <w:t>We were incorporated in 2007 under the laws of the State of Delaware and our corporate headquarters is in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Since our inception and through March 31, 2016, we have raised an aggregate of $151.6 million to fund our operations, of which $118.5 million was from the sale of preferred stock,</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$7.8 million was from government grants, $14.3 million was from the issuance of debt securities and $11.0 million was from grants and collaboration arrangements. As of March 31, 2016, we had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6" w:name="page87"/>
    <w:bookmarkEnd w:id="8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totaling $17.1 million, of which $1.5 million of such cash and cash equivalents was held by our wholly owned Russian subsidiary and designated solely for use in its operations.</w:t>
      </w:r>
    </w:p>
    <w:p>
      <w:pPr>
        <w:spacing w:after="0" w:line="210"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In August and September 2015, we issued and sold 8,888,888 shares of series E preferred stock for $40.0 million in gross proceeds which included 1,619,550 shares of series E preferred stock that were issued as a result of the conversion of convertible notes. As part of the series E preferred stock issuance, we also issued 569,791 common stock warrants to the stockholders who participated in that round of financing.</w:t>
      </w:r>
    </w:p>
    <w:p>
      <w:pPr>
        <w:spacing w:after="0" w:line="15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All shares of our redeemable convertible preferred stock will automatically convert into shares of common stock in connection with this offering, and as a result, our common stock will be the only class of stock outstanding following this offering.</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Since inception, we have incurred significant operating losses. We incurred net losses of $12.9 million and $25.2 million for the years ended December 31, 2014 and 2015, respectively. Our net loss was $5.7 million and $7.5 million for the three months ended March 31, 2015 and 2016, respectively. As of March 31, 2016, we had an accumulated deficit of $121.1 million. We expect to continue incurring significant expenses and operating losses for at least the next several years as we:</w:t>
      </w:r>
    </w:p>
    <w:p>
      <w:pPr>
        <w:spacing w:after="0" w:line="171" w:lineRule="exact"/>
        <w:rPr>
          <w:sz w:val="20"/>
          <w:szCs w:val="20"/>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conduct and expand clinical trials for SEL-212, our lead product candidate;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continue the research and development of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clinical trials;</w:t>
      </w:r>
    </w:p>
    <w:p>
      <w:pPr>
        <w:spacing w:after="0" w:line="209" w:lineRule="exact"/>
        <w:rPr>
          <w:rFonts w:ascii="Arial" w:cs="Arial" w:eastAsia="Arial" w:hAnsi="Arial"/>
          <w:sz w:val="15"/>
          <w:szCs w:val="15"/>
          <w:color w:val="auto"/>
        </w:rPr>
      </w:pPr>
    </w:p>
    <w:p>
      <w:pPr>
        <w:ind w:left="467" w:right="400" w:hanging="467"/>
        <w:spacing w:after="0" w:line="282" w:lineRule="auto"/>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potentially establish a sales, marketing and distribution infrastructure and scale-up external manufacturing capabilities to commercialize any products for which we may obtain regulatory approval;</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hire additional staff, including clinical, scientific, operational and financial personnel, to execute our business plan; and</w:t>
      </w:r>
    </w:p>
    <w:p>
      <w:pPr>
        <w:spacing w:after="0" w:line="209" w:lineRule="exact"/>
        <w:rPr>
          <w:rFonts w:ascii="Arial" w:cs="Arial" w:eastAsia="Arial" w:hAnsi="Arial"/>
          <w:sz w:val="15"/>
          <w:szCs w:val="15"/>
          <w:color w:val="auto"/>
        </w:rPr>
      </w:pPr>
    </w:p>
    <w:p>
      <w:pPr>
        <w:ind w:left="467" w:right="40" w:hanging="467"/>
        <w:spacing w:after="0" w:line="282" w:lineRule="auto"/>
        <w:tabs>
          <w:tab w:leader="none" w:pos="4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151" w:lineRule="exact"/>
        <w:rPr>
          <w:sz w:val="20"/>
          <w:szCs w:val="20"/>
          <w:color w:val="auto"/>
        </w:rPr>
      </w:pPr>
    </w:p>
    <w:p>
      <w:pPr>
        <w:ind w:left="7" w:right="120"/>
        <w:spacing w:after="0" w:line="297"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44" w:lineRule="exact"/>
        <w:rPr>
          <w:sz w:val="20"/>
          <w:szCs w:val="20"/>
          <w:color w:val="auto"/>
        </w:rPr>
      </w:pPr>
    </w:p>
    <w:p>
      <w:pPr>
        <w:ind w:left="7" w:right="40"/>
        <w:spacing w:after="0" w:line="362" w:lineRule="auto"/>
        <w:rPr>
          <w:sz w:val="20"/>
          <w:szCs w:val="20"/>
          <w:color w:val="auto"/>
        </w:rPr>
      </w:pPr>
      <w:r>
        <w:rPr>
          <w:rFonts w:ascii="Arial" w:cs="Arial" w:eastAsia="Arial" w:hAnsi="Arial"/>
          <w:sz w:val="13"/>
          <w:szCs w:val="13"/>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FINANCIAL OVERVIEW</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 and collaboration revenue</w:t>
      </w:r>
    </w:p>
    <w:p>
      <w:pPr>
        <w:spacing w:after="0" w:line="195"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To date, we have not generated any product sales. Our revenue consists of grant and collaboration revenue, which includes amounts recognized related to upfront and milestone payments for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consolidated financial statements included elsewhere in 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Research and development expenses consist of costs incurred in performing research and development activities, including compensation and benefits for full-time research and development employees, an allocation of facilities expenses, overhead expenses, manufacturing process-development and scale-up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62"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Our research and development expenses consist of external research and development costs, which we track on a program-by-program basis and primarily include contract manufacturing organization and CRO-related costs, and internal research and development costs, which are primarily compensation expenses for our research and development employees, lab supplies, analytical testing, allocated overhead costs and other related expenses. As we expand the clinical development of SEL-212, we expect our research and development expenses to increase. The increase in external research and development spending is expected to outpace internal research and development spending. We have incurred a total of $82.1 million in research and development expenses from inception through March 31, 2016, with a majority of the expenses being spent on the development of SEL-212 and a prior nicotine vaccine, and the remainder being spent on our various discovery and preclinical stage product candidate programs and the general expansion of our technology.</w:t>
      </w:r>
    </w:p>
    <w:p>
      <w:pPr>
        <w:spacing w:after="0" w:line="13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11320"/>
        <w:spacing w:after="0"/>
        <w:rPr>
          <w:sz w:val="20"/>
          <w:szCs w:val="20"/>
          <w:color w:val="auto"/>
        </w:rPr>
      </w:pP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research and development expenses during the periods indicated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287"/>
              <w:spacing w:after="0"/>
              <w:rPr>
                <w:sz w:val="20"/>
                <w:szCs w:val="20"/>
                <w:color w:val="auto"/>
              </w:rPr>
            </w:pPr>
            <w:r>
              <w:rPr>
                <w:rFonts w:ascii="Arial" w:cs="Arial" w:eastAsia="Arial" w:hAnsi="Arial"/>
                <w:sz w:val="12"/>
                <w:szCs w:val="12"/>
                <w:b w:val="1"/>
                <w:bCs w:val="1"/>
                <w:color w:val="auto"/>
              </w:rPr>
              <w:t>Years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47"/>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247"/>
              <w:spacing w:after="0" w:line="129" w:lineRule="exact"/>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129"/>
              <w:spacing w:after="0" w:line="129" w:lineRule="exact"/>
              <w:rPr>
                <w:sz w:val="20"/>
                <w:szCs w:val="20"/>
                <w:color w:val="auto"/>
              </w:rPr>
            </w:pPr>
            <w:r>
              <w:rPr>
                <w:rFonts w:ascii="Arial" w:cs="Arial" w:eastAsia="Arial" w:hAnsi="Arial"/>
                <w:sz w:val="12"/>
                <w:szCs w:val="12"/>
                <w:b w:val="1"/>
                <w:bCs w:val="1"/>
                <w:color w:val="auto"/>
              </w:rPr>
              <w:t>Increase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center"/>
              <w:ind w:right="47"/>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center"/>
              <w:ind w:left="9"/>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0"/>
        </w:trPr>
        <w:tc>
          <w:tcPr>
            <w:tcW w:w="3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2"/>
                <w:szCs w:val="12"/>
                <w:b w:val="1"/>
                <w:bCs w:val="1"/>
                <w:color w:val="auto"/>
              </w:rPr>
              <w:t>(decrease)</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4"/>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47"/>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8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External research and development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5"/>
        </w:trPr>
        <w:tc>
          <w:tcPr>
            <w:tcW w:w="3360" w:type="dxa"/>
            <w:vAlign w:val="bottom"/>
          </w:tcPr>
          <w:p>
            <w:pPr>
              <w:ind w:left="160"/>
              <w:spacing w:after="0"/>
              <w:rPr>
                <w:sz w:val="20"/>
                <w:szCs w:val="20"/>
                <w:color w:val="auto"/>
              </w:rPr>
            </w:pPr>
            <w:r>
              <w:rPr>
                <w:rFonts w:ascii="Arial" w:cs="Arial" w:eastAsia="Arial" w:hAnsi="Arial"/>
                <w:sz w:val="15"/>
                <w:szCs w:val="15"/>
                <w:color w:val="auto"/>
              </w:rPr>
              <w:t>SEL-212</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474</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9,335</w:t>
            </w:r>
          </w:p>
        </w:tc>
        <w:tc>
          <w:tcPr>
            <w:tcW w:w="3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8,861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2,305</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2,182</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(123)</w:t>
            </w:r>
          </w:p>
        </w:tc>
        <w:tc>
          <w:tcPr>
            <w:tcW w:w="1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(5)%</w:t>
            </w:r>
          </w:p>
        </w:tc>
      </w:tr>
      <w:tr>
        <w:trPr>
          <w:trHeight w:val="178"/>
        </w:trPr>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Discovery and preclinical stage product programs,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92"/>
        </w:trPr>
        <w:tc>
          <w:tcPr>
            <w:tcW w:w="33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collectively</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0"/>
              </w:rPr>
              <w:t>2,153%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317%</w:t>
            </w:r>
          </w:p>
        </w:tc>
      </w:tr>
      <w:tr>
        <w:trPr>
          <w:trHeight w:val="185"/>
        </w:trPr>
        <w:tc>
          <w:tcPr>
            <w:tcW w:w="3360" w:type="dxa"/>
            <w:vAlign w:val="bottom"/>
          </w:tcPr>
          <w:p>
            <w:pPr>
              <w:spacing w:after="0"/>
              <w:rPr>
                <w:sz w:val="20"/>
                <w:szCs w:val="20"/>
                <w:color w:val="auto"/>
              </w:rPr>
            </w:pPr>
            <w:r>
              <w:rPr>
                <w:rFonts w:ascii="Arial" w:cs="Arial" w:eastAsia="Arial" w:hAnsi="Arial"/>
                <w:sz w:val="15"/>
                <w:szCs w:val="15"/>
                <w:color w:val="auto"/>
              </w:rPr>
              <w:t>Internal research and development expenses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9,974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12,789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2,815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3,385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977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7"/>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Total research and development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Investment income consists primarily of interest income earned on our cash and cash equivalents and short term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consists of interest expense on amounts borrowed under our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The functional currency of our Russian subsidiary is the ruble. In addition to holding cash denominated in rubles, our Russian bank accounts also hold cash balances denominated in U.S.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dollars to facilitate payments to be settled in U.S. dollars or other currencies. At December 31, 2014 and 2015, and March 31, 2016, we maintained cash of $7.3 million, $3.8 million and</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$4.2 million, respectively, in Russian banks, of which $3.0 million was denominated in U.S. dollars for the period ended March 31, 2016. The amounts denominated in U.S. dollars and used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 transacting the day to day operations are subject to transaction gains and losses, which are reported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Three months ended March 31, 2015 compared to the three months ended March 31, 2016</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three months ended March 31, 2015 and 2016 (in thousands, except percentages):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28"/>
              <w:spacing w:after="0"/>
              <w:rPr>
                <w:sz w:val="20"/>
                <w:szCs w:val="20"/>
                <w:color w:val="auto"/>
              </w:rPr>
            </w:pPr>
            <w:r>
              <w:rPr>
                <w:rFonts w:ascii="Arial" w:cs="Arial" w:eastAsia="Arial" w:hAnsi="Arial"/>
                <w:sz w:val="12"/>
                <w:szCs w:val="12"/>
                <w:b w:val="1"/>
                <w:bCs w:val="1"/>
                <w:color w:val="auto"/>
              </w:rPr>
              <w:t>Three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right="28"/>
              <w:spacing w:after="0" w:line="129" w:lineRule="exact"/>
              <w:rPr>
                <w:sz w:val="20"/>
                <w:szCs w:val="20"/>
                <w:color w:val="auto"/>
              </w:rPr>
            </w:pPr>
            <w:r>
              <w:rPr>
                <w:rFonts w:ascii="Arial" w:cs="Arial" w:eastAsia="Arial" w:hAnsi="Arial"/>
                <w:sz w:val="12"/>
                <w:szCs w:val="12"/>
                <w:b w:val="1"/>
                <w:bCs w:val="1"/>
                <w:color w:val="auto"/>
              </w:rPr>
              <w:t>ended March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left="10"/>
              <w:spacing w:after="0" w:line="129" w:lineRule="exact"/>
              <w:rPr>
                <w:sz w:val="20"/>
                <w:szCs w:val="20"/>
                <w:color w:val="auto"/>
              </w:rPr>
            </w:pPr>
            <w:r>
              <w:rPr>
                <w:rFonts w:ascii="Arial" w:cs="Arial" w:eastAsia="Arial" w:hAnsi="Arial"/>
                <w:sz w:val="12"/>
                <w:szCs w:val="12"/>
                <w:b w:val="1"/>
                <w:bCs w:val="1"/>
                <w:color w:val="auto"/>
              </w:rPr>
              <w:t>Increase</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35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(decrease)</w:t>
            </w:r>
          </w:p>
        </w:tc>
        <w:tc>
          <w:tcPr>
            <w:tcW w:w="24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24"/>
        </w:trPr>
        <w:tc>
          <w:tcPr>
            <w:tcW w:w="35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tcPr>
          <w:p>
            <w:pPr>
              <w:jc w:val="center"/>
              <w:ind w:right="28"/>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85"/>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Grant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263%</w:t>
            </w:r>
          </w:p>
        </w:tc>
      </w:tr>
      <w:tr>
        <w:trPr>
          <w:trHeight w:val="185"/>
        </w:trPr>
        <w:tc>
          <w:tcPr>
            <w:tcW w:w="3580" w:type="dxa"/>
            <w:vAlign w:val="bottom"/>
          </w:tcPr>
          <w:p>
            <w:pPr>
              <w:spacing w:after="0"/>
              <w:rPr>
                <w:sz w:val="20"/>
                <w:szCs w:val="20"/>
                <w:color w:val="auto"/>
              </w:rPr>
            </w:pPr>
            <w:r>
              <w:rPr>
                <w:rFonts w:ascii="Arial" w:cs="Arial" w:eastAsia="Arial" w:hAnsi="Arial"/>
                <w:sz w:val="15"/>
                <w:szCs w:val="15"/>
                <w:color w:val="auto"/>
              </w:rPr>
              <w:t>Collaboration revenue</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5"/>
                <w:szCs w:val="15"/>
                <w:color w:val="auto"/>
              </w:rPr>
              <w:t>(341)</w:t>
            </w:r>
          </w:p>
        </w:tc>
        <w:tc>
          <w:tcPr>
            <w:tcW w:w="180" w:type="dxa"/>
            <w:vAlign w:val="bottom"/>
          </w:tcPr>
          <w:p>
            <w:pPr>
              <w:spacing w:after="0"/>
              <w:rPr>
                <w:sz w:val="16"/>
                <w:szCs w:val="16"/>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5"/>
                <w:szCs w:val="15"/>
                <w:color w:val="auto"/>
                <w:w w:val="99"/>
              </w:rPr>
              <w:t>(68)%</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7"/>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5"/>
                <w:szCs w:val="15"/>
                <w:color w:val="auto"/>
                <w:w w:val="88"/>
              </w:rPr>
              <w:t>102%</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During the three months ended March 31, 2016, total revenue increased by $1.1 million, or 102%, as compared to the same period in the prior year, of which $1.3 million was related to a National Institute on Drug Abuse, or NIDA, grant, or the NIDA grant, awarded to us in 2014 and recognized as revenue throughout the three months ended March 31, 2016, offset by a reduction of $0.3 million related to the amortization of upfront payments from the license and research collaboration agreement with Sanofi executed in November 2012 and supplemented in May 2015. We recognized revenue increases of $0.1 million from various other grants and collaborations during the three months ended March 31, 2016 over the three months ended March 31, 2015.</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three months ended March 31, 2015 and 2016 (in thousands, except percentages):</w:t>
      </w:r>
    </w:p>
    <w:p>
      <w:pPr>
        <w:spacing w:after="0" w:line="219" w:lineRule="exact"/>
        <w:rPr>
          <w:sz w:val="20"/>
          <w:szCs w:val="20"/>
          <w:color w:val="auto"/>
        </w:rPr>
      </w:pPr>
    </w:p>
    <w:p>
      <w:pPr>
        <w:ind w:left="7880"/>
        <w:spacing w:after="0"/>
        <w:rPr>
          <w:sz w:val="20"/>
          <w:szCs w:val="20"/>
          <w:color w:val="auto"/>
        </w:rPr>
      </w:pPr>
      <w:r>
        <w:rPr>
          <w:rFonts w:ascii="Arial" w:cs="Arial" w:eastAsia="Arial" w:hAnsi="Arial"/>
          <w:sz w:val="12"/>
          <w:szCs w:val="12"/>
          <w:b w:val="1"/>
          <w:bCs w:val="1"/>
          <w:color w:val="auto"/>
        </w:rPr>
        <w:t>Three months</w:t>
      </w:r>
    </w:p>
    <w:p>
      <w:pPr>
        <w:ind w:left="7800"/>
        <w:spacing w:after="0" w:line="217" w:lineRule="auto"/>
        <w:tabs>
          <w:tab w:leader="none" w:pos="934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-16510</wp:posOffset>
            </wp:positionV>
            <wp:extent cx="80899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(unaudited)</w:t>
      </w:r>
    </w:p>
    <w:p>
      <w:pPr>
        <w:spacing w:after="0" w:line="1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3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4,972</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6,648</w:t>
            </w: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1,676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bl>
    <w:p>
      <w:pPr>
        <w:spacing w:after="0" w:line="178" w:lineRule="exact"/>
        <w:rPr>
          <w:sz w:val="20"/>
          <w:szCs w:val="20"/>
          <w:color w:val="auto"/>
        </w:rPr>
      </w:pPr>
    </w:p>
    <w:p>
      <w:pPr>
        <w:ind w:right="400"/>
        <w:spacing w:after="0" w:line="319" w:lineRule="auto"/>
        <w:rPr>
          <w:sz w:val="20"/>
          <w:szCs w:val="20"/>
          <w:color w:val="auto"/>
        </w:rPr>
      </w:pPr>
      <w:r>
        <w:rPr>
          <w:rFonts w:ascii="Arial" w:cs="Arial" w:eastAsia="Arial" w:hAnsi="Arial"/>
          <w:sz w:val="14"/>
          <w:szCs w:val="14"/>
          <w:color w:val="auto"/>
        </w:rPr>
        <w:t>During the three months ended March 31, 2016, our research and development expenses increased by $1.7 million, or 34%, as compared to the same period in the prior year, due to the timing of the toxicology expenses associated with the NIDA grant, and the addition of research and development staffing to support the SEL-212 clinical trial.</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three months ended March 31, 2015 and 2016 (in thousands, except percentages):</w:t>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2"/>
          <w:szCs w:val="12"/>
          <w:b w:val="1"/>
          <w:bCs w:val="1"/>
          <w:color w:val="auto"/>
        </w:rPr>
        <w:t>Three months</w:t>
      </w:r>
    </w:p>
    <w:p>
      <w:pPr>
        <w:ind w:left="7920"/>
        <w:spacing w:after="0" w:line="217" w:lineRule="auto"/>
        <w:tabs>
          <w:tab w:leader="none" w:pos="9400" w:val="left"/>
        </w:tabs>
        <w:rPr>
          <w:sz w:val="20"/>
          <w:szCs w:val="20"/>
          <w:color w:val="auto"/>
        </w:rPr>
      </w:pPr>
      <w:r>
        <w:rPr>
          <w:rFonts w:ascii="Arial" w:cs="Arial" w:eastAsia="Arial" w:hAnsi="Arial"/>
          <w:sz w:val="12"/>
          <w:szCs w:val="12"/>
          <w:b w:val="1"/>
          <w:bCs w:val="1"/>
          <w:color w:val="auto"/>
        </w:rPr>
        <w:t>ended March 31,</w:t>
      </w:r>
      <w:r>
        <w:rPr>
          <w:sz w:val="20"/>
          <w:szCs w:val="20"/>
          <w:color w:val="auto"/>
        </w:rPr>
        <w:tab/>
      </w:r>
      <w:r>
        <w:rPr>
          <w:rFonts w:ascii="Arial" w:cs="Arial" w:eastAsia="Arial" w:hAnsi="Arial"/>
          <w:sz w:val="17"/>
          <w:szCs w:val="17"/>
          <w:b w:val="1"/>
          <w:bCs w:val="1"/>
          <w:color w:val="auto"/>
          <w:vertAlign w:val="subscript"/>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-16510</wp:posOffset>
            </wp:positionV>
            <wp:extent cx="80899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12700</wp:posOffset>
            </wp:positionV>
            <wp:extent cx="572198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21985" cy="7620"/>
                    </a:xfrm>
                    <a:prstGeom prst="rect">
                      <a:avLst/>
                    </a:prstGeom>
                    <a:noFill/>
                  </pic:spPr>
                </pic:pic>
              </a:graphicData>
            </a:graphic>
          </wp:anchor>
        </w:drawing>
      </w:r>
    </w:p>
    <w:p>
      <w:pPr>
        <w:spacing w:after="0" w:line="2"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(unaudited)</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1,872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2,381</w:t>
            </w:r>
          </w:p>
        </w:tc>
        <w:tc>
          <w:tcPr>
            <w:tcW w:w="7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509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For the three months ended March 31, 2016, our general and administrative expenses increased $0.5 million, or 27%, as compared to the same period in the prior year, primarily due to an increase in costs for intellectual property filings and corresponding searches. Additionally, facility costs increased as a result of the termination of our sublease and subsequent utilization of the related space.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400"/>
        <w:spacing w:after="0" w:line="282" w:lineRule="auto"/>
        <w:rPr>
          <w:sz w:val="20"/>
          <w:szCs w:val="20"/>
          <w:color w:val="auto"/>
        </w:rPr>
      </w:pPr>
      <w:r>
        <w:rPr>
          <w:rFonts w:ascii="Arial" w:cs="Arial" w:eastAsia="Arial" w:hAnsi="Arial"/>
          <w:sz w:val="15"/>
          <w:szCs w:val="15"/>
          <w:color w:val="auto"/>
        </w:rPr>
        <w:t>Change in investment income during the three months ended March 31, 2016 as compared to the prior year period reflects reduced interest bearing account balances of cash and cash equivalents held by our company and our Russia subsidiary.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 (loss)</w:t>
      </w:r>
    </w:p>
    <w:p>
      <w:pPr>
        <w:spacing w:after="0" w:line="195"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We recognized a foreign currency gain of $0.2 million and foreign currency loss of $0.2 million during the three months ended March 31, 2015 and 2016, respectively, reflecting the fluctuation of the U.S. dollar to the ruble from the beginning to the end of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Interest expense for the three months ended March 31, 2016 was $0.3 million, an increase of $0.1 million, or 50%, as compared to the same period in the prior year. The increase was primarily due to the amortization of loan issuance costs and interest accrued on the increase of the venture debt effective December 31,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income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was de minimis for the three months ended March 31, 2015 and 2016.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revenue for the years ended December 31, 2014 and 2015 (in thousands, except percentages):</w:t>
      </w:r>
    </w:p>
    <w:p>
      <w:pPr>
        <w:spacing w:after="0" w:line="276" w:lineRule="exact"/>
        <w:rPr>
          <w:sz w:val="20"/>
          <w:szCs w:val="20"/>
          <w:color w:val="auto"/>
        </w:rPr>
      </w:pPr>
    </w:p>
    <w:p>
      <w:pPr>
        <w:ind w:left="792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880"/>
        <w:spacing w:after="0"/>
        <w:tabs>
          <w:tab w:leader="none" w:pos="934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-1270</wp:posOffset>
            </wp:positionV>
            <wp:extent cx="80899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780"/>
        <w:spacing w:after="0"/>
        <w:tabs>
          <w:tab w:leader="none" w:pos="8460" w:val="left"/>
          <w:tab w:leader="none" w:pos="926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2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2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Grant and collaboration revenue</w:t>
            </w:r>
          </w:p>
        </w:tc>
        <w:tc>
          <w:tcPr>
            <w:tcW w:w="29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3,040</w:t>
            </w:r>
          </w:p>
        </w:tc>
        <w:tc>
          <w:tcPr>
            <w:tcW w:w="72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6,011</w:t>
            </w:r>
          </w:p>
        </w:tc>
        <w:tc>
          <w:tcPr>
            <w:tcW w:w="820" w:type="dxa"/>
            <w:vAlign w:val="bottom"/>
            <w:shd w:val="clear" w:color="auto" w:fill="CCEEFF"/>
          </w:tcPr>
          <w:p>
            <w:pPr>
              <w:jc w:val="right"/>
              <w:ind w:right="125"/>
              <w:spacing w:after="0" w:line="157" w:lineRule="exact"/>
              <w:rPr>
                <w:sz w:val="20"/>
                <w:szCs w:val="20"/>
                <w:color w:val="auto"/>
              </w:rPr>
            </w:pPr>
            <w:r>
              <w:rPr>
                <w:rFonts w:ascii="Arial" w:cs="Arial" w:eastAsia="Arial" w:hAnsi="Arial"/>
                <w:sz w:val="15"/>
                <w:szCs w:val="15"/>
                <w:color w:val="auto"/>
              </w:rPr>
              <w:t>$  2,971</w:t>
            </w:r>
          </w:p>
        </w:tc>
        <w:tc>
          <w:tcPr>
            <w:tcW w:w="4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98%</w:t>
            </w:r>
          </w:p>
        </w:tc>
      </w:tr>
    </w:tbl>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During the year ended December 31, 2015, total revenue increased by $3.0 million, or 98%, as compared to the prior year, primarily due to revenue from our grants and collaborations associated with increased research and development activities, including an increase of $1.9 million of revenue recognized during the year from the NIDA grant, $0.1 million for our collaboration with JDRF, $0.4 million of revenue recognized that was previously reported as contingently repayable grant funding, $0.3 million from other collaborations initiated in 2015 and $0.3 million from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research and development expenses for the years ended December 31, 2014 and 2015 (in thousands, except percentages):</w:t>
      </w:r>
    </w:p>
    <w:p>
      <w:pPr>
        <w:spacing w:after="0" w:line="276" w:lineRule="exact"/>
        <w:rPr>
          <w:sz w:val="20"/>
          <w:szCs w:val="20"/>
          <w:color w:val="auto"/>
        </w:rPr>
      </w:pPr>
    </w:p>
    <w:p>
      <w:pPr>
        <w:ind w:left="77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7700"/>
        <w:spacing w:after="0"/>
        <w:tabs>
          <w:tab w:leader="none" w:pos="928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-1270</wp:posOffset>
            </wp:positionV>
            <wp:extent cx="92646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26465" cy="7620"/>
                    </a:xfrm>
                    <a:prstGeom prst="rect">
                      <a:avLst/>
                    </a:prstGeom>
                    <a:noFill/>
                  </pic:spPr>
                </pic:pic>
              </a:graphicData>
            </a:graphic>
          </wp:anchor>
        </w:drawing>
      </w:r>
    </w:p>
    <w:p>
      <w:pPr>
        <w:ind w:left="7540"/>
        <w:spacing w:after="0"/>
        <w:tabs>
          <w:tab w:leader="none" w:pos="8320" w:val="left"/>
          <w:tab w:leader="none" w:pos="92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39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39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Research and development</w:t>
            </w:r>
          </w:p>
        </w:tc>
        <w:tc>
          <w:tcPr>
            <w:tcW w:w="30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10,486</w:t>
            </w:r>
          </w:p>
        </w:tc>
        <w:tc>
          <w:tcPr>
            <w:tcW w:w="800" w:type="dxa"/>
            <w:vAlign w:val="bottom"/>
            <w:shd w:val="clear" w:color="auto" w:fill="CCEEFF"/>
          </w:tcPr>
          <w:p>
            <w:pPr>
              <w:jc w:val="right"/>
              <w:ind w:right="5"/>
              <w:spacing w:after="0" w:line="157" w:lineRule="exact"/>
              <w:rPr>
                <w:sz w:val="20"/>
                <w:szCs w:val="20"/>
                <w:color w:val="auto"/>
              </w:rPr>
            </w:pPr>
            <w:r>
              <w:rPr>
                <w:rFonts w:ascii="Arial" w:cs="Arial" w:eastAsia="Arial" w:hAnsi="Arial"/>
                <w:sz w:val="15"/>
                <w:szCs w:val="15"/>
                <w:color w:val="auto"/>
              </w:rPr>
              <w:t>$  22,980</w:t>
            </w:r>
          </w:p>
        </w:tc>
        <w:tc>
          <w:tcPr>
            <w:tcW w:w="880" w:type="dxa"/>
            <w:vAlign w:val="bottom"/>
            <w:shd w:val="clear" w:color="auto" w:fill="CCEEFF"/>
          </w:tcPr>
          <w:p>
            <w:pPr>
              <w:jc w:val="right"/>
              <w:ind w:right="85"/>
              <w:spacing w:after="0" w:line="157" w:lineRule="exact"/>
              <w:rPr>
                <w:sz w:val="20"/>
                <w:szCs w:val="20"/>
                <w:color w:val="auto"/>
              </w:rPr>
            </w:pPr>
            <w:r>
              <w:rPr>
                <w:rFonts w:ascii="Arial" w:cs="Arial" w:eastAsia="Arial" w:hAnsi="Arial"/>
                <w:sz w:val="15"/>
                <w:szCs w:val="15"/>
                <w:color w:val="auto"/>
              </w:rPr>
              <w:t>$  12,494</w:t>
            </w:r>
          </w:p>
        </w:tc>
        <w:tc>
          <w:tcPr>
            <w:tcW w:w="5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119%</w:t>
            </w:r>
          </w:p>
        </w:tc>
      </w:tr>
    </w:tbl>
    <w:p>
      <w:pPr>
        <w:spacing w:after="0" w:line="178"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During the year ended December 31, 2015, our total research and development expenses increased by $12.5 million from the prior year, reflecting the costs associated with the advancement of SEL-212 into clinical trials, including related headcount growth, as compared to the prior year during which research and development expenses primarily reflected costs associated with the general pre-clinical development of SEL-212.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 and administrative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comparison of general and administrative expenses for the years ended December 31, 2014 and 2015 (in thousands, except percentages):</w:t>
      </w:r>
    </w:p>
    <w:p>
      <w:pPr>
        <w:spacing w:after="0" w:line="276" w:lineRule="exact"/>
        <w:rPr>
          <w:sz w:val="20"/>
          <w:szCs w:val="20"/>
          <w:color w:val="auto"/>
        </w:rPr>
      </w:pPr>
    </w:p>
    <w:p>
      <w:pPr>
        <w:ind w:left="8040"/>
        <w:spacing w:after="0"/>
        <w:rPr>
          <w:sz w:val="20"/>
          <w:szCs w:val="20"/>
          <w:color w:val="auto"/>
        </w:rPr>
      </w:pPr>
      <w:r>
        <w:rPr>
          <w:rFonts w:ascii="Arial" w:cs="Arial" w:eastAsia="Arial" w:hAnsi="Arial"/>
          <w:sz w:val="12"/>
          <w:szCs w:val="12"/>
          <w:b w:val="1"/>
          <w:bCs w:val="1"/>
          <w:color w:val="auto"/>
        </w:rPr>
        <w:t>Years ended</w:t>
      </w:r>
    </w:p>
    <w:p>
      <w:pPr>
        <w:spacing w:after="0" w:line="15" w:lineRule="exact"/>
        <w:rPr>
          <w:sz w:val="20"/>
          <w:szCs w:val="20"/>
          <w:color w:val="auto"/>
        </w:rPr>
      </w:pPr>
    </w:p>
    <w:p>
      <w:pPr>
        <w:ind w:left="8000"/>
        <w:spacing w:after="0"/>
        <w:tabs>
          <w:tab w:leader="none" w:pos="9400" w:val="left"/>
        </w:tabs>
        <w:rPr>
          <w:sz w:val="20"/>
          <w:szCs w:val="20"/>
          <w:color w:val="auto"/>
        </w:rPr>
      </w:pPr>
      <w:r>
        <w:rPr>
          <w:rFonts w:ascii="Arial" w:cs="Arial" w:eastAsia="Arial" w:hAnsi="Arial"/>
          <w:sz w:val="12"/>
          <w:szCs w:val="12"/>
          <w:b w:val="1"/>
          <w:bCs w:val="1"/>
          <w:color w:val="auto"/>
        </w:rPr>
        <w:t>December 31,</w:t>
      </w:r>
      <w:r>
        <w:rPr>
          <w:sz w:val="20"/>
          <w:szCs w:val="20"/>
          <w:color w:val="auto"/>
        </w:rPr>
        <w:tab/>
      </w:r>
      <w:r>
        <w:rPr>
          <w:rFonts w:ascii="Arial" w:cs="Arial" w:eastAsia="Arial" w:hAnsi="Arial"/>
          <w:sz w:val="12"/>
          <w:szCs w:val="12"/>
          <w:b w:val="1"/>
          <w:bCs w:val="1"/>
          <w:color w:val="auto"/>
        </w:rPr>
        <w:t>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-1270</wp:posOffset>
            </wp:positionV>
            <wp:extent cx="80899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ind w:left="7900"/>
        <w:spacing w:after="0"/>
        <w:tabs>
          <w:tab w:leader="none" w:pos="8580" w:val="left"/>
          <w:tab w:leader="none" w:pos="9320" w:val="left"/>
        </w:tabs>
        <w:rPr>
          <w:sz w:val="20"/>
          <w:szCs w:val="20"/>
          <w:color w:val="auto"/>
        </w:rPr>
      </w:pPr>
      <w:r>
        <w:rPr>
          <w:rFonts w:ascii="Arial" w:cs="Arial" w:eastAsia="Arial" w:hAnsi="Arial"/>
          <w:sz w:val="12"/>
          <w:szCs w:val="12"/>
          <w:b w:val="1"/>
          <w:bCs w:val="1"/>
          <w:color w:val="auto"/>
        </w:rPr>
        <w:t>2014</w:t>
      </w:r>
      <w:r>
        <w:rPr>
          <w:sz w:val="20"/>
          <w:szCs w:val="20"/>
          <w:color w:val="auto"/>
        </w:rPr>
        <w:tab/>
      </w: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(decrease)</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12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General and administrative</w:t>
            </w:r>
          </w:p>
        </w:tc>
        <w:tc>
          <w:tcPr>
            <w:tcW w:w="314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7,953</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rPr>
              <w:t>$  8,335</w:t>
            </w:r>
          </w:p>
        </w:tc>
        <w:tc>
          <w:tcPr>
            <w:tcW w:w="760" w:type="dxa"/>
            <w:vAlign w:val="bottom"/>
            <w:shd w:val="clear" w:color="auto" w:fill="CCEEFF"/>
          </w:tcPr>
          <w:p>
            <w:pPr>
              <w:jc w:val="right"/>
              <w:ind w:right="165"/>
              <w:spacing w:after="0" w:line="157" w:lineRule="exact"/>
              <w:rPr>
                <w:sz w:val="20"/>
                <w:szCs w:val="20"/>
                <w:color w:val="auto"/>
              </w:rPr>
            </w:pPr>
            <w:r>
              <w:rPr>
                <w:rFonts w:ascii="Arial" w:cs="Arial" w:eastAsia="Arial" w:hAnsi="Arial"/>
                <w:sz w:val="15"/>
                <w:szCs w:val="15"/>
                <w:color w:val="auto"/>
              </w:rPr>
              <w:t>$  382</w:t>
            </w:r>
          </w:p>
        </w:tc>
        <w:tc>
          <w:tcPr>
            <w:tcW w:w="4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5"/>
                <w:szCs w:val="15"/>
                <w:color w:val="auto"/>
              </w:rPr>
              <w:t>5%</w:t>
            </w:r>
          </w:p>
        </w:tc>
      </w:tr>
    </w:tbl>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During the year ended December 31, 2015, our general and administrative expenses increased by $0.4 million, or 5%, as compared to the prior year, primarily due to an increase in legal expense as a result of initiating and reviewing potential collaboration agreements and expanding intellectual property protections.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income</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Change in investment income was de minimis during the year ended December 31, 2015 as compared to the prior year as cash and cash equivalent balances held in interest bearing accounts and the prevailing interest rates remained relatively consistent during both years.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gain</w:t>
      </w:r>
    </w:p>
    <w:p>
      <w:pPr>
        <w:spacing w:after="0" w:line="195" w:lineRule="exact"/>
        <w:rPr>
          <w:sz w:val="20"/>
          <w:szCs w:val="20"/>
          <w:color w:val="auto"/>
        </w:rPr>
      </w:pPr>
    </w:p>
    <w:p>
      <w:pPr>
        <w:ind w:right="480"/>
        <w:spacing w:after="0" w:line="319" w:lineRule="auto"/>
        <w:rPr>
          <w:sz w:val="20"/>
          <w:szCs w:val="20"/>
          <w:color w:val="auto"/>
        </w:rPr>
      </w:pPr>
      <w:r>
        <w:rPr>
          <w:rFonts w:ascii="Arial" w:cs="Arial" w:eastAsia="Arial" w:hAnsi="Arial"/>
          <w:sz w:val="14"/>
          <w:szCs w:val="14"/>
          <w:color w:val="auto"/>
        </w:rPr>
        <w:t>We recognized a foreign currency gain of $0.9 million during the year ended December 31, 2015 as compared to $3.0 million during the year ended December 31, 2014 reflecting the continued strength of the U.S. dollar to the ruble occurring between December 31, 2014 (beginning of the period) to December 31, 2015 (end of period).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Interest expense was $0.9 million during the year ended December 31, 2015, as compared to $0.6 million in the prior year. The increase was primarily due to outstanding borrowings throughout 2015 as well as incremental amounts borrowed during the year. As of January 2014, we had outstanding borrowings of $3.0 million under our credit facility. In July 2014, we drew the remaining $4.5 million of available borrowings under the credit facility. As of December 31, 2015, we expanded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credit facility to a total of $12.0 million and drew all of the remaining borrowings available under the credit facility. Additionally, the increase included the amortization of loan issuance costs and interest accrued on convertible notes issued in April 2015 that were converted into our series E preferred stock in August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Other expense for the years ended December 31, 2014 and 2015 was de minimis.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right="460"/>
        <w:spacing w:after="0" w:line="362" w:lineRule="auto"/>
        <w:rPr>
          <w:sz w:val="20"/>
          <w:szCs w:val="20"/>
          <w:color w:val="auto"/>
        </w:rPr>
      </w:pPr>
      <w:r>
        <w:rPr>
          <w:rFonts w:ascii="Arial" w:cs="Arial" w:eastAsia="Arial" w:hAnsi="Arial"/>
          <w:sz w:val="13"/>
          <w:szCs w:val="13"/>
          <w:color w:val="auto"/>
        </w:rPr>
        <w:t>Since our inception and through March 31, 2016, we have raised an aggregate of $151.6 million to fund our operations, of which $118.5 million was from the sale of preferred stock, $7.8 million was from government grants and $14.3 million was from borrowings under our credit facility and $11.0 million was through our collaborations and license agreements.</w:t>
      </w:r>
    </w:p>
    <w:p>
      <w:pPr>
        <w:spacing w:after="0" w:line="105" w:lineRule="exact"/>
        <w:rPr>
          <w:sz w:val="20"/>
          <w:szCs w:val="20"/>
          <w:color w:val="auto"/>
        </w:rPr>
      </w:pPr>
    </w:p>
    <w:p>
      <w:pPr>
        <w:ind w:right="540"/>
        <w:spacing w:after="0" w:line="319" w:lineRule="auto"/>
        <w:rPr>
          <w:sz w:val="20"/>
          <w:szCs w:val="20"/>
          <w:color w:val="auto"/>
        </w:rPr>
      </w:pPr>
      <w:r>
        <w:rPr>
          <w:rFonts w:ascii="Arial" w:cs="Arial" w:eastAsia="Arial" w:hAnsi="Arial"/>
          <w:sz w:val="14"/>
          <w:szCs w:val="14"/>
          <w:color w:val="auto"/>
        </w:rPr>
        <w:t>As of March 31, 2016, our cash and cash equivalents were $17.1 million, of which $1.5 million was held by our Russian subsidiary designated solely for use in its operations and is consolidated for financial reporting purposes. Additionally, our Russian subsidiary maintained $2.0 million in short term deposits and $0.7 million in restricted cash.</w:t>
      </w:r>
    </w:p>
    <w:p>
      <w:pPr>
        <w:spacing w:after="0" w:line="128"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In addition to our existing cash and cash equivalents, we receive research and development funding and are eligible to earn a significant amount of milestone payments under collaboration agreements. Our ability to earn these milestone payments, and the timing of achieving these milestones, is dependent upon the outcome of our research and development and regulatory activities, and is uncertain at this time. Currently, funding from research grants and payments under collaboration agreements represent our only source of committed external funds.</w:t>
      </w:r>
    </w:p>
    <w:p>
      <w:pPr>
        <w:spacing w:after="0" w:line="12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To date, we have financed our operations primarily through private placements of our preferred stock and common stock, issuance of debt securities, funding received from grants and collaborative arrangements and through borrowings under our credit facility.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Indebtedness</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August 2013, we entered into a credit facility with Oxford Finance, LLC, or Oxford, and Pacific Western Bank, as successor in interest to Square 1 Bank, as co-lenders.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40"/>
        <w:spacing w:after="0" w:line="313" w:lineRule="auto"/>
        <w:rPr>
          <w:sz w:val="20"/>
          <w:szCs w:val="20"/>
          <w:color w:val="auto"/>
        </w:rPr>
      </w:pPr>
      <w:r>
        <w:rPr>
          <w:rFonts w:ascii="Arial" w:cs="Arial" w:eastAsia="Arial" w:hAnsi="Arial"/>
          <w:sz w:val="13"/>
          <w:szCs w:val="13"/>
          <w:color w:val="auto"/>
        </w:rPr>
        <w:t>The credit facility is secured by substantially all of our personal property other than our intellectual property. The term loan under the credit facility bears interest at an annual rate equal to the greater of (i) 8.0% and (ii) the sum of (a) the 30-day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 of the total amount borrowed under the credit facility. This final payment has been recorded as a discount to the loan balance and is being amortized into interest expense over the life of the loan.</w:t>
      </w:r>
    </w:p>
    <w:p>
      <w:pPr>
        <w:spacing w:after="0" w:line="137"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The term loan is prepayable at our option in whole, but not in part, subject to a prepayment fee of 3% if the term loan is prepaid prior to the first anniversary of the December 31, 2015 borrowing date, the borrowing date, 2% if the terms loans are prepaid between the first and second anniversary of the borrowing date and 1%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were also required to issue the lenders warrants for the purchase of preferred stock equal to 4.0% of the term loan A and term loan B at each closing, and 2.5% for the additional borrowing on December 31, 2015. In connection with the term loan security and loan agreement, in August 2013, we issued a fully vested warrant to purchase 26,668 shares of our series D preferred stock, in July 2014, we issued an additional fully vested warrant to purchase 40,000 shares of our series D preferred stock, and in December 31, 2015, we issued an additional fully vested warrant to purchase 37,978 shares of our series E preferred stock. The exercise price for all warrants is $4.50 per share, and they have a ten year life from date of issuance. These are recorded at the fair market value and expensed through the income statement.</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 As of March 31, 2016, we were in compliance with the covenants under our credit facility.</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credit facility also includes events of default, the occurrence and continuation of which provide the co-lenders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4" w:name="page95"/>
    <w:bookmarkEnd w:id="9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insolvency and the insolvency of our subsidiaries, the occurrence of a material adverse event, the occurrence of any default under certain other indebtedness, and a final judgment against us in an amount greater than $100,000. As of March 31, 2016, there had been no such events of default and the lenders had not exercised their rights with respect to an event of default under the credit facility.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Plan of operations and future funding requirements</w:t>
      </w:r>
    </w:p>
    <w:p>
      <w:pPr>
        <w:spacing w:after="0" w:line="195" w:lineRule="exact"/>
        <w:rPr>
          <w:sz w:val="20"/>
          <w:szCs w:val="20"/>
          <w:color w:val="auto"/>
        </w:rPr>
      </w:pPr>
    </w:p>
    <w:p>
      <w:pPr>
        <w:ind w:left="7" w:right="160"/>
        <w:spacing w:after="0" w:line="281" w:lineRule="auto"/>
        <w:rPr>
          <w:sz w:val="20"/>
          <w:szCs w:val="20"/>
          <w:color w:val="auto"/>
        </w:rPr>
      </w:pPr>
      <w:r>
        <w:rPr>
          <w:rFonts w:ascii="Arial" w:cs="Arial" w:eastAsia="Arial" w:hAnsi="Arial"/>
          <w:sz w:val="14"/>
          <w:szCs w:val="14"/>
          <w:color w:val="auto"/>
        </w:rPr>
        <w:t>To date,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Upon the closing of this offering, we expect to incur additional costs associated with operating as a public company. We expect that we will need substantial additional funding in connection with our continuing operations. In their report on our consolidated financial statements for the years ended December 31, 2014 and 2015, our independent registered public accounting firm included an explanatory paragraph stating that we have recurring losses from operations since inception and negative cash flows from operating activities and will require additional capital to fund planned operations. These conditions raise substantial doubt about our ability to continue as a going concern.</w:t>
      </w:r>
    </w:p>
    <w:p>
      <w:pPr>
        <w:spacing w:after="0" w:line="153"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We expect that the net proceeds from this offering, together with our cash and cash equivalents as of March 31, 2016, and funding that we expect to receive under our existing collaborations will fund our operating expenses and capital expenditure requirements through at least December 31, 2017. We have based these estimates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79" w:lineRule="exact"/>
        <w:rPr>
          <w:sz w:val="20"/>
          <w:szCs w:val="20"/>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progress and results of our clinical trials of SEL-212;</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4"/>
          <w:szCs w:val="14"/>
          <w:color w:val="auto"/>
        </w:rPr>
      </w:pPr>
      <w:r>
        <w:rPr>
          <w:rFonts w:ascii="Arial" w:cs="Arial" w:eastAsia="Arial" w:hAnsi="Arial"/>
          <w:sz w:val="14"/>
          <w:szCs w:val="14"/>
          <w:color w:val="auto"/>
        </w:rPr>
        <w:t>our collaboration agreements remaining in effect, our ability to enter into additional collaboration agreements and our ability to achieve milestones under these agreements;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scope, progress, results and costs of preclinical development, laboratory testing and clinical trials for our other product candidates;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number and development requirements of other product candidates that we pursue;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timing and outcome of regulatory review of our product candidates;</w:t>
      </w:r>
    </w:p>
    <w:p>
      <w:pPr>
        <w:spacing w:after="0" w:line="209"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manufacturing, marketing, sales and distribution, for any of our product candidates for which we receive marketing approval;</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95" w:name="page96"/>
    <w:bookmarkEnd w:id="9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right="20" w:hanging="467"/>
        <w:spacing w:after="0" w:line="282" w:lineRule="auto"/>
        <w:tabs>
          <w:tab w:leader="none" w:pos="4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costs and timing of preparing, filing and prosecuting patent applications, maintaining and enforcing our intellectual property rights and defending any intellectual property-related claims;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extent to which we acquire or in-license other products and technologies.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upon completion of this offering, we will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Cash flows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is a summary of cash flows for the years ended December 31, 2014 and 2015 and the three months ending March 31, 2016 (in thousands):</w:t>
      </w:r>
    </w:p>
    <w:p>
      <w:pPr>
        <w:spacing w:after="0" w:line="195"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2014</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r>
      <w:tr>
        <w:trPr>
          <w:trHeight w:val="131"/>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60"/>
              <w:spacing w:after="0" w:line="131"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1"/>
                <w:szCs w:val="11"/>
                <w:color w:val="auto"/>
              </w:rPr>
            </w:pPr>
          </w:p>
        </w:tc>
        <w:tc>
          <w:tcPr>
            <w:tcW w:w="760" w:type="dxa"/>
            <w:vAlign w:val="bottom"/>
            <w:gridSpan w:val="2"/>
          </w:tcPr>
          <w:p>
            <w:pPr>
              <w:jc w:val="right"/>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Beginning of the period</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16,592</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32,337</w:t>
            </w:r>
          </w:p>
        </w:tc>
        <w:tc>
          <w:tcPr>
            <w:tcW w:w="140" w:type="dxa"/>
            <w:vAlign w:val="bottom"/>
            <w:shd w:val="clear" w:color="auto" w:fill="CCEEFF"/>
          </w:tcPr>
          <w:p>
            <w:pPr>
              <w:spacing w:after="0"/>
              <w:rPr>
                <w:sz w:val="16"/>
                <w:szCs w:val="16"/>
                <w:color w:val="auto"/>
              </w:rPr>
            </w:pP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used in operating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(12,686)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(22,463)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(4,898)</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(10,166)</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cash used in investing activities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(4,679)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(3,555)</w:t>
            </w:r>
          </w:p>
        </w:tc>
      </w:tr>
      <w:tr>
        <w:trPr>
          <w:trHeight w:val="185"/>
        </w:trPr>
        <w:tc>
          <w:tcPr>
            <w:tcW w:w="5620" w:type="dxa"/>
            <w:vAlign w:val="bottom"/>
          </w:tcPr>
          <w:p>
            <w:pPr>
              <w:ind w:left="160"/>
              <w:spacing w:after="0"/>
              <w:rPr>
                <w:sz w:val="20"/>
                <w:szCs w:val="20"/>
                <w:color w:val="auto"/>
              </w:rPr>
            </w:pPr>
            <w:r>
              <w:rPr>
                <w:rFonts w:ascii="Arial" w:cs="Arial" w:eastAsia="Arial" w:hAnsi="Arial"/>
                <w:sz w:val="15"/>
                <w:szCs w:val="15"/>
                <w:color w:val="auto"/>
              </w:rPr>
              <w:t>Net cash provided by (used in) financing activities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24,771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43,906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5"/>
                <w:szCs w:val="15"/>
                <w:color w:val="auto"/>
              </w:rPr>
              <w:t>(207)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(1,677)</w:t>
            </w:r>
          </w:p>
        </w:tc>
      </w:tr>
      <w:tr>
        <w:trPr>
          <w:trHeight w:val="185"/>
        </w:trPr>
        <w:tc>
          <w:tcPr>
            <w:tcW w:w="56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Effect of exchange rate changes on cash</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(3,323)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(1,019)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6"/>
                <w:szCs w:val="16"/>
                <w:color w:val="auto"/>
              </w:rPr>
            </w:pPr>
          </w:p>
        </w:tc>
      </w:tr>
      <w:tr>
        <w:trPr>
          <w:trHeight w:val="177"/>
        </w:trPr>
        <w:tc>
          <w:tcPr>
            <w:tcW w:w="5620" w:type="dxa"/>
            <w:vAlign w:val="bottom"/>
          </w:tcPr>
          <w:p>
            <w:pPr>
              <w:spacing w:after="0"/>
              <w:rPr>
                <w:sz w:val="20"/>
                <w:szCs w:val="20"/>
                <w:color w:val="auto"/>
              </w:rPr>
            </w:pPr>
            <w:r>
              <w:rPr>
                <w:rFonts w:ascii="Arial" w:cs="Arial" w:eastAsia="Arial" w:hAnsi="Arial"/>
                <w:sz w:val="15"/>
                <w:szCs w:val="15"/>
                <w:color w:val="auto"/>
              </w:rPr>
              <w:t>End of the period</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16,592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32,337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11,134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17,051</w:t>
            </w:r>
          </w:p>
        </w:tc>
        <w:tc>
          <w:tcPr>
            <w:tcW w:w="140" w:type="dxa"/>
            <w:vAlign w:val="bottom"/>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195" w:lineRule="exact"/>
        <w:rPr>
          <w:sz w:val="20"/>
          <w:szCs w:val="20"/>
          <w:color w:val="auto"/>
        </w:rPr>
      </w:pPr>
    </w:p>
    <w:p>
      <w:pPr>
        <w:jc w:val="both"/>
        <w:ind w:left="7" w:right="140"/>
        <w:spacing w:after="0" w:line="300" w:lineRule="auto"/>
        <w:rPr>
          <w:sz w:val="20"/>
          <w:szCs w:val="20"/>
          <w:color w:val="auto"/>
        </w:rPr>
      </w:pPr>
      <w:r>
        <w:rPr>
          <w:rFonts w:ascii="Arial" w:cs="Arial" w:eastAsia="Arial" w:hAnsi="Arial"/>
          <w:sz w:val="13"/>
          <w:szCs w:val="13"/>
          <w:color w:val="auto"/>
        </w:rPr>
        <w:t>Net cash used in operating activities was $4.9 million for the three months ended March 31, 2015 as compared to $10.2 million for the three months ended March 31, 2016. The increase in net cash used in operating activities of $5.3 million reflected an increase of (i) $1.7 million in net loss due to increased research and development expenses as we advanced from preclinical studies into the Phase 1 clinical trials, (ii) $2.0 million of restricted cash and other deposits, (iii) $1.0 million of receivables associated with pending receipts from the NIDA grant and</w:t>
      </w:r>
    </w:p>
    <w:p>
      <w:pPr>
        <w:ind w:left="7" w:right="340" w:hanging="7"/>
        <w:spacing w:after="0" w:line="275" w:lineRule="auto"/>
        <w:tabs>
          <w:tab w:leader="none" w:pos="263" w:val="left"/>
        </w:tabs>
        <w:numPr>
          <w:ilvl w:val="0"/>
          <w:numId w:val="59"/>
        </w:numPr>
        <w:rPr>
          <w:rFonts w:ascii="Arial" w:cs="Arial" w:eastAsia="Arial" w:hAnsi="Arial"/>
          <w:sz w:val="15"/>
          <w:szCs w:val="15"/>
          <w:color w:val="auto"/>
        </w:rPr>
      </w:pPr>
      <w:r>
        <w:rPr>
          <w:rFonts w:ascii="Arial" w:cs="Arial" w:eastAsia="Arial" w:hAnsi="Arial"/>
          <w:sz w:val="15"/>
          <w:szCs w:val="15"/>
          <w:color w:val="auto"/>
        </w:rPr>
        <w:t>$2.2 million from the net payments of accounts payable and other liabilities, offset by (a) $1.3 million of advance grant and collaboration receipts classified as deferred revenue and contingent repayable grant funding and (b) a $0.3 million decrease in other assets.</w:t>
      </w:r>
    </w:p>
    <w:p>
      <w:pPr>
        <w:spacing w:after="0" w:line="156" w:lineRule="exact"/>
        <w:rPr>
          <w:sz w:val="20"/>
          <w:szCs w:val="20"/>
          <w:color w:val="auto"/>
        </w:rPr>
      </w:pPr>
    </w:p>
    <w:p>
      <w:pPr>
        <w:ind w:left="7" w:right="600"/>
        <w:spacing w:after="0" w:line="282" w:lineRule="auto"/>
        <w:rPr>
          <w:sz w:val="20"/>
          <w:szCs w:val="20"/>
          <w:color w:val="auto"/>
        </w:rPr>
      </w:pPr>
      <w:r>
        <w:rPr>
          <w:rFonts w:ascii="Arial" w:cs="Arial" w:eastAsia="Arial" w:hAnsi="Arial"/>
          <w:sz w:val="15"/>
          <w:szCs w:val="15"/>
          <w:color w:val="auto"/>
        </w:rPr>
        <w:t>Net cash used in operating activities was $12.7 million for the year ended December 31, 2014, as compared to $22.5 million for the year ended December 31, 2015. The increase of $10.0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cash used in operating activities during the year ended December 31, 2015, was primarily related to the increased net loss position as a result of the incremental costs associated with the clinical trial.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195" w:lineRule="exact"/>
        <w:rPr>
          <w:sz w:val="20"/>
          <w:szCs w:val="20"/>
          <w:color w:val="auto"/>
        </w:rPr>
      </w:pPr>
    </w:p>
    <w:p>
      <w:pPr>
        <w:ind w:right="220"/>
        <w:spacing w:after="0" w:line="362" w:lineRule="auto"/>
        <w:rPr>
          <w:sz w:val="20"/>
          <w:szCs w:val="20"/>
          <w:color w:val="auto"/>
        </w:rPr>
      </w:pPr>
      <w:r>
        <w:rPr>
          <w:rFonts w:ascii="Arial" w:cs="Arial" w:eastAsia="Arial" w:hAnsi="Arial"/>
          <w:sz w:val="13"/>
          <w:szCs w:val="13"/>
          <w:color w:val="auto"/>
        </w:rPr>
        <w:t>Net cash used in investing activities was $0.1 million for the three months ended March 31, 2015 as compared to net cash used in investing activities of $3.6 million of the three months ended March 31, 2016. The increase in cash used for investing activities of $3.5 million was primarily caused by the purchase of $3.5 million of short term government obligations.</w:t>
      </w:r>
    </w:p>
    <w:p>
      <w:pPr>
        <w:spacing w:after="0" w:line="105"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Net cash used in investing activities was $0.2 million for the year ended December 31, 2014, as compared to net cash used in investing activities of $4.7 million for the year ended December 31, 2015. The increase in cash used for investing activities was caused by the purchase of $3.5 million of short-term investments and an additional $1.2 million of purchased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Net cash used in financing activities was $0.2 million for the three months ended March 31, 2015 as compared to $1.7 million for the three months ended March 31, 2016. The increase of $1.5 million used in financing activities is caused by the increase in deferred costs related to this initial public offering.</w:t>
      </w:r>
    </w:p>
    <w:p>
      <w:pPr>
        <w:spacing w:after="0" w:line="151"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Net cash provided by financing activities was $24.8 million for the year ended December 31, 2014, as compared to net cash provided by financing activities of $43.9 million for the year ended December 31, 2015. The increase of $19.1 million reflected the difference in proceeds from the issuance of the series E preferred stock and the convertible notes (that converted into series E preferred stock) in 2015 versus the proceeds from the issuance of series D preferred stock and our series SRN preferred stock issued in 2014.</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exchange rates on cash</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functional currency of our Russian subsidiary is the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short term investments and restricted cash at the end of the period is translated using the exchange rate as of the ending balance sheet date.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contingent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our significant contractual obligations as of March 31, 2016 (in thousands):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9"/>
        </w:trPr>
        <w:tc>
          <w:tcPr>
            <w:tcW w:w="4900" w:type="dxa"/>
            <w:vAlign w:val="bottom"/>
            <w:gridSpan w:val="3"/>
          </w:tcPr>
          <w:p>
            <w:pPr>
              <w:spacing w:after="0"/>
              <w:rPr>
                <w:sz w:val="20"/>
                <w:szCs w:val="20"/>
                <w:color w:val="auto"/>
              </w:rPr>
            </w:pPr>
            <w:r>
              <w:rPr>
                <w:rFonts w:ascii="Arial" w:cs="Arial" w:eastAsia="Arial" w:hAnsi="Arial"/>
                <w:sz w:val="12"/>
                <w:szCs w:val="12"/>
                <w:b w:val="1"/>
                <w:bCs w:val="1"/>
                <w:color w:val="auto"/>
              </w:rPr>
              <w:t>Contractual Obligations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7"/>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87"/>
              <w:spacing w:after="0"/>
              <w:rPr>
                <w:sz w:val="20"/>
                <w:szCs w:val="20"/>
                <w:color w:val="auto"/>
              </w:rPr>
            </w:pPr>
            <w:r>
              <w:rPr>
                <w:rFonts w:ascii="Arial" w:cs="Arial" w:eastAsia="Arial" w:hAnsi="Arial"/>
                <w:sz w:val="12"/>
                <w:szCs w:val="12"/>
                <w:b w:val="1"/>
                <w:bCs w:val="1"/>
                <w:color w:val="auto"/>
              </w:rPr>
              <w:t>1 year</w:t>
            </w:r>
          </w:p>
        </w:tc>
        <w:tc>
          <w:tcPr>
            <w:tcW w:w="140" w:type="dxa"/>
            <w:vAlign w:val="bottom"/>
          </w:tcPr>
          <w:p>
            <w:pPr>
              <w:spacing w:after="0"/>
              <w:rPr>
                <w:sz w:val="12"/>
                <w:szCs w:val="12"/>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1 to 3 years</w:t>
            </w:r>
          </w:p>
        </w:tc>
        <w:tc>
          <w:tcPr>
            <w:tcW w:w="140" w:type="dxa"/>
            <w:vAlign w:val="bottom"/>
          </w:tcPr>
          <w:p>
            <w:pPr>
              <w:spacing w:after="0"/>
              <w:rPr>
                <w:sz w:val="12"/>
                <w:szCs w:val="12"/>
                <w:color w:val="auto"/>
              </w:rPr>
            </w:pPr>
          </w:p>
        </w:tc>
        <w:tc>
          <w:tcPr>
            <w:tcW w:w="780" w:type="dxa"/>
            <w:vAlign w:val="bottom"/>
            <w:gridSpan w:val="2"/>
          </w:tcPr>
          <w:p>
            <w:pPr>
              <w:jc w:val="right"/>
              <w:ind w:right="5"/>
              <w:spacing w:after="0"/>
              <w:rPr>
                <w:sz w:val="20"/>
                <w:szCs w:val="20"/>
                <w:color w:val="auto"/>
              </w:rPr>
            </w:pPr>
            <w:r>
              <w:rPr>
                <w:rFonts w:ascii="Arial" w:cs="Arial" w:eastAsia="Arial" w:hAnsi="Arial"/>
                <w:sz w:val="12"/>
                <w:szCs w:val="12"/>
                <w:b w:val="1"/>
                <w:bCs w:val="1"/>
                <w:color w:val="auto"/>
              </w:rPr>
              <w:t>3 to 5 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leases(1)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1,188</w:t>
            </w:r>
          </w:p>
        </w:tc>
        <w:tc>
          <w:tcPr>
            <w:tcW w:w="36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5"/>
                <w:szCs w:val="15"/>
                <w:color w:val="auto"/>
              </w:rPr>
              <w:t>Research and development contract obligations(2)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Long term debt(3)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900" w:type="dxa"/>
            <w:vAlign w:val="bottom"/>
            <w:gridSpan w:val="3"/>
          </w:tcPr>
          <w:p>
            <w:pPr>
              <w:spacing w:after="0"/>
              <w:rPr>
                <w:sz w:val="20"/>
                <w:szCs w:val="20"/>
                <w:color w:val="auto"/>
              </w:rPr>
            </w:pPr>
            <w:r>
              <w:rPr>
                <w:rFonts w:ascii="Arial" w:cs="Arial" w:eastAsia="Arial" w:hAnsi="Arial"/>
                <w:sz w:val="15"/>
                <w:szCs w:val="15"/>
                <w:color w:val="auto"/>
              </w:rPr>
              <w:t>Total obligations</w:t>
            </w: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16,173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3,307</w:t>
            </w:r>
          </w:p>
        </w:tc>
        <w:tc>
          <w:tcPr>
            <w:tcW w:w="1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10,757</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2,109</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5"/>
                <w:szCs w:val="15"/>
                <w:color w:val="auto"/>
                <w:w w:val="79"/>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238" w:lineRule="auto"/>
        <w:tabs>
          <w:tab w:leader="none" w:pos="16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Represents future minimum lease payments under non-cancellable operating leases in effect as of March 31, 2016, including the remaining lease payments for our current facilities in Watertown, Massachusetts. The minimum lease payments above do not include common area maintenance charges, real estate taxes or any sublease payments we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97" w:name="page98"/>
    <w:bookmarkEnd w:id="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58" w:lineRule="exact"/>
        <w:rPr>
          <w:sz w:val="20"/>
          <w:szCs w:val="20"/>
          <w:color w:val="auto"/>
        </w:rPr>
      </w:pPr>
    </w:p>
    <w:p>
      <w:pPr>
        <w:ind w:left="1600" w:right="340" w:hanging="463"/>
        <w:spacing w:after="0" w:line="233" w:lineRule="auto"/>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Represents minimum annual license fees payable to universities or partners under our license agreements. Under our license agreement with the Massachusetts Institute of Technology, or MIT, milestone payments are due upon the occurrence of certain events and royalty payments commence upon our commercialization of a product. For the purposes of presenting our contractual obligations under the MIT agreement, we have assumed license payments are fully offset by royalty payments in 2020.</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Represents payments of principal and interest under our credit facility assuming $12.0 million of borrowings and no prepayments.</w:t>
      </w:r>
    </w:p>
    <w:p>
      <w:pPr>
        <w:spacing w:after="0" w:line="177"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color w:val="auto"/>
        </w:rPr>
        <w:t>The contractual obligations table does not include any potential contingent payments upon the achievement by us of specified clinical, regulatory and commercial events, as applicable, or patent prosecution or royalty payments we may be required to make under license agreements we have entered into with various universities or partners pursuant to which we have in-licensed certain intellectual property, including our license agreement with MIT. We have excluded these potential payments in the contractual obligations table because the timing and likelihood of these contingent payments are not known. See "Business—Licenses and collaborations" for additional information about these license agreements, including with respect to potential payments thereunder.</w:t>
      </w:r>
    </w:p>
    <w:p>
      <w:pPr>
        <w:spacing w:after="0" w:line="167" w:lineRule="exact"/>
        <w:rPr>
          <w:sz w:val="20"/>
          <w:szCs w:val="20"/>
          <w:color w:val="auto"/>
        </w:rPr>
      </w:pPr>
    </w:p>
    <w:p>
      <w:pPr>
        <w:jc w:val="both"/>
        <w:ind w:right="300"/>
        <w:spacing w:after="0" w:line="290" w:lineRule="auto"/>
        <w:rPr>
          <w:sz w:val="20"/>
          <w:szCs w:val="20"/>
          <w:color w:val="auto"/>
        </w:rPr>
      </w:pPr>
      <w:r>
        <w:rPr>
          <w:rFonts w:ascii="Arial" w:cs="Arial" w:eastAsia="Arial" w:hAnsi="Arial"/>
          <w:sz w:val="14"/>
          <w:szCs w:val="14"/>
          <w:color w:val="auto"/>
        </w:rPr>
        <w:t>We enter into agreements in the normal course of business with manufacturers and CROs for clinical trials, preclinical research studies and testing, manufacturing and other services and products for operating purposes. As of March 31, 2016, we had approximately $7.0 million of purchase orders under these agreements. However, these agreements generally provide for termination upon notice. As a result, we have excluded payments under these agreements because (i) the timing of these payments is uncertain and contingent upon completion of future activities and (ii) we believe that our non-cancelable obligations under these agreements are not material.</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USE OF ESTIMATES</w:t>
      </w:r>
    </w:p>
    <w:p>
      <w:pPr>
        <w:spacing w:after="0" w:line="195" w:lineRule="exact"/>
        <w:rPr>
          <w:sz w:val="20"/>
          <w:szCs w:val="20"/>
          <w:color w:val="auto"/>
        </w:rPr>
      </w:pPr>
    </w:p>
    <w:p>
      <w:pPr>
        <w:ind w:right="220"/>
        <w:spacing w:after="0" w:line="308"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3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While our significant accounting policies are more fully described in the notes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Collaborative research and development and multiple-deliverable arrangements</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We enter into collaborative arrangements for the development and commercialization of product candidates utilizing our SVP technology. The terms of these agreements have typically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multiple deliverables by us (for example, license rights, research and development services and manufacturing of clinical materials) in exchange for consideration to us of some combination of non-refundable upfront payments, research and development funding, payments based upon achievement of clinical development or other milestones, and royalties in the form of a designated percentage of product sales or profits.</w:t>
      </w:r>
    </w:p>
    <w:p>
      <w:pPr>
        <w:spacing w:after="0" w:line="15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Revenue is recognized when there is persuasive evidence that an arrangement exists, delivery has occurred, the price is fixed or determinable and collection is reasonably assured. When one or more of the revenue recognition criteria are not met, we defer the recognition of revenue until such time as all such criteria are met. Multiple-deliverable arrangements, such as development agreements, are analyzed to determine whether the deliverables can be separated or whether they must be accounted for as a single unit of accounting. When deliverables are separable, consideration received is allocated to the separate units of accounting based on the relative selling price method and the appropriate revenue recognition principles are applied to each unit.</w:t>
      </w:r>
    </w:p>
    <w:p>
      <w:pPr>
        <w:spacing w:after="0" w:line="16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determine the estimated selling price for deliverables within each agreement using vendor-specific objective evidence, or VSOE, of selling price, if available, third-party evidence, or TPE, of selling price if VSOE is not available, or best estimate of selling price if neither VSOE nor TPE is available. Determining the best estimate of selling price for a deliverable requires significant judgment. We have used our best estimate of selling price to estimate the selling price for licenses related to our proprietary technology, since we do not have VSOE or TPE of selling price for these deliverables. In those circumstances, we consider market conditions as well as entity-specific factors, including those factors contemplated in negotiating the agreements, estimated development costs, probability of success and the time needed to commercialize a product candidate pursuant to the license. In validating the best estimate of selling price, we evaluate whether changes in the key assumptions used to determine the best estimate of selling price will have a significant effect on the allocation of consideration between multiple deliverables.</w:t>
      </w:r>
    </w:p>
    <w:p>
      <w:pPr>
        <w:spacing w:after="0" w:line="169"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We may receive upfront payments when licensing our intellectual property in conjunction with a research and development agreement. When management believes the license to our intellectual property does not have stand-alone value from the other deliverables to be provided in the arrangement, we generally recognize revenue attributed to the license over the contractual or estimated performance period. When management believes the license to our intellectual property has stand-alone value, we generally recognize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we record in future periods. We have not experienced any significant adjustments to our estimates to date.</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Payments or reimbursements resulting from our research and development efforts are recognized and presented on a gross basis as the services are performed. The rationale for presenting on a gross basis is that we are the principal for such efforts, and as long as there is persuasive evidence of an arrangement, the fee is fixed or determinable and collection of the related amount is reasonably assured. Grant agreements generally provide for the reimbursement of direct costs, including salaries, benefits and supplies, as well as indirect costs.</w:t>
      </w:r>
    </w:p>
    <w:p>
      <w:pPr>
        <w:spacing w:after="0" w:line="144"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At the inception of each agreement that includes milestones payments, we evaluate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99" w:name="page100"/>
    <w:bookmarkEnd w:id="9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milestones. Milestones that are not considered substantive are accounted for as license payments and recognized over the remaining period of performance.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Deferred revenue</w:t>
      </w:r>
    </w:p>
    <w:p>
      <w:pPr>
        <w:spacing w:after="0" w:line="195" w:lineRule="exact"/>
        <w:rPr>
          <w:sz w:val="20"/>
          <w:szCs w:val="20"/>
          <w:color w:val="auto"/>
        </w:rPr>
      </w:pPr>
    </w:p>
    <w:p>
      <w:pPr>
        <w:ind w:left="7" w:right="160"/>
        <w:spacing w:after="0" w:line="282" w:lineRule="auto"/>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 Amounts not expected to be recognized within one year following the balance sheet date are classified as non-current deferred revenue.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Accrued expenses</w:t>
      </w:r>
    </w:p>
    <w:p>
      <w:pPr>
        <w:spacing w:after="0" w:line="195"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part of the process of preparing our consolidated financial statements, we are required to estimate our accrued research and development expenses. This process involves reviewing contracts and purchase orders, reviewing the terms of our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161" w:lineRule="exact"/>
        <w:rPr>
          <w:sz w:val="20"/>
          <w:szCs w:val="20"/>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CROs and other third parties;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vendors in connection with preclinical or clinical development activities;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2"/>
        </w:numPr>
        <w:rPr>
          <w:rFonts w:ascii="Arial" w:cs="Arial" w:eastAsia="Arial" w:hAnsi="Arial"/>
          <w:sz w:val="15"/>
          <w:szCs w:val="15"/>
          <w:color w:val="auto"/>
        </w:rPr>
      </w:pPr>
      <w:r>
        <w:rPr>
          <w:rFonts w:ascii="Arial" w:cs="Arial" w:eastAsia="Arial" w:hAnsi="Arial"/>
          <w:sz w:val="15"/>
          <w:szCs w:val="15"/>
          <w:color w:val="auto"/>
        </w:rPr>
        <w:t>fees payable to vendors related to product manufacturing, development and distribution of clinical supplies.</w:t>
      </w:r>
    </w:p>
    <w:p>
      <w:pPr>
        <w:spacing w:after="0" w:line="198"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We have not experienced any significant adjustments to our estimates to date.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60"/>
        <w:spacing w:after="0" w:line="2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and restricted stock. We account for our stock-based awards in accordance with the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or ASC 718. We account for stock-based awards to non-employees in accordance with ASC 505-50, </w:t>
      </w:r>
      <w:r>
        <w:rPr>
          <w:rFonts w:ascii="Arial" w:cs="Arial" w:eastAsia="Arial" w:hAnsi="Arial"/>
          <w:sz w:val="15"/>
          <w:szCs w:val="15"/>
          <w:i w:val="1"/>
          <w:iCs w:val="1"/>
          <w:color w:val="auto"/>
        </w:rPr>
        <w:t>Equity-Based Payments to Non-Employees</w:t>
      </w:r>
      <w:r>
        <w:rPr>
          <w:rFonts w:ascii="Arial" w:cs="Arial" w:eastAsia="Arial" w:hAnsi="Arial"/>
          <w:sz w:val="15"/>
          <w:szCs w:val="15"/>
          <w:color w:val="auto"/>
        </w:rPr>
        <w:t>, or ASC 505-50.</w:t>
      </w:r>
    </w:p>
    <w:p>
      <w:pPr>
        <w:spacing w:after="0" w:line="159" w:lineRule="exact"/>
        <w:rPr>
          <w:sz w:val="20"/>
          <w:szCs w:val="20"/>
          <w:color w:val="auto"/>
        </w:rPr>
      </w:pPr>
    </w:p>
    <w:p>
      <w:pPr>
        <w:ind w:left="7" w:right="60"/>
        <w:spacing w:after="0" w:line="297" w:lineRule="auto"/>
        <w:rPr>
          <w:sz w:val="20"/>
          <w:szCs w:val="20"/>
          <w:color w:val="auto"/>
        </w:rPr>
      </w:pPr>
      <w:r>
        <w:rPr>
          <w:rFonts w:ascii="Arial" w:cs="Arial" w:eastAsia="Arial" w:hAnsi="Arial"/>
          <w:sz w:val="14"/>
          <w:szCs w:val="14"/>
          <w:color w:val="auto"/>
        </w:rPr>
        <w:t>Pursuant to ASC 718, we measure stock options and other stock-based awards granted to employees and directors based on the fair value on the date of grant and recognize the corresponding compensation expense of those awards, net of estimated forfeitures, over the requisite service period, which is generally the vesting period of the respective award. Generally, we issue stock options and restricted stock awards with only service-based vesting conditions and record the expense for these awards using the straight-line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0" w:name="page101"/>
    <w:bookmarkEnd w:id="10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Pursuant to ASC 505-50, 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62"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We estimate the fair value of each stock option grant using the Black-Scholes option-pricing model, which uses as inputs the fair value of our common stock and assumptions we make for the volatility of our common stock, the expected terms of our stock options, the risk-free interest rate for a period that approximates the expected term of our stock options and our expected dividend yield.</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Stock-based compensation for employees and non-employees were classified in the consolidated statements of operations and comprehensive loss as outlined below (in thousands):</w:t>
      </w:r>
    </w:p>
    <w:p>
      <w:pPr>
        <w:spacing w:after="0" w:line="207"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4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3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200"/>
        <w:spacing w:after="0" w:line="270" w:lineRule="auto"/>
        <w:rPr>
          <w:sz w:val="20"/>
          <w:szCs w:val="20"/>
          <w:color w:val="auto"/>
        </w:rPr>
      </w:pPr>
      <w:r>
        <w:rPr>
          <w:rFonts w:ascii="Arial" w:cs="Arial" w:eastAsia="Arial" w:hAnsi="Arial"/>
          <w:sz w:val="15"/>
          <w:szCs w:val="15"/>
          <w:color w:val="auto"/>
        </w:rPr>
        <w:t>As of March 31, 2016, we had $3.0 million of total unrecognized compensation expense, net of related forfeiture estimates, which is expected to be recognized over a weighted average remaining vesting period of approximately 3.0 years. We expect the impact of our stock-based compensation expense for stock options and restricted stock granted to employees and non-employees to grow in future periods due to the potential increases in the value of our common stock and headcount.</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Common stock valuation</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 xml:space="preserve">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or the Practice Aid.</w:t>
      </w:r>
    </w:p>
    <w:p>
      <w:pPr>
        <w:spacing w:after="0" w:line="14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62" w:lineRule="exact"/>
        <w:rPr>
          <w:sz w:val="20"/>
          <w:szCs w:val="20"/>
          <w:color w:val="auto"/>
        </w:rPr>
      </w:pPr>
    </w:p>
    <w:p>
      <w:pPr>
        <w:ind w:left="467" w:right="180" w:hanging="467"/>
        <w:spacing w:after="0" w:line="319" w:lineRule="auto"/>
        <w:tabs>
          <w:tab w:leader="none" w:pos="467" w:val="left"/>
        </w:tabs>
        <w:numPr>
          <w:ilvl w:val="0"/>
          <w:numId w:val="63"/>
        </w:numPr>
        <w:rPr>
          <w:rFonts w:ascii="Arial" w:cs="Arial" w:eastAsia="Arial" w:hAnsi="Arial"/>
          <w:sz w:val="14"/>
          <w:szCs w:val="14"/>
          <w:color w:val="auto"/>
        </w:rPr>
      </w:pPr>
      <w:r>
        <w:rPr>
          <w:rFonts w:ascii="Arial" w:cs="Arial" w:eastAsia="Arial" w:hAnsi="Arial"/>
          <w:sz w:val="14"/>
          <w:szCs w:val="14"/>
          <w:i w:val="1"/>
          <w:iCs w:val="1"/>
          <w:color w:val="auto"/>
        </w:rPr>
        <w:t xml:space="preserve">Option Pricing Method. </w:t>
      </w:r>
      <w:r>
        <w:rPr>
          <w:rFonts w:ascii="Arial" w:cs="Arial" w:eastAsia="Arial" w:hAnsi="Arial"/>
          <w:sz w:val="14"/>
          <w:szCs w:val="14"/>
          <w:color w:val="auto"/>
        </w:rPr>
        <w:t>Under the option pricing method, or OPM, shares are valued by creating a series of call options with exercise prices based on the liquidation preferences</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conversion terms of each equity class. The estimated fair values of the preferred and common stock are inferred by analyzing these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6630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01" w:name="page102"/>
    <w:bookmarkEnd w:id="10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jc w:val="both"/>
        <w:ind w:left="467" w:right="80" w:hanging="467"/>
        <w:spacing w:after="0" w:line="270" w:lineRule="auto"/>
        <w:tabs>
          <w:tab w:leader="none" w:pos="467" w:val="left"/>
        </w:tabs>
        <w:numPr>
          <w:ilvl w:val="0"/>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Probability-Weighted Expected Return Method. </w:t>
      </w:r>
      <w:r>
        <w:rPr>
          <w:rFonts w:ascii="Arial" w:cs="Arial" w:eastAsia="Arial" w:hAnsi="Arial"/>
          <w:sz w:val="15"/>
          <w:szCs w:val="15"/>
          <w:color w:val="auto"/>
        </w:rPr>
        <w:t>The probability-weighted expected return method, or PWERM, is a scenario-based analysis that estimates value per share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probability-weighted present value of expected future investment returns, considering each of the possible outcomes available to us, as well as the economic and control rights of each share class.</w:t>
      </w:r>
    </w:p>
    <w:p>
      <w:pPr>
        <w:spacing w:after="0" w:line="159"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Given the range of possible financing and exit events that existed at the time we completed our valuations, our board of directors concluded the PWERM to be the most appropriate for purposes of valuing our common stock given our expected time to a liquidity event, subjectivity with regards to estimating possible proceeds from a future liquidation event and subjectivity with regards to the ability to estimate the probability of an initial public offering, sale or other financing events. The PWERM explicitly considers the various terms of our investor related documents, including various rights of each class of our stock, at the date of the liquidity event when those rights will either be executed or abandoned.</w:t>
      </w:r>
    </w:p>
    <w:p>
      <w:pPr>
        <w:spacing w:after="0" w:line="148" w:lineRule="exact"/>
        <w:rPr>
          <w:sz w:val="20"/>
          <w:szCs w:val="20"/>
          <w:color w:val="auto"/>
        </w:rPr>
      </w:pPr>
    </w:p>
    <w:p>
      <w:pPr>
        <w:ind w:left="7" w:right="60"/>
        <w:spacing w:after="0" w:line="263" w:lineRule="auto"/>
        <w:rPr>
          <w:sz w:val="20"/>
          <w:szCs w:val="20"/>
          <w:color w:val="auto"/>
        </w:rPr>
      </w:pPr>
      <w:r>
        <w:rPr>
          <w:rFonts w:ascii="Arial" w:cs="Arial" w:eastAsia="Arial" w:hAnsi="Arial"/>
          <w:sz w:val="15"/>
          <w:szCs w:val="15"/>
          <w:color w:val="auto"/>
        </w:rPr>
        <w:t>We obtained valuations of our common stock on February 28, 2014, November 30, 2014, September 30, 2015, December 31, 2015, January 31, 2016, March 31, 2016 and April 30, 2016. All valuations utilized the PWERM methodology to allocate the enterprise value to the common stock. The fair value of our common stock was estimated using a probability-weighted analysis of the present value of the returns afforded to common stockholders under several future stockholder exit or liquidity event scenarios, either through (1) a near-term and longer-term initial public offering, or IPO, scenario; (2) a sale of our company at values deemed to be low, medium and high; or (3) a liquidation event where the value is well below the preferred stock preference levels.</w:t>
      </w:r>
    </w:p>
    <w:p>
      <w:pPr>
        <w:spacing w:after="0" w:line="167" w:lineRule="exact"/>
        <w:rPr>
          <w:sz w:val="20"/>
          <w:szCs w:val="20"/>
          <w:color w:val="auto"/>
        </w:rPr>
      </w:pPr>
    </w:p>
    <w:p>
      <w:pPr>
        <w:ind w:left="7" w:right="160"/>
        <w:spacing w:after="0" w:line="261" w:lineRule="auto"/>
        <w:rPr>
          <w:sz w:val="20"/>
          <w:szCs w:val="20"/>
          <w:color w:val="auto"/>
        </w:rPr>
      </w:pPr>
      <w:r>
        <w:rPr>
          <w:rFonts w:ascii="Arial" w:cs="Arial" w:eastAsia="Arial" w:hAnsi="Arial"/>
          <w:sz w:val="15"/>
          <w:szCs w:val="15"/>
          <w:color w:val="auto"/>
        </w:rPr>
        <w:t>The selected enterprise value in the near-term IPO scenario was based on the pre-money market data for IPOs between the median and the mean of the observed range given reasonably "like" stage companies. The selected aggregate enterprise value in the longer-term scenario was also based on the pre-money market data for IPOs of equivalent stage biotechnology companies, but with added consideration that the market may not be as robust in the near-term initial public offering time frame and we will have completed our proof-of-concept with positive findings. The selected enterprise values utilized for each of the three scenarios in the sale scenario considered management's best estimates considering program accomplishments towards one or more indications being in the clinic, the available cash runway and additional preclinical data from our other product candidates. In the liquidation scenario at a price below liquidation preference, the valuations assumed a value that would not allow the preferred stockholders to realize their full liquidation preference resulting in no value to common stockholders.</w:t>
      </w:r>
    </w:p>
    <w:p>
      <w:pPr>
        <w:spacing w:after="0" w:line="169" w:lineRule="exact"/>
        <w:rPr>
          <w:sz w:val="20"/>
          <w:szCs w:val="20"/>
          <w:color w:val="auto"/>
        </w:rPr>
      </w:pPr>
    </w:p>
    <w:p>
      <w:pPr>
        <w:ind w:left="7" w:right="160"/>
        <w:spacing w:after="0" w:line="284" w:lineRule="auto"/>
        <w:rPr>
          <w:sz w:val="20"/>
          <w:szCs w:val="20"/>
          <w:color w:val="auto"/>
        </w:rPr>
      </w:pPr>
      <w:r>
        <w:rPr>
          <w:rFonts w:ascii="Arial" w:cs="Arial" w:eastAsia="Arial" w:hAnsi="Arial"/>
          <w:sz w:val="14"/>
          <w:szCs w:val="14"/>
          <w:color w:val="auto"/>
        </w:rPr>
        <w:t>Under all the exit scenarios considered in the PWERM, the fair value of our common stock was calculated using the estimated future enterprise valuations and a risk-adjusted discount rate based on the inherent risk of a hypothetical investment in our common stock, and a discount for lack of marketability. The risk-adjusted discount rate was based on consideration of the weighted average cost of capital, or WACC, for comparable biotechnology companies adjusted for company-specific risk factors, the venture capital rates of return and an analysis of other quantitative and qualitative factors considered pertinent to estimating the discount rate. We corroborated the discount based on the value of a put option compared to the value of common stock using Black-Scholes. We also considered the rights and privileges of our preferred stock as compared to our common stock, including anti-dilution protection, redemption rights, protective provisions in our certificate of incorporation and rights to participate in future rounds of financing.</w:t>
      </w:r>
    </w:p>
    <w:p>
      <w:pPr>
        <w:spacing w:after="0" w:line="154"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We performed these valuations, with the assistance of a third-party valuation specialist, on February 28, 2014, November 30, 2014, September 30, 2015, December 31, 2015, January 31, 2016, March 31, 2016 and April 30, 2016. The resulting estimated fair value of our common stock as of April 30, 2016 was $8.97, March 31, 2016 was $8.15, January 31, 2016 was $7.02,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2015 was $6.79, September 30, 2015 was $6.40, November 30, 2014 was $9.36 and February 28, 2014 was $8.97 per share. The changes in the assumptions used for the September 2015 valuation as compared to the November 2014 valuation reflected our progress towards proof of scientific concept and resulting technology advancement, the decision to advance towards an IPO, and the offering value of our series E preferred stock financing. This decrease in per share value was primarily due to then-current valuations for biotechnology companies, capital market conditions for biotechnology companies and the terms of our recent series E preferred stock financing. The valuations performed as of January 31, 2016 and December 31, 2015, as compared to September 30, 2015, reflected only the advancement of time between valuations towards the future stockholder exit or liquidity event scenarios. As there were no new significant clinical data, financial events or other changes in the business during that period, management believes the change in valuation is attributable to time progression. The valuations performed for April 30, 2016 and March 31, 2016 included consideration for the continued advancement of time towards an IPO in the second quarter of 2016, the apparent stabilization of the capital markets, the initial results of our Phase 1b clinical trial and analysis of the valuations for other biotechnology companies.</w:t>
      </w:r>
    </w:p>
    <w:p>
      <w:pPr>
        <w:spacing w:after="0" w:line="154"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equity-based compensation could be materially different.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Following the closing of this offering, the fair value of our common stock will be determined based on the quoted market price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 option grants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The following table summarizes by grant date the number of shares subject to options granted since January 1, 2014, the per share exercise price of the options, the fair value of common stock underlying the options on date of grant and the per share estimated fair value of the options: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common shares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8"/>
              <w:spacing w:after="0"/>
              <w:rPr>
                <w:sz w:val="20"/>
                <w:szCs w:val="20"/>
                <w:color w:val="auto"/>
              </w:rPr>
            </w:pPr>
            <w:r>
              <w:rPr>
                <w:rFonts w:ascii="Arial" w:cs="Arial" w:eastAsia="Arial" w:hAnsi="Arial"/>
                <w:sz w:val="12"/>
                <w:szCs w:val="12"/>
                <w:b w:val="1"/>
                <w:bCs w:val="1"/>
                <w:color w:val="auto"/>
              </w:rPr>
              <w:t>Fair value of</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Per share</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 price</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common stock</w:t>
            </w:r>
          </w:p>
        </w:tc>
        <w:tc>
          <w:tcPr>
            <w:tcW w:w="9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rPr>
              <w:t>estimated</w:t>
            </w: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080" w:type="dxa"/>
            <w:vAlign w:val="bottom"/>
            <w:gridSpan w:val="2"/>
          </w:tcPr>
          <w:p>
            <w:pPr>
              <w:jc w:val="center"/>
              <w:spacing w:after="0"/>
              <w:rPr>
                <w:sz w:val="20"/>
                <w:szCs w:val="20"/>
                <w:color w:val="auto"/>
              </w:rPr>
            </w:pPr>
            <w:r>
              <w:rPr>
                <w:rFonts w:ascii="Arial" w:cs="Arial" w:eastAsia="Arial" w:hAnsi="Arial"/>
                <w:sz w:val="12"/>
                <w:szCs w:val="12"/>
                <w:b w:val="1"/>
                <w:bCs w:val="1"/>
                <w:color w:val="auto"/>
              </w:rPr>
              <w:t>per common</w:t>
            </w:r>
          </w:p>
        </w:tc>
        <w:tc>
          <w:tcPr>
            <w:tcW w:w="140" w:type="dxa"/>
            <w:vAlign w:val="bottom"/>
          </w:tcPr>
          <w:p>
            <w:pPr>
              <w:spacing w:after="0"/>
              <w:rPr>
                <w:sz w:val="12"/>
                <w:szCs w:val="12"/>
                <w:color w:val="auto"/>
              </w:rPr>
            </w:pPr>
          </w:p>
        </w:tc>
        <w:tc>
          <w:tcPr>
            <w:tcW w:w="940" w:type="dxa"/>
            <w:vAlign w:val="bottom"/>
          </w:tcPr>
          <w:p>
            <w:pPr>
              <w:jc w:val="center"/>
              <w:ind w:right="48"/>
              <w:spacing w:after="0"/>
              <w:rPr>
                <w:sz w:val="20"/>
                <w:szCs w:val="20"/>
                <w:color w:val="auto"/>
              </w:rPr>
            </w:pPr>
            <w:r>
              <w:rPr>
                <w:rFonts w:ascii="Arial" w:cs="Arial" w:eastAsia="Arial" w:hAnsi="Arial"/>
                <w:sz w:val="12"/>
                <w:szCs w:val="12"/>
                <w:b w:val="1"/>
                <w:bCs w:val="1"/>
                <w:color w:val="auto"/>
              </w:rPr>
              <w:t>per share on</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fair value</w:t>
            </w:r>
          </w:p>
        </w:tc>
      </w:tr>
      <w:tr>
        <w:trPr>
          <w:trHeight w:val="167"/>
        </w:trPr>
        <w:tc>
          <w:tcPr>
            <w:tcW w:w="5100" w:type="dxa"/>
            <w:vAlign w:val="bottom"/>
            <w:gridSpan w:val="3"/>
          </w:tcPr>
          <w:p>
            <w:pPr>
              <w:spacing w:after="0"/>
              <w:rPr>
                <w:sz w:val="20"/>
                <w:szCs w:val="20"/>
                <w:color w:val="auto"/>
              </w:rPr>
            </w:pPr>
            <w:r>
              <w:rPr>
                <w:rFonts w:ascii="Arial" w:cs="Arial" w:eastAsia="Arial" w:hAnsi="Arial"/>
                <w:sz w:val="12"/>
                <w:szCs w:val="12"/>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granted</w:t>
            </w:r>
          </w:p>
        </w:tc>
        <w:tc>
          <w:tcPr>
            <w:tcW w:w="260" w:type="dxa"/>
            <w:vAlign w:val="bottom"/>
          </w:tcPr>
          <w:p>
            <w:pPr>
              <w:spacing w:after="0"/>
              <w:rPr>
                <w:sz w:val="14"/>
                <w:szCs w:val="14"/>
                <w:color w:val="auto"/>
              </w:rPr>
            </w:pPr>
          </w:p>
        </w:tc>
        <w:tc>
          <w:tcPr>
            <w:tcW w:w="820" w:type="dxa"/>
            <w:vAlign w:val="bottom"/>
          </w:tcPr>
          <w:p>
            <w:pPr>
              <w:jc w:val="center"/>
              <w:ind w:right="146"/>
              <w:spacing w:after="0"/>
              <w:rPr>
                <w:sz w:val="20"/>
                <w:szCs w:val="20"/>
                <w:color w:val="auto"/>
              </w:rPr>
            </w:pPr>
            <w:r>
              <w:rPr>
                <w:rFonts w:ascii="Arial" w:cs="Arial" w:eastAsia="Arial" w:hAnsi="Arial"/>
                <w:sz w:val="12"/>
                <w:szCs w:val="12"/>
                <w:b w:val="1"/>
                <w:bCs w:val="1"/>
                <w:color w:val="auto"/>
              </w:rPr>
              <w:t>share(1)</w:t>
            </w:r>
          </w:p>
        </w:tc>
        <w:tc>
          <w:tcPr>
            <w:tcW w:w="14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Arial" w:cs="Arial" w:eastAsia="Arial" w:hAnsi="Arial"/>
                <w:sz w:val="12"/>
                <w:szCs w:val="12"/>
                <w:b w:val="1"/>
                <w:bCs w:val="1"/>
                <w:color w:val="auto"/>
              </w:rPr>
              <w:t>grant date(2)</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of options</w:t>
            </w:r>
          </w:p>
        </w:tc>
      </w:tr>
      <w:tr>
        <w:trPr>
          <w:trHeight w:val="182"/>
        </w:trPr>
        <w:tc>
          <w:tcPr>
            <w:tcW w:w="20" w:type="dxa"/>
            <w:vAlign w:val="bottom"/>
          </w:tcPr>
          <w:p>
            <w:pPr>
              <w:spacing w:after="0"/>
              <w:rPr>
                <w:sz w:val="15"/>
                <w:szCs w:val="15"/>
                <w:color w:val="auto"/>
              </w:rPr>
            </w:pPr>
          </w:p>
        </w:tc>
        <w:tc>
          <w:tcPr>
            <w:tcW w:w="5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April 8, 2014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152,820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23, 2014</w:t>
            </w:r>
          </w:p>
        </w:tc>
        <w:tc>
          <w:tcPr>
            <w:tcW w:w="1000" w:type="dxa"/>
            <w:vAlign w:val="bottom"/>
          </w:tcPr>
          <w:p>
            <w:pPr>
              <w:jc w:val="right"/>
              <w:spacing w:after="0"/>
              <w:rPr>
                <w:sz w:val="20"/>
                <w:szCs w:val="20"/>
                <w:color w:val="auto"/>
              </w:rPr>
            </w:pPr>
            <w:r>
              <w:rPr>
                <w:rFonts w:ascii="Arial" w:cs="Arial" w:eastAsia="Arial" w:hAnsi="Arial"/>
                <w:sz w:val="15"/>
                <w:szCs w:val="15"/>
                <w:color w:val="auto"/>
              </w:rPr>
              <w:t>20,512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8.97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6.37</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September 9, 2014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February 6,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57,692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7.14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February 21,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April 7, 2015</w:t>
            </w:r>
          </w:p>
        </w:tc>
        <w:tc>
          <w:tcPr>
            <w:tcW w:w="1000" w:type="dxa"/>
            <w:vAlign w:val="bottom"/>
          </w:tcPr>
          <w:p>
            <w:pPr>
              <w:jc w:val="right"/>
              <w:spacing w:after="0"/>
              <w:rPr>
                <w:sz w:val="20"/>
                <w:szCs w:val="20"/>
                <w:color w:val="auto"/>
              </w:rPr>
            </w:pPr>
            <w:r>
              <w:rPr>
                <w:rFonts w:ascii="Arial" w:cs="Arial" w:eastAsia="Arial" w:hAnsi="Arial"/>
                <w:sz w:val="15"/>
                <w:szCs w:val="15"/>
                <w:color w:val="auto"/>
              </w:rPr>
              <w:t>5,128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7.06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June 12,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September 8, 2015</w:t>
            </w:r>
          </w:p>
        </w:tc>
        <w:tc>
          <w:tcPr>
            <w:tcW w:w="1000" w:type="dxa"/>
            <w:vAlign w:val="bottom"/>
          </w:tcPr>
          <w:p>
            <w:pPr>
              <w:jc w:val="right"/>
              <w:spacing w:after="0"/>
              <w:rPr>
                <w:sz w:val="20"/>
                <w:szCs w:val="20"/>
                <w:color w:val="auto"/>
              </w:rPr>
            </w:pPr>
            <w:r>
              <w:rPr>
                <w:rFonts w:ascii="Arial" w:cs="Arial" w:eastAsia="Arial" w:hAnsi="Arial"/>
                <w:sz w:val="15"/>
                <w:szCs w:val="15"/>
                <w:color w:val="auto"/>
              </w:rPr>
              <w:t>115,384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6.40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3.78</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December 4, 2015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315,320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rPr>
              <w:t>March 9, 2016</w:t>
            </w:r>
          </w:p>
        </w:tc>
        <w:tc>
          <w:tcPr>
            <w:tcW w:w="1000" w:type="dxa"/>
            <w:vAlign w:val="bottom"/>
          </w:tcPr>
          <w:p>
            <w:pPr>
              <w:jc w:val="right"/>
              <w:spacing w:after="0"/>
              <w:rPr>
                <w:sz w:val="20"/>
                <w:szCs w:val="20"/>
                <w:color w:val="auto"/>
              </w:rPr>
            </w:pPr>
            <w:r>
              <w:rPr>
                <w:rFonts w:ascii="Arial" w:cs="Arial" w:eastAsia="Arial" w:hAnsi="Arial"/>
                <w:sz w:val="15"/>
                <w:szCs w:val="15"/>
                <w:color w:val="auto"/>
              </w:rPr>
              <w:t>171,794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7.02</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7.41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5.69</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April 5, 2016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926,085</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right="240" w:hanging="463"/>
        <w:spacing w:after="0" w:line="238" w:lineRule="auto"/>
        <w:tabs>
          <w:tab w:leader="none" w:pos="16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Our board of directors determined at the time of grant of the stock options that the exercise price was based upon the fair value of our common stock calculated in the most recent valuation as of February 28, 2014, November 30, 2014, September 30, 2015, December 31, 2015, January 31, 2016 or March 31, 2016,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3" w:name="page104"/>
    <w:bookmarkEnd w:id="10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7" w:right="20" w:hanging="463"/>
        <w:spacing w:after="0" w:line="288" w:lineRule="auto"/>
        <w:tabs>
          <w:tab w:leader="none" w:pos="1607" w:val="left"/>
        </w:tabs>
        <w:numPr>
          <w:ilvl w:val="0"/>
          <w:numId w:val="66"/>
        </w:numPr>
        <w:rPr>
          <w:rFonts w:ascii="Arial" w:cs="Arial" w:eastAsia="Arial" w:hAnsi="Arial"/>
          <w:sz w:val="10"/>
          <w:szCs w:val="10"/>
          <w:color w:val="auto"/>
        </w:rPr>
      </w:pPr>
      <w:r>
        <w:rPr>
          <w:rFonts w:ascii="Arial" w:cs="Arial" w:eastAsia="Arial" w:hAnsi="Arial"/>
          <w:sz w:val="10"/>
          <w:szCs w:val="10"/>
          <w:color w:val="auto"/>
        </w:rPr>
        <w:t>As described below, the fair value of common stock at the date of these grants was adjusted to recognize the decline in the per share valuation for the period between the November 30, 2014 and the December 31, 2015 valuations. The adjustments are made based on a reassessment of the events occurring between the two valuations, such as the value paid for the most recent venture funding, and the determination of the time in which the pricing of the funding would be known. The fair value of common stock per share on the March 9, 2016 grant date was based on the valuation performed as of January 31, 2016, and the fair value of the common stock per share on the April 5, 2016 grant date was based on the valuation performed as of March 31, 2016.</w:t>
      </w:r>
    </w:p>
    <w:p>
      <w:pPr>
        <w:spacing w:after="0" w:line="145" w:lineRule="exact"/>
        <w:rPr>
          <w:sz w:val="20"/>
          <w:szCs w:val="20"/>
          <w:color w:val="auto"/>
        </w:rPr>
      </w:pPr>
    </w:p>
    <w:p>
      <w:pPr>
        <w:ind w:left="7" w:right="40"/>
        <w:spacing w:after="0" w:line="284" w:lineRule="auto"/>
        <w:rPr>
          <w:sz w:val="20"/>
          <w:szCs w:val="20"/>
          <w:color w:val="auto"/>
        </w:rPr>
      </w:pPr>
      <w:r>
        <w:rPr>
          <w:rFonts w:ascii="Arial" w:cs="Arial" w:eastAsia="Arial" w:hAnsi="Arial"/>
          <w:sz w:val="14"/>
          <w:szCs w:val="14"/>
          <w:color w:val="auto"/>
        </w:rPr>
        <w:t>In the course of preparing for this offering, on January 31, 2016 and March 31, 2016, we performed a fair value assessment and concluded that the fair value of our common stock underlying the stock options we granted between April 8, 2014 and April 5, 2016 was between $6.40 and $9.36 per share for accounting purposes. These reassessed values, which we applied to determine the fair values of the option grants in determining the stock-based compensation expense for accounting purposes, were based in part upon the valuation of our common stock as of January 31, 2016 and March 31, 2016, performed with the assistance of a third-party specialist, taking into account an increased probability of executing a successful IPO during the first half of 2016, the recent IPO valuations for early-stage biotechnology companies and the probability of a successful result in our Phase 1/2 clinical trials of SEL-212. These revised common stock valuations were performed using the PWERM method noted above.</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Initial public offering</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In consultation with the underwriters for this offering, we determined the estimated price range for this offering, as set forth on the cover page of this prospectus. The midpoint of the price range is $15.00 per share. In comparison, our estimate of the fair value of our common stock was $8.97 per share as of the April 30, 2016 valuation. We note that, as is typical with IPOs, the estimated price range for this offering was not derived using a formal determination of fair value, but was determined by negotiation between us and the underwriters. Among the factors that were considered in setting this range were the following:</w:t>
      </w:r>
    </w:p>
    <w:p>
      <w:pPr>
        <w:spacing w:after="0" w:line="173" w:lineRule="exact"/>
        <w:rPr>
          <w:sz w:val="20"/>
          <w:szCs w:val="20"/>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analysis of the typical valuation ranges seen in recent IPO for companies in our industry;</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 the recent market prices of, and the demand for, publicly traded common stock of generally comparable companies;</w:t>
      </w:r>
    </w:p>
    <w:p>
      <w:pPr>
        <w:spacing w:after="0" w:line="221" w:lineRule="exact"/>
        <w:rPr>
          <w:rFonts w:ascii="Arial" w:cs="Arial" w:eastAsia="Arial" w:hAnsi="Arial"/>
          <w:sz w:val="14"/>
          <w:szCs w:val="14"/>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assumption that there would be a receptive public trading market for clinical and pre-commercial biotechnology companies such as us;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assumption that there would be sufficient demand for our common stock to support an offering of the size contemplated by this prospectus.</w:t>
      </w:r>
    </w:p>
    <w:p>
      <w:pPr>
        <w:spacing w:after="0" w:line="198" w:lineRule="exact"/>
        <w:rPr>
          <w:sz w:val="20"/>
          <w:szCs w:val="20"/>
          <w:color w:val="auto"/>
        </w:rPr>
      </w:pPr>
    </w:p>
    <w:p>
      <w:pPr>
        <w:ind w:left="7" w:right="120"/>
        <w:spacing w:after="0" w:line="313" w:lineRule="auto"/>
        <w:rPr>
          <w:sz w:val="20"/>
          <w:szCs w:val="20"/>
          <w:color w:val="auto"/>
        </w:rPr>
      </w:pPr>
      <w:r>
        <w:rPr>
          <w:rFonts w:ascii="Arial" w:cs="Arial" w:eastAsia="Arial" w:hAnsi="Arial"/>
          <w:sz w:val="13"/>
          <w:szCs w:val="13"/>
          <w:color w:val="auto"/>
        </w:rPr>
        <w:t>In addition to these factors, we believe that the difference between the fair value of our common stock as of April 30, 2016 and the midpoint of the price range for this offering is primarily the result of our receipt in late May and early June 2016 of positive data from our Phase 1b clinical trial in respect of the safety and tolerability of our lead product candidate, SEL-212. See "Business—Our antigen-specific tolerance program SEL-212 for the treatment of refractory and chronic tophaceous gout-clinical development—Phase 1b clinical trail." In addition, the estimated IPO price range necessarily assumes that the IPO has occurred, a public market for our common stock has been created and that our preferred stock converted into common stock in connection with the IPO, and therefore excludes any discount for lack of marketability of our common stock, which was factored into the April 30, 2016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66305"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 VALUATION</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granted warrants to purchase shares of our series D preferred stock and series E preferred stock to the lenders under our loan and security agreement dated August 9, 2013, as amended on May 9, 2014, and as amended and restated on December 31, 2015. These warrants are classified as a liability as the warrants are free-standing financial instruments that may require us to transfer assets upon exercise. The warrants were initially recorded at their grant date fair value on and are remeasured to fair value at each subsequent balance sheet date. Changes in fair value of these warrants are recognized as a component of other income (expense) in our consolidated statements of operations and comprehensive loss. We will continue to adjust the liability for changes in fair value of the warrants until the earlier of the exercise or expiration of the warrants.</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fair value of the warrants are estimated using Black-Sholes, which incorporates assumptions and estimates to value these warrants. We assess these assumptions and estimates on a quarterly basis based on information available to us on each valuation date. Such assumptions and estimates include: the fair value per share of the underlying series D preferred stock and series E preferred stock, the remaining contractual term of the warrants, risk-free interest rate applicable to the remaining contractual term, expected dividend yield and expected volatility of the price of the underlying preferred stock. We determine the fair value per share of the underlying preferred stock by taking into consideration the most recent sales of our redeemable convertible preferred stock, results obtained from third-party valuations and additional factors that we deem relevant. We have historically been a private company and lack company-specific historical and implied volatility information of our stock. Therefore, we estimate expected stock volatility based on the historical volatility of publicly traded comparable companies for a term equal to the remaining contractual term of the warrants. The risk-free interest rate is determined by reference to the U.S. Treasury yield curve for time periods that approximately equal to the remaining contractual term of the warrants. We assumed no dividend yield based on the fact that we have never paid or declared dividends, and do not expect to pay or declare dividends in the future.</w:t>
      </w:r>
    </w:p>
    <w:p>
      <w:pPr>
        <w:spacing w:after="0" w:line="171"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In connection with this offering, the underlying redeemable convertible preferred stock will be converted to common stock. The preferred warrants will therefore become exercisable into common stock instead of preferred stock and the fair value of the warrant liability will be reclassified to additional paid-in capital at that time.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did not have during the periods presented, and we do not currently have, any off-balance sheet arrangements, as defined under Securities and Exchange Commission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OPERATING LOSS AND RESEARCH AND DEVELOPMENT TAX CREDIT CARRYFORWARDS</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As of December 31, 2015, we had net operating loss carryforwards, or NOLs, for federal and state income tax purposes of $82.4 million and $76.3 million, respectively, which expire at various times through 2035.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2035. At December 31, 2015, we had available federal and state research and development income tax credits of approximately $1.6 million and $1.1 million respectively, which may be available to reduce future income taxes, if any, at various times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0"/>
        <w:spacing w:after="0" w:line="308" w:lineRule="auto"/>
        <w:rPr>
          <w:sz w:val="20"/>
          <w:szCs w:val="20"/>
          <w:color w:val="auto"/>
        </w:rPr>
      </w:pPr>
      <w:r>
        <w:rPr>
          <w:rFonts w:ascii="Arial" w:cs="Arial" w:eastAsia="Arial" w:hAnsi="Arial"/>
          <w:sz w:val="13"/>
          <w:szCs w:val="13"/>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JOBS ACT ACCOUNTING ELECTION</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 xml:space="preserve">In May 2014, FASB issued Accounting Standards Update, or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ASU 2014-09, which amends the guidance for revenue recognition to replace numerous industry-specific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We are currently in the process of evaluating the effect the adoption of ASU 2014-09 may have on our financial statements.</w:t>
      </w:r>
    </w:p>
    <w:p>
      <w:pPr>
        <w:spacing w:after="0" w:line="154" w:lineRule="exact"/>
        <w:rPr>
          <w:sz w:val="20"/>
          <w:szCs w:val="20"/>
          <w:color w:val="auto"/>
        </w:rPr>
      </w:pPr>
    </w:p>
    <w:p>
      <w:pPr>
        <w:ind w:right="320"/>
        <w:spacing w:after="0" w:line="330"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Disclosure of Uncertainties about an Entity's Ability to Continue as a Going Concern,</w:t>
      </w:r>
      <w:r>
        <w:rPr>
          <w:rFonts w:ascii="Arial" w:cs="Arial" w:eastAsia="Arial" w:hAnsi="Arial"/>
          <w:sz w:val="13"/>
          <w:szCs w:val="13"/>
          <w:color w:val="auto"/>
        </w:rPr>
        <w:t xml:space="preserve"> or ASU 2014-15. ASU 2014-15 requires management to assess our ability to continue as a going concern and to provide related disclosures in certain circumstances. The requirements of ASU 2014-15 will be effective for the annual financial statement period beginning after December 15, 2016, with early adoption permitted. We are currently in the process of evaluating the impact of adopting ASU 2014-15.</w:t>
      </w:r>
    </w:p>
    <w:p>
      <w:pPr>
        <w:spacing w:after="0" w:line="125"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 xml:space="preserve">In February 2016, FASB issued ASU No.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 We are currently in the process of evaluating the impact of adopting ASU 2016-02.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market risk inherent in our financial instruments and in our financial position represents the potential loss arising from adverse changes in interest rates. As of December 31, 2015 and March 31, 2016, we had cash equivalents of $32.3 million and $17.1 million, respectively, consisting of non-interest and interest-bearing money market accounts. Our primary exposure to market risk is interest rate sensitivity, which is affected by changes in the general level of U.S. interest rates. Due to the short-term the low risk profile of our money market accounts, an immediate 100 basis point change in interest rates would not have a material effect on the fair market value of our cash equivalents.</w:t>
      </w:r>
    </w:p>
    <w:p>
      <w:pPr>
        <w:spacing w:after="0" w:line="148" w:lineRule="exact"/>
        <w:rPr>
          <w:sz w:val="20"/>
          <w:szCs w:val="20"/>
          <w:color w:val="auto"/>
        </w:rPr>
      </w:pPr>
    </w:p>
    <w:p>
      <w:pPr>
        <w:jc w:val="both"/>
        <w:ind w:right="40"/>
        <w:spacing w:after="0" w:line="299" w:lineRule="auto"/>
        <w:rPr>
          <w:sz w:val="20"/>
          <w:szCs w:val="20"/>
          <w:color w:val="auto"/>
        </w:rPr>
      </w:pPr>
      <w:r>
        <w:rPr>
          <w:rFonts w:ascii="Arial" w:cs="Arial" w:eastAsia="Arial" w:hAnsi="Arial"/>
          <w:sz w:val="13"/>
          <w:szCs w:val="13"/>
          <w:color w:val="auto"/>
        </w:rPr>
        <w:t>In addition, we are subject to currency risk for balances held in rubles in our foreign subsidiary. We hold portions of our funds in both U.S. dollars and rubles. The exchange rate between the U.S. dollar and ruble fluctuated significantly. As of December 31, 2013, the exchange rate was 32.7 rubles per U.S. dollar as compared to 56.26 rubles per U.S. dollar at December 31, 2014 and 72.89 rubles per U.S. dollar at December 31, 2015. As of March 31, 2016, the exchange rate was 67.61 rubles per U.S. dollar, under which we held $4.2 million of total cash in Russian banks to support our Russian subsidiary, which includes $1.5 million of cash and cash equivalents, $2.0 million of short-term deposits and $0.7 million of restricted cash, of which</w:t>
      </w:r>
    </w:p>
    <w:p>
      <w:pPr>
        <w:spacing w:after="0" w:line="1"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$1.0 million of cash and cash equivalents and the $2.0 million of short-term deposits were denominated in U.S. dollars. We do not hedge against foreign currency risks. We do not believe that inflation and changing prices had a significant impact on our results of operations for any periods presented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Of particular concern are anti-drug antibodies, or ADAs, which are produced by the immune system in response to biologic therapy and can adversely affect the efficacy and safety of treatment. Our proprietary SVP technology encapsulates an immunomodulator in biodegradable nanoparticles to induce antigen-specific immune tolerance to mitigate the formation of ADAs in response to life-sustaining biologic drugs. We believe our SVP technology has the potential for broad applications to both enhance existing biologic drugs and enable novel therapies. Our lead product candidate, SEL-212, is a combination of a therapeutic enzyme and our SVP technology designed to be the first biologic treatment for gout that durably controls uric acid in refractory gout and dissolves and removes the harmful deposits of uric acid in chronic tophaceous gout, each a painful and debilitating disease with unmet medical need. SEL-212 is currently in a comprehensive Phase 1/2 clinical program. The Phase 1/2 clinical program is comprised of two Phase 1 clinical trials and a Phase 2 clinical trial, and is designed to evaluate the ability of SEL-212 to control uric acid levels and mitigate the formation of ADAs. Based on preliminary data from our ongoing Phase 1b clinical trial, we believe that SEL-212 has the potential to control serum uric acid levels for at least 30 days after a single dose by mitigating the formation of ADAs in response to the therapeutic enzyme. We expect to receive final data from both Phase 1 clinical trials and initiate the Phase 2 clinical trial in the second half of 2016. We have submitted to the FDA two investigational new drug, or IND, applications, both of which are active. Each IND lists us as the named sponsor and is indicated for the treatment of chronic gout in adult patients refractory to conventional therapy.</w:t>
      </w:r>
    </w:p>
    <w:p>
      <w:pPr>
        <w:spacing w:after="0" w:line="16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Despite rapid advancement in biologic treatment of rare and serious diseases, many biologic therapies are not broadly effective because they are exogenous proteins that are foreign to the patient's immune system and, therefore, may elicit an immune response, known as immunogenicity. Undesired immunogenicity includes the formation of ADAs that can compromise the drug's efficacy and cause serious allergic reactions. The formation of ADAs is known to occur in established treatments such as enzyme and protein replacement therapies, as well as in novel technologies, such as gene therapy and antibody-drug conjugates.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 We believe the co-administration of our SVP technology with biologic treatments has the potential to overcome these limitations without requiring changes in dosing or formulation. We intend to build a platform based on our SVP technology applied to the mitigation of ADAs for a wide range of biologics.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lead product candidate, SEL-212, was designed specifically to overcome the challenges faced by Krystexxa, a pegylated uricase. Krystexxa, is the only product approved by the U.S. Food and Drug Administration, or the FDA, for the treatment of chronic refractory gout. In clinical trials, Krystexxa demonstrated the ability to rapidly reduce uric acid levels in serum upon initial dosing. However, despite these results, Krystexxa has not achieved broad commercial adoption. We believe this is largely attributable to undesired immunogenicity. The package insert information for Krystexxa indicates that during Phase 3 clinical trials, 92% of patients developed ADAs. The package insert information also indicates that during the drug's Phase 3 clinical trials, high Krystexxa-specific ADA levels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08" w:name="page109"/>
    <w:bookmarkEnd w:id="1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were associated with a failure to maintain Krystexxa-induced normalization of uric acid levels. Similarly, in 2011, The Journal of the American Medical Association published the results of clinical trials finding that 58% of Krystexxa patients who received biweekly doses of Krystexxa were non-responders.</w:t>
      </w:r>
    </w:p>
    <w:p>
      <w:pPr>
        <w:spacing w:after="0" w:line="151"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SEL-212 consists of SVP-Rapamycin co-administered with pegsiticase, our proprietary pegylated uricase, for the treatment of refractory and chronic tophaceous gout. SVP-Rapamycin uses our SVP technology to encapsulate the approved immunomodulator rapamycin in biodegradable nanoparticles. Our preclinical data indicate that SVP-Rapamycin, when co-administered with pegsiticase, induces antigen-specific immune tolerance to pegsiticase and substantially reduces the formation of associated ADAs. We believe that SEL-212 has the potential to offer a uniquely effective treatment for patients with refractory or chronic tophaceous gout, while also demonstrating the clinical effectiveness of our SVP technology. Approximately 8.3 million patients in the United States suffer from gout, which is caused by elevated levels of serum uric acid. Excessive uric acid levels result in harmful deposits of insoluble uric acid crystals in joints and tissues, causing joint damage and painful inflammation. High concentrations of serum uric acid also increase the risk for other conditions, including cardiovascular, cardiometabolic, joint and kidney disease. No treatment has been approved to remove uric acid deposits from joints and tissues. Approximately 50,000 patients in the United States have been diagnosed with chronic refractory gout, an orphan indication defined as uric acid levels that cannot be controlled by available oral therapies. Approximately 500,000 patients in the United States suffer from chronic tophaceous gout, in which patients develop nodular insoluble masses of uric acid crystals referred to as tophi, which can occur either in joints, such as fingers, toes or elbows, or in the tissues that make up organs, such as the kidney and heart. Tophi are a source of inflammation and pain, and have been associated with diseases of the heart, vascular system, metabolic process, kidney and joints. There is no approved drug for chronic tophaceous gout.</w:t>
      </w:r>
    </w:p>
    <w:p>
      <w:pPr>
        <w:spacing w:after="0" w:line="158"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We are also applying our SVP technology to antigen-specific immune tolerance for gene therapy involving gene augmentation, replacement or editing. Gene therapies often use a viral vector, such as an adeno-associated virus, or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the first administration of a gene therapy vector and prevent effective subsequent doses of gene therapy. Subsequent doses are particularly necessary for pediatric indications due to cellular turnover in young patients. The ability to readminister gene therapies is also important for diseases where the goal is to transfect a high number of cells. Moreover, the third way in which immunogenicity can manifest itself against the viral vector is that the cellular immune system can respond to the transduced cells, which can reduce efficacy and pose safety concerns.</w:t>
      </w:r>
    </w:p>
    <w:p>
      <w:pPr>
        <w:spacing w:after="0" w:line="13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have in-licensed the Anc80 gene therapy vector, or Anc80, from the Massachusetts Eye and Ear Infirmary and The Schepens Eye Research Institute, Inc., collectively referred to as MEE. Developed by the laboratory of Luk H. Vandenberghe, Ph.D., of Massachusetts Eye and Ear Infirmary and Harvard Medical School, Anc80 was designed as a synthetic precursor of AAV1, AAV2, AAV8 and AAV9.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09" w:name="page110"/>
    <w:bookmarkEnd w:id="10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use of viral vectors. We believe that any such potential proprietary gene therapy products utilizing SVP-Rapamycin and Anc80 would have significant advantages, including</w:t>
      </w:r>
    </w:p>
    <w:p>
      <w:pPr>
        <w:spacing w:after="0" w:line="29" w:lineRule="exact"/>
        <w:rPr>
          <w:sz w:val="20"/>
          <w:szCs w:val="20"/>
          <w:color w:val="auto"/>
        </w:rPr>
      </w:pPr>
    </w:p>
    <w:p>
      <w:pPr>
        <w:ind w:left="7" w:right="100" w:hanging="7"/>
        <w:spacing w:after="0" w:line="312" w:lineRule="auto"/>
        <w:tabs>
          <w:tab w:leader="none" w:pos="18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applicability to patients with pre-existing ADAs to naturally occurring AAV, a current exclusion criteria for many clinical studies, and (ii) the potential development of gene therapies for diseases that require repeat dosing due to a younger patient population or need to reach higher levels of protein expression than can be achieved with a single dose.</w:t>
      </w:r>
    </w:p>
    <w:p>
      <w:pPr>
        <w:spacing w:after="0" w:line="132" w:lineRule="exact"/>
        <w:rPr>
          <w:sz w:val="20"/>
          <w:szCs w:val="20"/>
          <w:color w:val="auto"/>
        </w:rPr>
      </w:pPr>
    </w:p>
    <w:p>
      <w:pPr>
        <w:ind w:left="7"/>
        <w:spacing w:after="0" w:line="313" w:lineRule="auto"/>
        <w:rPr>
          <w:sz w:val="20"/>
          <w:szCs w:val="20"/>
          <w:color w:val="auto"/>
        </w:rPr>
      </w:pPr>
      <w:r>
        <w:rPr>
          <w:rFonts w:ascii="Arial" w:cs="Arial" w:eastAsia="Arial" w:hAnsi="Arial"/>
          <w:sz w:val="13"/>
          <w:szCs w:val="13"/>
          <w:color w:val="auto"/>
        </w:rPr>
        <w:t>In collaboration with the clinical and gene therapy laboratory at the National Institutes of Health, or NIH, and MEE, we plan to develop a product candidate utilizing the Anc80 vector for the treatment of an autosomal recessive metabolic, or ARM, disorder resulting from an inborn error of metabolism. This ARM disorder can cause severe developmental defects and premature death as a result of an accumulation of toxic metabolites. Under our license agreement with MEE, we also have the option to develop gene therapies using Anc80 for several additional diseases including lysosomal storage, muscular and genetic metabolic diseases. We plan to develop another product candidate for the treatment of an X-linked metabolic, or XLM, disorder, which is a metabolic disorder similar to ARM disorder. We are pursuing this second indication through collaborations with third parties with preclinical and clinical experience in this area.</w:t>
      </w:r>
    </w:p>
    <w:p>
      <w:pPr>
        <w:spacing w:after="0" w:line="137"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In addition to developing proprietary non-immunogenic therapeutic enzymes and gene therapies, we intend to pursue out-licensing opportunities for select applications of our SVP technology. We believe that our preclinical data may support the potential application of SVP-Rapamycin to both marketed products, such as monoclonal antibodies against human tumor necrosis factor-alpha, or TNF-alpha, which are known to induce undesired immnogenicity, and novel biologic drugs that would otherwise be too immunogenic to develop, such as novel antibody-drug conjugates. We are also applying our SVP technology to the treatment of autoimmune diseases and allergies. Currently, most autoimmune diseases are treated with broadly immunosuppressive therapies that indiscriminately affect the function of the entire immune system. Our SVP technology is designed to re-program the immune system to elicit tolerance to a specific antigen without impacting the rest of the immune system. Since 2012, we have established three collaborations with Sanofi to research novel products for the treatment of a life-threatening food allergy, celiac disease and type 1 diabetes. We intend to continue a strategy of out-licensing our SVP technology for antigen-specific immune tolerance for applications that are outside our areas of focus.</w:t>
      </w:r>
    </w:p>
    <w:p>
      <w:pPr>
        <w:spacing w:after="0" w:line="167" w:lineRule="exact"/>
        <w:rPr>
          <w:sz w:val="20"/>
          <w:szCs w:val="20"/>
          <w:color w:val="auto"/>
        </w:rPr>
      </w:pPr>
    </w:p>
    <w:p>
      <w:pPr>
        <w:ind w:left="7" w:right="160"/>
        <w:spacing w:after="0" w:line="266" w:lineRule="auto"/>
        <w:rPr>
          <w:sz w:val="20"/>
          <w:szCs w:val="20"/>
          <w:color w:val="auto"/>
        </w:rPr>
      </w:pPr>
      <w:r>
        <w:rPr>
          <w:rFonts w:ascii="Arial" w:cs="Arial" w:eastAsia="Arial" w:hAnsi="Arial"/>
          <w:sz w:val="15"/>
          <w:szCs w:val="15"/>
          <w:color w:val="auto"/>
        </w:rPr>
        <w:t>We believe our SVP technology also has the potential to be used for therapies that stimulate the immune system to prevent and treat cancer, infectious diseases and other diseases. We have early-stage research programs for therapeutic vaccines for human papilloma virus, or HPV, associated cancers and for antibody-based vaccine programs for nicotine addiction and malaria. These programs use our SVP technology to encapsulate an immune-stimulatory agent in biodegradable nanoparticles in order to stimulate the immune system in response to a specific antigen. We currently finance these programs primarily through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0" w:name="page111"/>
    <w:bookmarkEnd w:id="1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SVP product candidate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292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Description</w:t>
            </w:r>
          </w:p>
        </w:tc>
        <w:tc>
          <w:tcPr>
            <w:tcW w:w="3060" w:type="dxa"/>
            <w:vAlign w:val="bottom"/>
            <w:tcBorders>
              <w:bottom w:val="single" w:sz="8" w:color="auto"/>
            </w:tcBorders>
          </w:tcPr>
          <w:p>
            <w:pPr>
              <w:ind w:left="1020"/>
              <w:spacing w:after="0"/>
              <w:rPr>
                <w:sz w:val="20"/>
                <w:szCs w:val="20"/>
                <w:color w:val="auto"/>
              </w:rPr>
            </w:pPr>
            <w:r>
              <w:rPr>
                <w:rFonts w:ascii="Arial" w:cs="Arial" w:eastAsia="Arial" w:hAnsi="Arial"/>
                <w:sz w:val="12"/>
                <w:szCs w:val="12"/>
                <w:b w:val="1"/>
                <w:bCs w:val="1"/>
                <w:color w:val="auto"/>
              </w:rPr>
              <w:t>Development status</w:t>
            </w:r>
          </w:p>
        </w:tc>
        <w:tc>
          <w:tcPr>
            <w:tcW w:w="282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29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820" w:type="dxa"/>
            <w:vAlign w:val="bottom"/>
          </w:tcPr>
          <w:p>
            <w:pPr>
              <w:spacing w:after="0"/>
              <w:rPr>
                <w:sz w:val="12"/>
                <w:szCs w:val="12"/>
                <w:color w:val="auto"/>
              </w:rPr>
            </w:pPr>
          </w:p>
        </w:tc>
      </w:tr>
      <w:tr>
        <w:trPr>
          <w:trHeight w:val="307"/>
        </w:trPr>
        <w:tc>
          <w:tcPr>
            <w:tcW w:w="2640" w:type="dxa"/>
            <w:vAlign w:val="bottom"/>
          </w:tcPr>
          <w:p>
            <w:pPr>
              <w:spacing w:after="0"/>
              <w:rPr>
                <w:sz w:val="20"/>
                <w:szCs w:val="20"/>
                <w:color w:val="auto"/>
              </w:rPr>
            </w:pPr>
            <w:r>
              <w:rPr>
                <w:rFonts w:ascii="Arial" w:cs="Arial" w:eastAsia="Arial" w:hAnsi="Arial"/>
                <w:sz w:val="12"/>
                <w:szCs w:val="12"/>
                <w:color w:val="auto"/>
                <w:w w:val="96"/>
              </w:rPr>
              <w:t>Refractory and chronic tophaceous gout (SEL-212)</w:t>
            </w:r>
          </w:p>
        </w:tc>
        <w:tc>
          <w:tcPr>
            <w:tcW w:w="2920" w:type="dxa"/>
            <w:vAlign w:val="bottom"/>
          </w:tcPr>
          <w:p>
            <w:pPr>
              <w:ind w:left="280"/>
              <w:spacing w:after="0"/>
              <w:rPr>
                <w:sz w:val="20"/>
                <w:szCs w:val="20"/>
                <w:color w:val="auto"/>
              </w:rPr>
            </w:pPr>
            <w:r>
              <w:rPr>
                <w:rFonts w:ascii="Arial" w:cs="Arial" w:eastAsia="Arial" w:hAnsi="Arial"/>
                <w:sz w:val="12"/>
                <w:szCs w:val="12"/>
                <w:color w:val="auto"/>
                <w:w w:val="98"/>
              </w:rPr>
              <w:t>SVP-Rapamycin co-administered with pegsiticase</w:t>
            </w:r>
          </w:p>
        </w:tc>
        <w:tc>
          <w:tcPr>
            <w:tcW w:w="3060" w:type="dxa"/>
            <w:vAlign w:val="bottom"/>
          </w:tcPr>
          <w:p>
            <w:pPr>
              <w:ind w:left="300"/>
              <w:spacing w:after="0"/>
              <w:rPr>
                <w:sz w:val="20"/>
                <w:szCs w:val="20"/>
                <w:color w:val="auto"/>
              </w:rPr>
            </w:pPr>
            <w:r>
              <w:rPr>
                <w:rFonts w:ascii="Arial" w:cs="Arial" w:eastAsia="Arial" w:hAnsi="Arial"/>
                <w:sz w:val="12"/>
                <w:szCs w:val="12"/>
                <w:color w:val="auto"/>
              </w:rPr>
              <w:t>Final data from Phase 1a and Phase 1b trials and</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27"/>
        </w:trPr>
        <w:tc>
          <w:tcPr>
            <w:tcW w:w="26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3060" w:type="dxa"/>
            <w:vAlign w:val="bottom"/>
          </w:tcPr>
          <w:p>
            <w:pPr>
              <w:ind w:left="300"/>
              <w:spacing w:after="0" w:line="128" w:lineRule="exact"/>
              <w:rPr>
                <w:sz w:val="20"/>
                <w:szCs w:val="20"/>
                <w:color w:val="auto"/>
              </w:rPr>
            </w:pPr>
            <w:r>
              <w:rPr>
                <w:rFonts w:ascii="Arial" w:cs="Arial" w:eastAsia="Arial" w:hAnsi="Arial"/>
                <w:sz w:val="12"/>
                <w:szCs w:val="12"/>
                <w:color w:val="auto"/>
                <w:w w:val="94"/>
              </w:rPr>
              <w:t>initiation of Phase 2 trial expected in the second half of</w:t>
            </w:r>
          </w:p>
        </w:tc>
        <w:tc>
          <w:tcPr>
            <w:tcW w:w="2820" w:type="dxa"/>
            <w:vAlign w:val="bottom"/>
          </w:tcPr>
          <w:p>
            <w:pPr>
              <w:spacing w:after="0"/>
              <w:rPr>
                <w:sz w:val="11"/>
                <w:szCs w:val="11"/>
                <w:color w:val="auto"/>
              </w:rPr>
            </w:pP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2016</w:t>
            </w:r>
          </w:p>
        </w:tc>
        <w:tc>
          <w:tcPr>
            <w:tcW w:w="2820" w:type="dxa"/>
            <w:vAlign w:val="bottom"/>
          </w:tcPr>
          <w:p>
            <w:pPr>
              <w:spacing w:after="0"/>
              <w:rPr>
                <w:sz w:val="12"/>
                <w:szCs w:val="12"/>
                <w:color w:val="auto"/>
              </w:rPr>
            </w:pPr>
          </w:p>
        </w:tc>
      </w:tr>
      <w:tr>
        <w:trPr>
          <w:trHeight w:val="316"/>
        </w:trPr>
        <w:tc>
          <w:tcPr>
            <w:tcW w:w="2640" w:type="dxa"/>
            <w:vAlign w:val="bottom"/>
          </w:tcPr>
          <w:p>
            <w:pPr>
              <w:spacing w:after="0"/>
              <w:rPr>
                <w:sz w:val="20"/>
                <w:szCs w:val="20"/>
                <w:color w:val="auto"/>
              </w:rPr>
            </w:pPr>
            <w:r>
              <w:rPr>
                <w:rFonts w:ascii="Arial" w:cs="Arial" w:eastAsia="Arial" w:hAnsi="Arial"/>
                <w:sz w:val="12"/>
                <w:szCs w:val="12"/>
                <w:color w:val="auto"/>
              </w:rPr>
              <w:t>Gene therapy for an ARM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Anc80</w:t>
            </w:r>
          </w:p>
        </w:tc>
        <w:tc>
          <w:tcPr>
            <w:tcW w:w="3060" w:type="dxa"/>
            <w:vAlign w:val="bottom"/>
          </w:tcPr>
          <w:p>
            <w:pPr>
              <w:ind w:left="300"/>
              <w:spacing w:after="0"/>
              <w:rPr>
                <w:sz w:val="20"/>
                <w:szCs w:val="20"/>
                <w:color w:val="auto"/>
              </w:rPr>
            </w:pPr>
            <w:r>
              <w:rPr>
                <w:rFonts w:ascii="Arial" w:cs="Arial" w:eastAsia="Arial" w:hAnsi="Arial"/>
                <w:sz w:val="12"/>
                <w:szCs w:val="12"/>
                <w:color w:val="auto"/>
              </w:rPr>
              <w:t>Investigational New Drug Application, or IND, filing</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147"/>
        </w:trPr>
        <w:tc>
          <w:tcPr>
            <w:tcW w:w="2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60" w:type="dxa"/>
            <w:vAlign w:val="bottom"/>
          </w:tcPr>
          <w:p>
            <w:pPr>
              <w:ind w:left="300"/>
              <w:spacing w:after="0"/>
              <w:rPr>
                <w:sz w:val="20"/>
                <w:szCs w:val="20"/>
                <w:color w:val="auto"/>
              </w:rPr>
            </w:pPr>
            <w:r>
              <w:rPr>
                <w:rFonts w:ascii="Arial" w:cs="Arial" w:eastAsia="Arial" w:hAnsi="Arial"/>
                <w:sz w:val="12"/>
                <w:szCs w:val="12"/>
                <w:color w:val="auto"/>
              </w:rPr>
              <w:t>for first indication expected by the end of 2017</w:t>
            </w:r>
          </w:p>
        </w:tc>
        <w:tc>
          <w:tcPr>
            <w:tcW w:w="2820" w:type="dxa"/>
            <w:vAlign w:val="bottom"/>
          </w:tcPr>
          <w:p>
            <w:pPr>
              <w:spacing w:after="0"/>
              <w:rPr>
                <w:sz w:val="12"/>
                <w:szCs w:val="12"/>
                <w:color w:val="auto"/>
              </w:rPr>
            </w:pPr>
          </w:p>
        </w:tc>
      </w:tr>
      <w:tr>
        <w:trPr>
          <w:trHeight w:val="336"/>
        </w:trPr>
        <w:tc>
          <w:tcPr>
            <w:tcW w:w="2640" w:type="dxa"/>
            <w:vAlign w:val="bottom"/>
          </w:tcPr>
          <w:p>
            <w:pPr>
              <w:spacing w:after="0"/>
              <w:rPr>
                <w:sz w:val="20"/>
                <w:szCs w:val="20"/>
                <w:color w:val="auto"/>
              </w:rPr>
            </w:pPr>
            <w:r>
              <w:rPr>
                <w:rFonts w:ascii="Arial" w:cs="Arial" w:eastAsia="Arial" w:hAnsi="Arial"/>
                <w:sz w:val="12"/>
                <w:szCs w:val="12"/>
                <w:color w:val="auto"/>
              </w:rPr>
              <w:t>Gene therapy for an XLM disorder</w:t>
            </w:r>
          </w:p>
        </w:tc>
        <w:tc>
          <w:tcPr>
            <w:tcW w:w="2920" w:type="dxa"/>
            <w:vAlign w:val="bottom"/>
          </w:tcPr>
          <w:p>
            <w:pPr>
              <w:ind w:left="280"/>
              <w:spacing w:after="0"/>
              <w:rPr>
                <w:sz w:val="20"/>
                <w:szCs w:val="20"/>
                <w:color w:val="auto"/>
              </w:rPr>
            </w:pPr>
            <w:r>
              <w:rPr>
                <w:rFonts w:ascii="Arial" w:cs="Arial" w:eastAsia="Arial" w:hAnsi="Arial"/>
                <w:sz w:val="12"/>
                <w:szCs w:val="12"/>
                <w:color w:val="auto"/>
              </w:rPr>
              <w:t>SVP-Rapamycin co-administered with AAV</w:t>
            </w:r>
          </w:p>
        </w:tc>
        <w:tc>
          <w:tcPr>
            <w:tcW w:w="3060" w:type="dxa"/>
            <w:vAlign w:val="bottom"/>
          </w:tcPr>
          <w:p>
            <w:pPr>
              <w:ind w:left="300"/>
              <w:spacing w:after="0"/>
              <w:rPr>
                <w:sz w:val="20"/>
                <w:szCs w:val="20"/>
                <w:color w:val="auto"/>
              </w:rPr>
            </w:pPr>
            <w:r>
              <w:rPr>
                <w:rFonts w:ascii="Arial" w:cs="Arial" w:eastAsia="Arial" w:hAnsi="Arial"/>
                <w:sz w:val="12"/>
                <w:szCs w:val="12"/>
                <w:color w:val="auto"/>
              </w:rPr>
              <w:t>IND filing for first indication expected in 2018</w:t>
            </w:r>
          </w:p>
        </w:tc>
        <w:tc>
          <w:tcPr>
            <w:tcW w:w="2820" w:type="dxa"/>
            <w:vAlign w:val="bottom"/>
          </w:tcPr>
          <w:p>
            <w:pPr>
              <w:ind w:left="180"/>
              <w:spacing w:after="0"/>
              <w:rPr>
                <w:sz w:val="20"/>
                <w:szCs w:val="20"/>
                <w:color w:val="auto"/>
              </w:rPr>
            </w:pPr>
            <w:r>
              <w:rPr>
                <w:rFonts w:ascii="Arial" w:cs="Arial" w:eastAsia="Arial" w:hAnsi="Arial"/>
                <w:sz w:val="12"/>
                <w:szCs w:val="12"/>
                <w:color w:val="auto"/>
              </w:rPr>
              <w:t>Own development</w:t>
            </w:r>
          </w:p>
        </w:tc>
      </w:tr>
      <w:tr>
        <w:trPr>
          <w:trHeight w:val="336"/>
        </w:trPr>
        <w:tc>
          <w:tcPr>
            <w:tcW w:w="26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2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188" w:lineRule="exact"/>
        <w:rPr>
          <w:sz w:val="20"/>
          <w:szCs w:val="20"/>
          <w:color w:val="auto"/>
        </w:rPr>
      </w:pPr>
    </w:p>
    <w:p>
      <w:pPr>
        <w:sectPr>
          <w:pgSz w:w="11900" w:h="16838" w:orient="portrait"/>
          <w:cols w:equalWidth="0" w:num="1">
            <w:col w:w="11440"/>
          </w:cols>
          <w:pgMar w:left="240" w:top="132" w:right="219" w:bottom="1440" w:gutter="0" w:footer="0" w:header="0"/>
        </w:sect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Smoking cessation and relapse prevention (SEL-070)</w:t>
      </w:r>
      <w:r>
        <w:rPr>
          <w:sz w:val="20"/>
          <w:szCs w:val="20"/>
          <w:color w:val="auto"/>
        </w:rPr>
        <w:tab/>
      </w:r>
      <w:r>
        <w:rPr>
          <w:rFonts w:ascii="Arial" w:cs="Arial" w:eastAsia="Arial" w:hAnsi="Arial"/>
          <w:sz w:val="12"/>
          <w:szCs w:val="12"/>
          <w:color w:val="auto"/>
        </w:rPr>
        <w:t>SVP-adjuvant and SVP-nicotine</w:t>
      </w:r>
      <w:r>
        <w:rPr>
          <w:sz w:val="20"/>
          <w:szCs w:val="20"/>
          <w:color w:val="auto"/>
        </w:rPr>
        <w:tab/>
      </w:r>
      <w:r>
        <w:rPr>
          <w:rFonts w:ascii="Arial" w:cs="Arial" w:eastAsia="Arial" w:hAnsi="Arial"/>
          <w:sz w:val="10"/>
          <w:szCs w:val="10"/>
          <w:color w:val="auto"/>
        </w:rPr>
        <w:t>Good laboratory practice, or GLP, toxicology studies</w:t>
      </w:r>
    </w:p>
    <w:p>
      <w:pPr>
        <w:ind w:left="5860"/>
        <w:spacing w:after="0"/>
        <w:rPr>
          <w:sz w:val="20"/>
          <w:szCs w:val="20"/>
          <w:color w:val="auto"/>
        </w:rPr>
      </w:pPr>
      <w:r>
        <w:rPr>
          <w:rFonts w:ascii="Arial" w:cs="Arial" w:eastAsia="Arial" w:hAnsi="Arial"/>
          <w:sz w:val="12"/>
          <w:szCs w:val="12"/>
          <w:color w:val="auto"/>
        </w:rPr>
        <w:t>ongoing</w:t>
      </w:r>
    </w:p>
    <w:p>
      <w:pPr>
        <w:spacing w:after="0" w:line="188" w:lineRule="exact"/>
        <w:rPr>
          <w:sz w:val="20"/>
          <w:szCs w:val="20"/>
          <w:color w:val="auto"/>
        </w:rPr>
      </w:pPr>
    </w:p>
    <w:p>
      <w:pPr>
        <w:spacing w:after="0"/>
        <w:tabs>
          <w:tab w:leader="none" w:pos="2900" w:val="left"/>
          <w:tab w:leader="none" w:pos="5840" w:val="left"/>
        </w:tabs>
        <w:rPr>
          <w:sz w:val="20"/>
          <w:szCs w:val="20"/>
          <w:color w:val="auto"/>
        </w:rPr>
      </w:pPr>
      <w:r>
        <w:rPr>
          <w:rFonts w:ascii="Arial" w:cs="Arial" w:eastAsia="Arial" w:hAnsi="Arial"/>
          <w:sz w:val="12"/>
          <w:szCs w:val="12"/>
          <w:color w:val="auto"/>
        </w:rPr>
        <w:t>HPV-associated cancer (SEL-701)</w:t>
      </w:r>
      <w:r>
        <w:rPr>
          <w:sz w:val="20"/>
          <w:szCs w:val="20"/>
          <w:color w:val="auto"/>
        </w:rPr>
        <w:tab/>
      </w:r>
      <w:r>
        <w:rPr>
          <w:rFonts w:ascii="Arial" w:cs="Arial" w:eastAsia="Arial" w:hAnsi="Arial"/>
          <w:sz w:val="12"/>
          <w:szCs w:val="12"/>
          <w:color w:val="auto"/>
        </w:rPr>
        <w:t>SVP-adjuvant and SVP-HPV antigen</w:t>
      </w:r>
      <w:r>
        <w:rPr>
          <w:sz w:val="20"/>
          <w:szCs w:val="20"/>
          <w:color w:val="auto"/>
        </w:rPr>
        <w:tab/>
      </w:r>
      <w:r>
        <w:rPr>
          <w:rFonts w:ascii="Arial" w:cs="Arial" w:eastAsia="Arial" w:hAnsi="Arial"/>
          <w:sz w:val="10"/>
          <w:szCs w:val="10"/>
          <w:color w:val="auto"/>
        </w:rPr>
        <w:t>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491490</wp:posOffset>
            </wp:positionV>
            <wp:extent cx="726630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38" w:lineRule="auto"/>
        <w:rPr>
          <w:sz w:val="20"/>
          <w:szCs w:val="20"/>
          <w:color w:val="auto"/>
        </w:rPr>
      </w:pPr>
      <w:r>
        <w:rPr>
          <w:rFonts w:ascii="Arial" w:cs="Arial" w:eastAsia="Arial" w:hAnsi="Arial"/>
          <w:sz w:val="12"/>
          <w:szCs w:val="12"/>
          <w:color w:val="auto"/>
        </w:rPr>
        <w:t>Own development, with grant from the National Institute on Drug Abuse, or NIDA</w:t>
      </w:r>
    </w:p>
    <w:p>
      <w:pPr>
        <w:spacing w:after="0" w:line="190" w:lineRule="exact"/>
        <w:rPr>
          <w:sz w:val="20"/>
          <w:szCs w:val="20"/>
          <w:color w:val="auto"/>
        </w:rPr>
      </w:pPr>
    </w:p>
    <w:p>
      <w:pPr>
        <w:ind w:right="80"/>
        <w:spacing w:after="0" w:line="230" w:lineRule="auto"/>
        <w:rPr>
          <w:sz w:val="20"/>
          <w:szCs w:val="20"/>
          <w:color w:val="auto"/>
        </w:rPr>
      </w:pPr>
      <w:r>
        <w:rPr>
          <w:rFonts w:ascii="Arial" w:cs="Arial" w:eastAsia="Arial" w:hAnsi="Arial"/>
          <w:sz w:val="12"/>
          <w:szCs w:val="12"/>
          <w:color w:val="auto"/>
        </w:rPr>
        <w:t>Own development, with grant from the Russian-based Development Fund of New Technologies Development and Commercialization Center, or the Skolkovo Foundation</w:t>
      </w:r>
    </w:p>
    <w:p>
      <w:pPr>
        <w:spacing w:after="0" w:line="200" w:lineRule="exact"/>
        <w:rPr>
          <w:sz w:val="20"/>
          <w:szCs w:val="20"/>
          <w:color w:val="auto"/>
        </w:rPr>
      </w:pPr>
    </w:p>
    <w:p>
      <w:pPr>
        <w:sectPr>
          <w:pgSz w:w="11900" w:h="16838" w:orient="portrait"/>
          <w:cols w:equalWidth="0" w:num="2">
            <w:col w:w="8320" w:space="480"/>
            <w:col w:w="2640"/>
          </w:cols>
          <w:pgMar w:left="240" w:top="132" w:right="219"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chart summarizes our current discovery pipeline.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Program</w:t>
            </w:r>
          </w:p>
        </w:tc>
        <w:tc>
          <w:tcPr>
            <w:tcW w:w="3180" w:type="dxa"/>
            <w:vAlign w:val="bottom"/>
            <w:tcBorders>
              <w:bottom w:val="single" w:sz="8" w:color="auto"/>
            </w:tcBorders>
          </w:tcPr>
          <w:p>
            <w:pPr>
              <w:ind w:left="1740"/>
              <w:spacing w:after="0"/>
              <w:rPr>
                <w:sz w:val="20"/>
                <w:szCs w:val="20"/>
                <w:color w:val="auto"/>
              </w:rPr>
            </w:pPr>
            <w:r>
              <w:rPr>
                <w:rFonts w:ascii="Arial" w:cs="Arial" w:eastAsia="Arial" w:hAnsi="Arial"/>
                <w:sz w:val="12"/>
                <w:szCs w:val="12"/>
                <w:b w:val="1"/>
                <w:bCs w:val="1"/>
                <w:color w:val="auto"/>
              </w:rPr>
              <w:t>Description</w:t>
            </w:r>
          </w:p>
        </w:tc>
        <w:tc>
          <w:tcPr>
            <w:tcW w:w="29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Development status</w:t>
            </w: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Program strategy</w:t>
            </w:r>
          </w:p>
        </w:tc>
      </w:tr>
      <w:tr>
        <w:trPr>
          <w:trHeight w:val="139"/>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tolerance</w:t>
            </w: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r>
      <w:tr>
        <w:trPr>
          <w:trHeight w:val="327"/>
        </w:trPr>
        <w:tc>
          <w:tcPr>
            <w:tcW w:w="2140" w:type="dxa"/>
            <w:vAlign w:val="bottom"/>
          </w:tcPr>
          <w:p>
            <w:pPr>
              <w:spacing w:after="0"/>
              <w:rPr>
                <w:sz w:val="20"/>
                <w:szCs w:val="20"/>
                <w:color w:val="auto"/>
              </w:rPr>
            </w:pPr>
            <w:r>
              <w:rPr>
                <w:rFonts w:ascii="Arial" w:cs="Arial" w:eastAsia="Arial" w:hAnsi="Arial"/>
                <w:sz w:val="12"/>
                <w:szCs w:val="12"/>
                <w:color w:val="auto"/>
              </w:rPr>
              <w:t>Food allergy</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SVP-food allergen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36"/>
        </w:trPr>
        <w:tc>
          <w:tcPr>
            <w:tcW w:w="2140" w:type="dxa"/>
            <w:vAlign w:val="bottom"/>
          </w:tcPr>
          <w:p>
            <w:pPr>
              <w:spacing w:after="0"/>
              <w:rPr>
                <w:sz w:val="20"/>
                <w:szCs w:val="20"/>
                <w:color w:val="auto"/>
              </w:rPr>
            </w:pPr>
            <w:r>
              <w:rPr>
                <w:rFonts w:ascii="Arial" w:cs="Arial" w:eastAsia="Arial" w:hAnsi="Arial"/>
                <w:sz w:val="12"/>
                <w:szCs w:val="12"/>
                <w:color w:val="auto"/>
              </w:rPr>
              <w:t>Celiac disease</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SVP-gluten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rPr>
              <w:t>Sanofi worldwide exclusive license</w:t>
            </w: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Type 1 diabetes</w:t>
            </w:r>
          </w:p>
        </w:tc>
        <w:tc>
          <w:tcPr>
            <w:tcW w:w="3180" w:type="dxa"/>
            <w:vAlign w:val="bottom"/>
          </w:tcPr>
          <w:p>
            <w:pPr>
              <w:ind w:left="780"/>
              <w:spacing w:after="0"/>
              <w:rPr>
                <w:sz w:val="20"/>
                <w:szCs w:val="20"/>
                <w:color w:val="auto"/>
              </w:rPr>
            </w:pPr>
            <w:r>
              <w:rPr>
                <w:rFonts w:ascii="Arial" w:cs="Arial" w:eastAsia="Arial" w:hAnsi="Arial"/>
                <w:sz w:val="12"/>
                <w:szCs w:val="12"/>
                <w:color w:val="auto"/>
              </w:rPr>
              <w:t>SVP-Rapamycin and SVP-insulin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0"/>
              </w:rPr>
              <w:t>Sanofi and Juvenile Diabetes Research Foundation, or</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JDRF, sponsored research program</w:t>
            </w:r>
          </w:p>
        </w:tc>
      </w:tr>
      <w:tr>
        <w:trPr>
          <w:trHeight w:val="336"/>
        </w:trPr>
        <w:tc>
          <w:tcPr>
            <w:tcW w:w="2140" w:type="dxa"/>
            <w:vAlign w:val="bottom"/>
          </w:tcPr>
          <w:p>
            <w:pPr>
              <w:spacing w:after="0"/>
              <w:rPr>
                <w:sz w:val="20"/>
                <w:szCs w:val="20"/>
                <w:color w:val="auto"/>
              </w:rPr>
            </w:pPr>
            <w:r>
              <w:rPr>
                <w:rFonts w:ascii="Arial" w:cs="Arial" w:eastAsia="Arial" w:hAnsi="Arial"/>
                <w:sz w:val="12"/>
                <w:szCs w:val="12"/>
                <w:b w:val="1"/>
                <w:bCs w:val="1"/>
                <w:i w:val="1"/>
                <w:iCs w:val="1"/>
                <w:color w:val="auto"/>
              </w:rPr>
              <w:t>SVP for immune stimulation</w:t>
            </w:r>
          </w:p>
        </w:tc>
        <w:tc>
          <w:tcPr>
            <w:tcW w:w="3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16"/>
        </w:trPr>
        <w:tc>
          <w:tcPr>
            <w:tcW w:w="2140" w:type="dxa"/>
            <w:vAlign w:val="bottom"/>
          </w:tcPr>
          <w:p>
            <w:pPr>
              <w:spacing w:after="0"/>
              <w:rPr>
                <w:sz w:val="20"/>
                <w:szCs w:val="20"/>
                <w:color w:val="auto"/>
              </w:rPr>
            </w:pPr>
            <w:r>
              <w:rPr>
                <w:rFonts w:ascii="Arial" w:cs="Arial" w:eastAsia="Arial" w:hAnsi="Arial"/>
                <w:sz w:val="12"/>
                <w:szCs w:val="12"/>
                <w:color w:val="auto"/>
              </w:rPr>
              <w:t>Malaria</w:t>
            </w:r>
          </w:p>
        </w:tc>
        <w:tc>
          <w:tcPr>
            <w:tcW w:w="3180" w:type="dxa"/>
            <w:vAlign w:val="bottom"/>
          </w:tcPr>
          <w:p>
            <w:pPr>
              <w:ind w:left="780"/>
              <w:spacing w:after="0"/>
              <w:rPr>
                <w:sz w:val="20"/>
                <w:szCs w:val="20"/>
                <w:color w:val="auto"/>
              </w:rPr>
            </w:pPr>
            <w:r>
              <w:rPr>
                <w:rFonts w:ascii="Arial" w:cs="Arial" w:eastAsia="Arial" w:hAnsi="Arial"/>
                <w:sz w:val="12"/>
                <w:szCs w:val="12"/>
                <w:color w:val="auto"/>
              </w:rPr>
              <w:t>SVP-adjuvant and SVP-malaria antigen</w:t>
            </w:r>
          </w:p>
        </w:tc>
        <w:tc>
          <w:tcPr>
            <w:tcW w:w="2960" w:type="dxa"/>
            <w:vAlign w:val="bottom"/>
          </w:tcPr>
          <w:p>
            <w:pPr>
              <w:ind w:left="540"/>
              <w:spacing w:after="0"/>
              <w:rPr>
                <w:sz w:val="20"/>
                <w:szCs w:val="20"/>
                <w:color w:val="auto"/>
              </w:rPr>
            </w:pPr>
            <w:r>
              <w:rPr>
                <w:rFonts w:ascii="Arial" w:cs="Arial" w:eastAsia="Arial" w:hAnsi="Arial"/>
                <w:sz w:val="12"/>
                <w:szCs w:val="12"/>
                <w:color w:val="auto"/>
              </w:rPr>
              <w:t>Discovery</w:t>
            </w:r>
          </w:p>
        </w:tc>
        <w:tc>
          <w:tcPr>
            <w:tcW w:w="3160" w:type="dxa"/>
            <w:vAlign w:val="bottom"/>
          </w:tcPr>
          <w:p>
            <w:pPr>
              <w:ind w:left="520"/>
              <w:spacing w:after="0"/>
              <w:rPr>
                <w:sz w:val="20"/>
                <w:szCs w:val="20"/>
                <w:color w:val="auto"/>
              </w:rPr>
            </w:pPr>
            <w:r>
              <w:rPr>
                <w:rFonts w:ascii="Arial" w:cs="Arial" w:eastAsia="Arial" w:hAnsi="Arial"/>
                <w:sz w:val="12"/>
                <w:szCs w:val="12"/>
                <w:color w:val="auto"/>
                <w:w w:val="98"/>
              </w:rPr>
              <w:t>The Bill and Melinda Gates Foundation sponsored</w:t>
            </w:r>
          </w:p>
        </w:tc>
      </w:tr>
      <w:tr>
        <w:trPr>
          <w:trHeight w:val="147"/>
        </w:trPr>
        <w:tc>
          <w:tcPr>
            <w:tcW w:w="2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160" w:type="dxa"/>
            <w:vAlign w:val="bottom"/>
          </w:tcPr>
          <w:p>
            <w:pPr>
              <w:ind w:left="520"/>
              <w:spacing w:after="0"/>
              <w:rPr>
                <w:sz w:val="20"/>
                <w:szCs w:val="20"/>
                <w:color w:val="auto"/>
              </w:rPr>
            </w:pPr>
            <w:r>
              <w:rPr>
                <w:rFonts w:ascii="Arial" w:cs="Arial" w:eastAsia="Arial" w:hAnsi="Arial"/>
                <w:sz w:val="12"/>
                <w:szCs w:val="12"/>
                <w:color w:val="auto"/>
              </w:rPr>
              <w:t>research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243205</wp:posOffset>
            </wp:positionV>
            <wp:extent cx="726630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95" w:lineRule="exact"/>
        <w:rPr>
          <w:sz w:val="20"/>
          <w:szCs w:val="20"/>
          <w:color w:val="auto"/>
        </w:rPr>
      </w:pPr>
    </w:p>
    <w:p>
      <w:pPr>
        <w:jc w:val="both"/>
        <w:ind w:right="120"/>
        <w:spacing w:after="0" w:line="282" w:lineRule="auto"/>
        <w:rPr>
          <w:sz w:val="20"/>
          <w:szCs w:val="20"/>
          <w:color w:val="auto"/>
        </w:rPr>
      </w:pPr>
      <w:r>
        <w:rPr>
          <w:rFonts w:ascii="Arial" w:cs="Arial" w:eastAsia="Arial" w:hAnsi="Arial"/>
          <w:sz w:val="15"/>
          <w:szCs w:val="15"/>
          <w:color w:val="auto"/>
        </w:rPr>
        <w:t>Our goal is to become the first biopharmaceutical company to develop and commercialize targeted therapies that are designed to modulate the immune system to effectively and safely treat rare and serious diseases. In addition, we intend to maximize the value of our SVP technology by collaborating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111" w:name="page112"/>
    <w:bookmarkEnd w:id="11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4"/>
          <w:szCs w:val="14"/>
          <w:color w:val="auto"/>
        </w:rPr>
        <w:t>with biopharmaceutical companies on programs that can benefit from our technology but that are outside our area of focus. The key elements of our strategy include the following.</w:t>
      </w:r>
    </w:p>
    <w:p>
      <w:pPr>
        <w:spacing w:after="0" w:line="221" w:lineRule="exact"/>
        <w:rPr>
          <w:sz w:val="20"/>
          <w:szCs w:val="20"/>
          <w:color w:val="auto"/>
        </w:rPr>
      </w:pPr>
    </w:p>
    <w:p>
      <w:pPr>
        <w:ind w:left="467" w:right="20" w:hanging="467"/>
        <w:spacing w:after="0" w:line="263" w:lineRule="auto"/>
        <w:tabs>
          <w:tab w:leader="none" w:pos="467" w:val="left"/>
        </w:tabs>
        <w:numPr>
          <w:ilvl w:val="0"/>
          <w:numId w:val="6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Rapidly advance the development of our lead product candidate, SEL-212, for the treatment of refractory and chronic tophaceous gout. </w:t>
      </w:r>
      <w:r>
        <w:rPr>
          <w:rFonts w:ascii="Arial" w:cs="Arial" w:eastAsia="Arial" w:hAnsi="Arial"/>
          <w:sz w:val="15"/>
          <w:szCs w:val="15"/>
          <w:color w:val="auto"/>
        </w:rPr>
        <w:t>We believe SEL-212 has the potential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the first biologic treatment for gout that durably controls uric acid in refractory gout and dissolves and removes harmful deposits of uric acid crystals in chronic tophaceous gout in a majority of patients. We are currently conducting a comprehensive Phase 1/2 clinical program, comprised of two Phase 1 clinical studies, for which we expect to receive final data in the second half of 2016, and a Phase 2 clinical trial, which we expect to initiate in the second half of 2016 and for which we expect to receive data in the first half of 2017. We plan to advance this program through regulatory approval and commercialization.</w:t>
      </w:r>
    </w:p>
    <w:p>
      <w:pPr>
        <w:spacing w:after="0" w:line="189" w:lineRule="exact"/>
        <w:rPr>
          <w:rFonts w:ascii="Arial" w:cs="Arial" w:eastAsia="Arial" w:hAnsi="Arial"/>
          <w:sz w:val="15"/>
          <w:szCs w:val="15"/>
          <w:color w:val="auto"/>
        </w:rPr>
      </w:pPr>
    </w:p>
    <w:p>
      <w:pPr>
        <w:ind w:left="467" w:right="40" w:hanging="467"/>
        <w:spacing w:after="0" w:line="313" w:lineRule="auto"/>
        <w:tabs>
          <w:tab w:leader="none" w:pos="467"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SVP technology for immune tolerance to develop novel uses and classes of non-immunogenic biologics. </w:t>
      </w:r>
      <w:r>
        <w:rPr>
          <w:rFonts w:ascii="Arial" w:cs="Arial" w:eastAsia="Arial" w:hAnsi="Arial"/>
          <w:sz w:val="13"/>
          <w:szCs w:val="13"/>
          <w:color w:val="auto"/>
        </w:rPr>
        <w:t>We intend to use our SVP technology to develop gene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therapies designed to mitigate the formation of ADAs and therefore enable repeat administration and first-in-class non-immunogenic versions of therapeutic enzymes or proteins for human therapy. We have several programs in various stages of discovery and we plan to continue to identify opportunities. In addition, we intend to pursue opportunities to in-license proprietary enzymes that we can co-administer with our SVP-Rapamycin to address the issues of immunogenicity and develop effective proprietary products. We also intend to use our SVP technology to develop AAV-based gene therapies designed to mitigate the formation of ADAs and therefore enable repeat administration.</w:t>
      </w:r>
    </w:p>
    <w:p>
      <w:pPr>
        <w:spacing w:after="0" w:line="148" w:lineRule="exact"/>
        <w:rPr>
          <w:rFonts w:ascii="Arial" w:cs="Arial" w:eastAsia="Arial" w:hAnsi="Arial"/>
          <w:sz w:val="13"/>
          <w:szCs w:val="13"/>
          <w:color w:val="auto"/>
        </w:rPr>
      </w:pPr>
    </w:p>
    <w:p>
      <w:pPr>
        <w:ind w:left="467" w:right="20" w:hanging="467"/>
        <w:spacing w:after="0" w:line="290" w:lineRule="auto"/>
        <w:tabs>
          <w:tab w:leader="none" w:pos="467"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Establish infrastructure and capabilities to commercialize our products in rare and orphan diseases. </w:t>
      </w:r>
      <w:r>
        <w:rPr>
          <w:rFonts w:ascii="Arial" w:cs="Arial" w:eastAsia="Arial" w:hAnsi="Arial"/>
          <w:sz w:val="14"/>
          <w:szCs w:val="14"/>
          <w:color w:val="auto"/>
        </w:rPr>
        <w:t>While we believe our SVP technology may be broadly applicable across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disease areas, we intend to focus our proprietary efforts on developing and commercializing proprietary SVP-enabled products for rare and serious diseases where there is high unmet medical need. Therapies for treating these diseases require focused commercial efforts and coordination with patient groups and investigators. As our product candidates advance towards commercialization, we intend to build a commercial infrastructure to market our products to capture the full value of our proprietary SVP products.</w:t>
      </w:r>
    </w:p>
    <w:p>
      <w:pPr>
        <w:spacing w:after="0" w:line="159" w:lineRule="exact"/>
        <w:rPr>
          <w:rFonts w:ascii="Arial" w:cs="Arial" w:eastAsia="Arial" w:hAnsi="Arial"/>
          <w:sz w:val="14"/>
          <w:szCs w:val="14"/>
          <w:color w:val="auto"/>
        </w:rPr>
      </w:pPr>
    </w:p>
    <w:p>
      <w:pPr>
        <w:ind w:left="467" w:right="80" w:hanging="467"/>
        <w:spacing w:after="0" w:line="297" w:lineRule="auto"/>
        <w:tabs>
          <w:tab w:leader="none" w:pos="467" w:val="left"/>
        </w:tabs>
        <w:numPr>
          <w:ilvl w:val="0"/>
          <w:numId w:val="6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Selectively pursue collaborations and maximize the value of our SVP programs for immune tolerance. </w:t>
      </w:r>
      <w:r>
        <w:rPr>
          <w:rFonts w:ascii="Arial" w:cs="Arial" w:eastAsia="Arial" w:hAnsi="Arial"/>
          <w:sz w:val="14"/>
          <w:szCs w:val="14"/>
          <w:color w:val="auto"/>
        </w:rPr>
        <w:t>In addition to our own proprietary product development efforts, we are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discussions with potential collaborators and licensees to pursue novel gene therapies and are collaborating with Sanofi on programs for a food allergy, celiac disease and type 1 diabetes. We also intend to selectively pursue additional collaborations with biopharmaceutical companies to further leverage our SVP technology.</w:t>
      </w:r>
    </w:p>
    <w:p>
      <w:pPr>
        <w:spacing w:after="0" w:line="166" w:lineRule="exact"/>
        <w:rPr>
          <w:rFonts w:ascii="Arial" w:cs="Arial" w:eastAsia="Arial" w:hAnsi="Arial"/>
          <w:sz w:val="14"/>
          <w:szCs w:val="14"/>
          <w:color w:val="auto"/>
        </w:rPr>
      </w:pPr>
    </w:p>
    <w:p>
      <w:pPr>
        <w:ind w:left="467" w:right="100" w:hanging="467"/>
        <w:spacing w:after="0" w:line="313" w:lineRule="auto"/>
        <w:tabs>
          <w:tab w:leader="none" w:pos="467"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Utilize our expertise in SVP to stimulate the immune system to fight disease. </w:t>
      </w:r>
      <w:r>
        <w:rPr>
          <w:rFonts w:ascii="Arial" w:cs="Arial" w:eastAsia="Arial" w:hAnsi="Arial"/>
          <w:sz w:val="13"/>
          <w:szCs w:val="13"/>
          <w:color w:val="auto"/>
        </w:rPr>
        <w:t>We are currently developing prophylactic and therapeutic vaccines that activate the immune system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fight disease through our SVP immune stimulation programs, which are primarily funded by grants. Our current product pursuits include a SVP product to treat HPV-associated cancers, a SVP nicotine vaccine for smoking cessation and relapse prevention and a SVP product for the prevention of malaria. We are developing our programs for HPV-associated cancers and smoking cessation and prevention on our own with grant funding from the Skolkovo Foundation for our HPV program and from the National Institute for Drug Abuse for our nicotine program. We are developing our malaria program under a sponsored research arrangement with The Bill and Melinda Gates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26630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2" w:name="page113"/>
    <w:bookmarkEnd w:id="1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 OF THE HUMAN IMMUNE SYSTEM</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 human immune system is an integrated system of specialized immune cells, cell products and tissues that protect against infectious disease and cancer. The immune system recognizes antigens, which are substances, such as proteins, enzymes or complex sugars. These antigens can be endogenous, or self-antigens, which are produced by the body, or exogenous antigens derived from foreign sources, such as viruses, fungi or bacteria. The human immune system has evolved to recognize and destroy potentially harmful substances. To function effectively, the immune system must discern between harmful antigens and innocuous antigens. The immune system maintains a delicate balance between effector cells, which mount immune responses to antigens that represent potential threats, and regulatory cells, which mitigate undesired and potentially harmful immune responses through immune tolerance. Depending upon the characteristics of the antigen and the context in which the antigen is encountered, the immune system must determine whether to mount a defensive (effector) or regulatory (tolerogenic) immune response.</w:t>
      </w:r>
    </w:p>
    <w:p>
      <w:pPr>
        <w:spacing w:after="0" w:line="169"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Antigens are processed in lymphoid organs, such as lymph nodes and the spleen, where the immune system determines whether to mount a defensive or regulatory response through a process called "antigen presentation." In connection with antigen presentation, dendritic cells process the antigens and present them to T cells. When presented, antigens perceived as harmful induce a stimulatory response that can result in the activation of cytolytic T cells or helper T cells, the latter of which help to induce B cells to produce antibodies. The role of cytolytic T cells is to kill cells that harbor intracellular antigens, such as viruses. The role of antibodies is to neutralize or eliminate extracellular antigens on cell surfaces or in interstitial fluids, such as plasma. Figure 1 below depicts both antigen presentation and the related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99060</wp:posOffset>
            </wp:positionV>
            <wp:extent cx="3272790" cy="1941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72790" cy="194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 Antigen Presentation and Related Tolerogenic or Stimulatory Immune Response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 number of diseases that occur when the immune system mounts an undesired response to an innocuous foreign antigen or a self-antigen. For example, food allergy occurs when the immune system mounts an immune response to innocuous food particles. Another example of undesired immunogenicity occurs when the immune system is exposed to a biologic treatment, recognizes it as a foreign antigen and instructs the body to mount a defense by forming ADAs to the antigen, which can compromise a therapy's desired beneficial effect. Undesired immunogenicity is common with biologic therapies, such as in enzyme and protein replacement therapies, and in novel technologies, such as gene therapy and antibody-drug conjugates.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13" w:name="page114"/>
    <w:bookmarkEnd w:id="11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number of therapies have been developed to modulate an immune response. These therapies fall into two categories:</w:t>
      </w:r>
    </w:p>
    <w:p>
      <w:pPr>
        <w:spacing w:after="0" w:line="210" w:lineRule="exact"/>
        <w:rPr>
          <w:sz w:val="20"/>
          <w:szCs w:val="20"/>
          <w:color w:val="auto"/>
        </w:rPr>
      </w:pPr>
    </w:p>
    <w:p>
      <w:pPr>
        <w:ind w:left="467" w:right="260" w:hanging="467"/>
        <w:spacing w:after="0" w:line="266" w:lineRule="auto"/>
        <w:tabs>
          <w:tab w:leader="none" w:pos="467"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Immunosuppressive therapies. </w:t>
      </w:r>
      <w:r>
        <w:rPr>
          <w:rFonts w:ascii="Arial" w:cs="Arial" w:eastAsia="Arial" w:hAnsi="Arial"/>
          <w:sz w:val="15"/>
          <w:szCs w:val="15"/>
          <w:color w:val="auto"/>
        </w:rPr>
        <w:t>Immunosuppressive therapies are designed to suppress the immune system and inhibit an undesired immune response. However, many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therapies are not antigen-specific and, as a result, broadly suppress the immune system leading to undesired side effects that include opportunistic infections, skin cancer and lymphomas. We believe there is an opportunity to develop therapies that instruct the immune system to remain tolerant to a specific antigen and thereby avoid off-target effects of systemic immunosuppression.</w:t>
      </w:r>
    </w:p>
    <w:p>
      <w:pPr>
        <w:spacing w:after="0" w:line="185" w:lineRule="exact"/>
        <w:rPr>
          <w:rFonts w:ascii="Arial" w:cs="Arial" w:eastAsia="Arial" w:hAnsi="Arial"/>
          <w:sz w:val="15"/>
          <w:szCs w:val="15"/>
          <w:color w:val="auto"/>
        </w:rPr>
      </w:pPr>
    </w:p>
    <w:p>
      <w:pPr>
        <w:ind w:left="467" w:right="40" w:hanging="467"/>
        <w:spacing w:after="0" w:line="290" w:lineRule="auto"/>
        <w:tabs>
          <w:tab w:leader="none" w:pos="467"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 xml:space="preserve">Immunostimulatory therapies. </w:t>
      </w:r>
      <w:r>
        <w:rPr>
          <w:rFonts w:ascii="Arial" w:cs="Arial" w:eastAsia="Arial" w:hAnsi="Arial"/>
          <w:sz w:val="14"/>
          <w:szCs w:val="14"/>
          <w:color w:val="auto"/>
        </w:rPr>
        <w:t>Immunostimulatory therapies are designed to stimulate the immune system to prevent or treat infections and cancers. The most common class of</w:t>
      </w:r>
      <w:r>
        <w:rPr>
          <w:rFonts w:ascii="Arial" w:cs="Arial" w:eastAsia="Arial" w:hAnsi="Arial"/>
          <w:sz w:val="14"/>
          <w:szCs w:val="14"/>
          <w:i w:val="1"/>
          <w:iCs w:val="1"/>
          <w:color w:val="auto"/>
        </w:rPr>
        <w:t xml:space="preserve"> </w:t>
      </w:r>
      <w:r>
        <w:rPr>
          <w:rFonts w:ascii="Arial" w:cs="Arial" w:eastAsia="Arial" w:hAnsi="Arial"/>
          <w:sz w:val="14"/>
          <w:szCs w:val="14"/>
          <w:color w:val="auto"/>
        </w:rPr>
        <w:t>immunostimulatory therapies are vaccines, which are designed to simulate the body's immune system to mount a defensive response to a specific antigen. While traditional vaccines have been successful for the prevention of infectious diseases, there has been limited success in developing therapeutic vaccines for the successful treatment of certain other diseases, including chronic infections and cancer. As a result, we believe there is a need for more effective vaccines to treat these diseases.</w:t>
      </w:r>
    </w:p>
    <w:p>
      <w:pPr>
        <w:spacing w:after="0" w:line="14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TECHNOLOGY</w:t>
      </w:r>
    </w:p>
    <w:p>
      <w:pPr>
        <w:spacing w:after="0" w:line="195" w:lineRule="exact"/>
        <w:rPr>
          <w:sz w:val="20"/>
          <w:szCs w:val="20"/>
          <w:color w:val="auto"/>
        </w:rPr>
      </w:pPr>
    </w:p>
    <w:p>
      <w:pPr>
        <w:ind w:left="7" w:right="120"/>
        <w:spacing w:after="0" w:line="282" w:lineRule="auto"/>
        <w:rPr>
          <w:sz w:val="20"/>
          <w:szCs w:val="20"/>
          <w:color w:val="auto"/>
        </w:rPr>
      </w:pPr>
      <w:r>
        <w:rPr>
          <w:rFonts w:ascii="Arial" w:cs="Arial" w:eastAsia="Arial" w:hAnsi="Arial"/>
          <w:sz w:val="14"/>
          <w:szCs w:val="14"/>
          <w:color w:val="auto"/>
        </w:rPr>
        <w:t>Our proprietary SVP technology encapsulates an immunomodulator in biodegradable particles to selectively modulate an immune response in an antigen-specific manner. Our SVP technology is based in part on the pioneering research performed by our co-founders at Harvard University, Massachusetts Institute of Technology, or MIT, and Brigham and Women's Hospital, or Brigham. In connection with our company's founding, we licensed 17 patent families related to certain aspects of our SVP technology as applied to nanoparticles for use in vaccines from our co-founders' institutions pursuant to an agreement with MIT, the party that administers licensing arrangements with respect to patents jointly owned by these institutions. We believe one of the key insights from this research is that nanoparticles are uniquely suited to deliver precise instructions to the immune system as a result of the natural predisposition of the immune system to interrogate nanoparticles, such as viruses. This research led to a portfolio of patents and patent applications covering aspects of our SVP technology, which we have exclusively in-licensed with respect to therapeutic or prophylactic vaccine products or processes. We have aggressively sought to extend and protect the proprietary intellectual property underlying the composition and use of SVP for antigen-specific immunomodulation.</w:t>
      </w:r>
    </w:p>
    <w:p>
      <w:pPr>
        <w:spacing w:after="0" w:line="154"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Our SVP technology is a highly flexible nanoparticle platform, capable of incorporating a wide range of antigens and immunomodulators, allowing us to tailor our SVP products for specific applications across multiple indications. We are tailoring our SVP technology for:</w:t>
      </w:r>
    </w:p>
    <w:p>
      <w:pPr>
        <w:spacing w:after="0" w:line="162" w:lineRule="exact"/>
        <w:rPr>
          <w:sz w:val="20"/>
          <w:szCs w:val="20"/>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treatment of chronic tophaceous and refractory gout;</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antigen-specific immune tolerance for gene therapy involving gene augmentation, replacement or editing;</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application with marketed products and novel biologic drugs that would otherwise be too immunogenic to develop;</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treatment of a life-threatening food allergy, celiac disease and type 1 diabetes under a collaboration with Sanofi;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1"/>
        </w:numPr>
        <w:rPr>
          <w:rFonts w:ascii="Arial" w:cs="Arial" w:eastAsia="Arial" w:hAnsi="Arial"/>
          <w:sz w:val="15"/>
          <w:szCs w:val="15"/>
          <w:color w:val="auto"/>
        </w:rPr>
      </w:pPr>
      <w:r>
        <w:rPr>
          <w:rFonts w:ascii="Arial" w:cs="Arial" w:eastAsia="Arial" w:hAnsi="Arial"/>
          <w:sz w:val="15"/>
          <w:szCs w:val="15"/>
          <w:color w:val="auto"/>
        </w:rPr>
        <w:t>immune stimulation programs to prevent and treat cancer, infectious diseases and other diseases.</w:t>
      </w:r>
    </w:p>
    <w:p>
      <w:pPr>
        <w:spacing w:after="0" w:line="198"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SVP are designed to remain intact after injection into the body and accumulate selectively in lymphoid organs, which include lymph nodes and the spleen, where the immune response is coordinated.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4" w:name="page115"/>
    <w:bookmarkEnd w:id="11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60"/>
        <w:spacing w:after="0" w:line="362" w:lineRule="auto"/>
        <w:rPr>
          <w:sz w:val="20"/>
          <w:szCs w:val="20"/>
          <w:color w:val="auto"/>
        </w:rPr>
      </w:pPr>
      <w:r>
        <w:rPr>
          <w:rFonts w:ascii="Arial" w:cs="Arial" w:eastAsia="Arial" w:hAnsi="Arial"/>
          <w:sz w:val="13"/>
          <w:szCs w:val="13"/>
          <w:color w:val="auto"/>
        </w:rPr>
        <w:t>are designed to be processed by specialized immune cells, such as dendritic cells and other antigen-presenting cells that initiate and regulate immune responses, where they deliver the antigen and immunomodulator in a coordinated and targeted manner. Depending on the type of immunomodulator encapsulated in the SVP, our technology is designed to induce either a:</w:t>
      </w:r>
    </w:p>
    <w:p>
      <w:pPr>
        <w:spacing w:after="0" w:line="117" w:lineRule="exact"/>
        <w:rPr>
          <w:sz w:val="20"/>
          <w:szCs w:val="20"/>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tolerogenic response to mitigate the formation of ADAs against a biologic drug or treat allergies and autoimmune diseases;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2"/>
        </w:numPr>
        <w:rPr>
          <w:rFonts w:ascii="Arial" w:cs="Arial" w:eastAsia="Arial" w:hAnsi="Arial"/>
          <w:sz w:val="15"/>
          <w:szCs w:val="15"/>
          <w:color w:val="auto"/>
        </w:rPr>
      </w:pPr>
      <w:r>
        <w:rPr>
          <w:rFonts w:ascii="Arial" w:cs="Arial" w:eastAsia="Arial" w:hAnsi="Arial"/>
          <w:sz w:val="15"/>
          <w:szCs w:val="15"/>
          <w:color w:val="auto"/>
        </w:rPr>
        <w:t>potent antigen-specific stimulatory response, such as an antibody response to a microbial antigen or a cytolytic T cell response to a tumor antigen.</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A tolerogenic response is the induction of immune tolerance or non-responsiveness to a specific antigen. Cytolytic T cells are specialized antigen-specific immune cells that target and kill cells that harbor a specific antigen.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Figure 2 below depicts the process by which SVP communicates with the immune system to induce either a tolerogenic or antigen-specific stimulatory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130175</wp:posOffset>
            </wp:positionV>
            <wp:extent cx="4530090" cy="22796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530090" cy="227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 How SVP Communicate with the Immune System</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ANTIGEN-SPECIFIC TOLERANCE PROGRAM</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Our antigen-specific SVP tolerance programs utilize SVP-Rapamycin, our biodegradable nanoparticle encapsulating the immunomodulator rapamycin. Rapamycin is a small molecule approved for the prevention of organ rejection in kidney transplant patients. To induce immune tolerance in the body, we co-administer our SVP-Rapamycin with a free antigen, such as a biologic drug, which is depicted in Figure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15887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0910"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3. Co-Administration of SVP-Rapamycin with a Biologic Drug</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SVP-Rapamycin is co-administered at the beginning of therapy with a biologic drug to mitigate the formation of ADAs without altering the drug or its dose regimen. As a result, we believe our SVP-Rapamycin may provide us with significant growth opportunities in the areas of immune tolerance because SVP-Rapamycin can be co-administered at the beginning of therapy with many different biologic drugs. Importantly, each pairing of SVP-Rapamycin with a biologic drug also offers us the opportunity to pursue another proprietary product candidate, which can be separately patented, approved and marketed. SVP-Rapamycin is manufactured under cGMP using well-defined commercial operations, which, we believe, further enhances the scalability of our tolerance programs.</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 xml:space="preserve">During preclinical studies, we observed that delivering an antigen together with SVP-Rapamycin provided the appropriate signals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to induce regulatory T cells, which, in turn, inhibited effector immune responses, such as the formation of ADAs. In our preclinical studies, we observed that SVP-Rapamycin labeled with a fluorescent dye selectively accumulated in lymphoid organs where it was processed by antigen-presenting cells. Figure 4 below depicts a model of how SVP-Rapamycin would enter a lymph node and be taken up by a dendritic cell. We believe that when delivered in the context of our SVP-Rapamycin, both the biologic drug and SVP-Rapamycin are taken up and processed by dendritic cells in a manner that induces regulatory T cells, which can block the activation of helper T cells, mitigating the formation of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16" w:name="page117"/>
    <w:bookmarkEnd w:id="11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30816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091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4. SVP-Rapamycin and Antigen/Biologic Drug Presentation and Related Immune Tolerance Induction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Limitations of existing therapies</w:t>
      </w:r>
    </w:p>
    <w:p>
      <w:pPr>
        <w:spacing w:after="0" w:line="195"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All biologics, even those comprised of human protein sequences, have the potential to induce ADAs. Whether a biologic drug elicits an ADA response depends on both product-specific factors, such as propensity to form aggregates, route of administration and mechanism of action, as well as patient-specific factors, such as genetics, underlying disease and medications. Many enzyme and protein replacement therapies used in the treatment of rare and serious diseases have a particularly high rate of immunogenicity because patients are genetically deficient in the target protein and, as a result, the therapeutic protein can be recognized as foreign.</w:t>
      </w:r>
    </w:p>
    <w:p>
      <w:pPr>
        <w:spacing w:after="0" w:line="162"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The induction of ADAs can lead to neutralization of efficacy, modification of pharmacokinetics and pharmacodynamics as well as allergic responses. Immunogenicity is a significant hurdle for the development of safe and effective biologic treatments and has become a key concern for regulators, as evidenced by over 100 approved biologics that describe immunogenicity in their labels or clinical literature. We believe that immunogenicity is a leading cause of treatment failure for patients and product development failure for biopharmaceutical companies. As depicted in Figure 5 below:</w:t>
      </w:r>
    </w:p>
    <w:p>
      <w:pPr>
        <w:spacing w:after="0" w:line="173" w:lineRule="exact"/>
        <w:rPr>
          <w:sz w:val="20"/>
          <w:szCs w:val="20"/>
          <w:color w:val="auto"/>
        </w:rPr>
      </w:pPr>
    </w:p>
    <w:p>
      <w:pPr>
        <w:ind w:left="467" w:right="140" w:hanging="467"/>
        <w:spacing w:after="0" w:line="282" w:lineRule="auto"/>
        <w:tabs>
          <w:tab w:leader="none" w:pos="4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for 36 currently marketed biologics, over 20% of the patients receiving the biologic are affected by immunogenicity, including Factor VIII products for hemophilia such as Advate and therapeutics with fully human protein sequences such as Humira, a human TNF-alpha antibody;</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3"/>
        </w:numPr>
        <w:rPr>
          <w:rFonts w:ascii="Arial" w:cs="Arial" w:eastAsia="Arial" w:hAnsi="Arial"/>
          <w:sz w:val="14"/>
          <w:szCs w:val="14"/>
          <w:color w:val="auto"/>
        </w:rPr>
      </w:pPr>
      <w:r>
        <w:rPr>
          <w:rFonts w:ascii="Arial" w:cs="Arial" w:eastAsia="Arial" w:hAnsi="Arial"/>
          <w:sz w:val="14"/>
          <w:szCs w:val="14"/>
          <w:color w:val="auto"/>
        </w:rPr>
        <w:t>promising novel biologics, such as recombinant erythropoetin and IgA protease, were abandoned during clinical or preclinical development due to immunogenicity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630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17" w:name="page118"/>
    <w:bookmarkEnd w:id="11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83" w:lineRule="exact"/>
        <w:rPr>
          <w:sz w:val="20"/>
          <w:szCs w:val="20"/>
          <w:color w:val="auto"/>
        </w:rPr>
      </w:pPr>
    </w:p>
    <w:p>
      <w:pPr>
        <w:ind w:left="467" w:right="180" w:hanging="467"/>
        <w:spacing w:after="0" w:line="282" w:lineRule="auto"/>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improved versions of biologics that are in the same pharmaceutical class as immunogenic marketed biologics, including pegsiticase, long-acting coagulation Factor VII and certain antibody drug conjugates, are affected by immunogenicity; and</w:t>
      </w:r>
    </w:p>
    <w:p>
      <w:pPr>
        <w:spacing w:after="0" w:line="173" w:lineRule="exact"/>
        <w:rPr>
          <w:rFonts w:ascii="Arial" w:cs="Arial" w:eastAsia="Arial" w:hAnsi="Arial"/>
          <w:sz w:val="15"/>
          <w:szCs w:val="15"/>
          <w:color w:val="auto"/>
        </w:rPr>
      </w:pPr>
    </w:p>
    <w:p>
      <w:pPr>
        <w:ind w:left="467" w:hanging="467"/>
        <w:spacing w:after="0"/>
        <w:tabs>
          <w:tab w:leader="none" w:pos="467" w:val="left"/>
        </w:tabs>
        <w:numPr>
          <w:ilvl w:val="0"/>
          <w:numId w:val="74"/>
        </w:numPr>
        <w:rPr>
          <w:rFonts w:ascii="Arial" w:cs="Arial" w:eastAsia="Arial" w:hAnsi="Arial"/>
          <w:sz w:val="15"/>
          <w:szCs w:val="15"/>
          <w:color w:val="auto"/>
        </w:rPr>
      </w:pPr>
      <w:r>
        <w:rPr>
          <w:rFonts w:ascii="Arial" w:cs="Arial" w:eastAsia="Arial" w:hAnsi="Arial"/>
          <w:sz w:val="15"/>
          <w:szCs w:val="15"/>
          <w:color w:val="auto"/>
        </w:rPr>
        <w:t>novel platform technologies, such as gene therapy and gene editing, are fundamentally restricted by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12700</wp:posOffset>
            </wp:positionV>
            <wp:extent cx="5030470" cy="33978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030470" cy="339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5. ADA Mitigation Platform Opportunities</w:t>
      </w:r>
    </w:p>
    <w:p>
      <w:pPr>
        <w:spacing w:after="0" w:line="177"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Undesired immunogenicity represents a significant hurdle that can affect the clinical development of new biologic platforms. For example, in gene therapy, viral vectors are required to transport the genetic material into cells. The viral origin of these vectors explains their immunogenicity, which has led drug developers to limit applications to situations where the required frequency and site of administration are conducive to manageable immune responses.</w:t>
      </w:r>
    </w:p>
    <w:p>
      <w:pPr>
        <w:spacing w:after="0" w:line="159" w:lineRule="exact"/>
        <w:rPr>
          <w:sz w:val="20"/>
          <w:szCs w:val="20"/>
          <w:color w:val="auto"/>
        </w:rPr>
      </w:pPr>
    </w:p>
    <w:p>
      <w:pPr>
        <w:ind w:left="7" w:right="380"/>
        <w:spacing w:after="0" w:line="270" w:lineRule="auto"/>
        <w:rPr>
          <w:sz w:val="20"/>
          <w:szCs w:val="20"/>
          <w:color w:val="auto"/>
        </w:rPr>
      </w:pPr>
      <w:r>
        <w:rPr>
          <w:rFonts w:ascii="Arial" w:cs="Arial" w:eastAsia="Arial" w:hAnsi="Arial"/>
          <w:sz w:val="15"/>
          <w:szCs w:val="15"/>
          <w:color w:val="auto"/>
        </w:rPr>
        <w:t>Treatment and product development failure resulting from undesired immunogenicity has been recognized by regulators and patient advocacy organizations. Recently, the FDA and the National Organization for Rare Disorders, or NORD, co-sponsored a workshop on undesired immune responses to enzyme replacement therapies and called on the biopharmaceutical industry to take a more proactive approach to addressing immunogenicity to biologics.</w:t>
      </w:r>
    </w:p>
    <w:p>
      <w:pPr>
        <w:spacing w:after="0" w:line="159"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Currently, we believe there are no comprehensive solutions to the complications of immunogenicity. Drug developers often stop the development of biologics that show an undesired immune response during preclinical or clinical development. In some cases, biopharmaceutical companies may attempt to reduce undesired immune responses by re-engineering the biologic through protein pegylation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8" w:name="page119"/>
    <w:bookmarkEnd w:id="11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2"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color w:val="auto"/>
        </w:rPr>
        <w:t>removal of immunogenic epitopes. However, these approaches are limited in their effectiveness. Physicians may try to address the issue of undesired immune responses by increasing the dose of the biologic, which can be prohibitively expensive, or in life-threatening situations by using general immunosuppressive combination therapies. We believe that our tolerogenic SVP technology could offer an entirely new and effective treatment alternative for undesired immune responses, including with respect to the formation of ADAs, but potentially also for autoimmune diseases and allergies.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tolerance preclinical studies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We have conducted several preclinical studies that we believe demonstrate the efficacy of our SVP technology in inducing immune tolerance.</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Transfer of immune tolerance from mice treated with SVP-Rapamycin</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 xml:space="preserve">In a preclinical study, we observed that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administration of SVP resulted in induction of regulatory T cells, which, in turn inhibited effector immune responses. The objective of this study was to evaluate the ability to transfer tolerance from a tolerized animal to a naïve animal, a hallmark of tolerance induction. As depicted in Figure 6 below, we injected donor mice with two injections of either:</w:t>
      </w:r>
    </w:p>
    <w:p>
      <w:pPr>
        <w:spacing w:after="0" w:line="171" w:lineRule="exact"/>
        <w:rPr>
          <w:sz w:val="20"/>
          <w:szCs w:val="20"/>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 empty nanoparticle, or Empty Nanoparticle, as indicated in blue;</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nanoparticle encapsulating rapamycin, or NP-Rapamycin, and administered without antigen, as indicated in red;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75"/>
        </w:numPr>
        <w:rPr>
          <w:rFonts w:ascii="Arial" w:cs="Arial" w:eastAsia="Arial" w:hAnsi="Arial"/>
          <w:sz w:val="13"/>
          <w:szCs w:val="13"/>
          <w:color w:val="auto"/>
        </w:rPr>
      </w:pPr>
      <w:r>
        <w:rPr>
          <w:rFonts w:ascii="Arial" w:cs="Arial" w:eastAsia="Arial" w:hAnsi="Arial"/>
          <w:sz w:val="13"/>
          <w:szCs w:val="13"/>
          <w:color w:val="auto"/>
        </w:rPr>
        <w:t>SVP-Rapamycin encapsulating a peptide sequence from proteolipoprotein, or PLP, a myelin antigen associated with multiple sclerosis, or SVP-Rapamycin.PLP, as indicated in green.</w:t>
      </w:r>
    </w:p>
    <w:p>
      <w:pPr>
        <w:spacing w:after="0" w:line="221" w:lineRule="exact"/>
        <w:rPr>
          <w:sz w:val="20"/>
          <w:szCs w:val="20"/>
          <w:color w:val="auto"/>
        </w:rPr>
      </w:pPr>
    </w:p>
    <w:p>
      <w:pPr>
        <w:ind w:left="7"/>
        <w:spacing w:after="0" w:line="306" w:lineRule="auto"/>
        <w:rPr>
          <w:sz w:val="20"/>
          <w:szCs w:val="20"/>
          <w:color w:val="auto"/>
        </w:rPr>
      </w:pPr>
      <w:r>
        <w:rPr>
          <w:rFonts w:ascii="Arial" w:cs="Arial" w:eastAsia="Arial" w:hAnsi="Arial"/>
          <w:sz w:val="13"/>
          <w:szCs w:val="13"/>
          <w:color w:val="auto"/>
        </w:rPr>
        <w:t xml:space="preserve">Two weeks after the second injection, cells from the spleens of the mice were harvested and expanded </w:t>
      </w:r>
      <w:r>
        <w:rPr>
          <w:rFonts w:ascii="Arial" w:cs="Arial" w:eastAsia="Arial" w:hAnsi="Arial"/>
          <w:sz w:val="13"/>
          <w:szCs w:val="13"/>
          <w:i w:val="1"/>
          <w:iCs w:val="1"/>
          <w:color w:val="auto"/>
        </w:rPr>
        <w:t>in vitro</w:t>
      </w:r>
      <w:r>
        <w:rPr>
          <w:rFonts w:ascii="Arial" w:cs="Arial" w:eastAsia="Arial" w:hAnsi="Arial"/>
          <w:sz w:val="13"/>
          <w:szCs w:val="13"/>
          <w:color w:val="auto"/>
        </w:rPr>
        <w:t>. These immune cells were then transferred into naïve recipient mice. The next day, all recipient mice were immunized with the PLP peptide in complete Freund's adjuvant, or CFA, a potent immune stimulating adjuvant, to induce experimental autoimmune encephalomyelitis, or EAE, a model of multiple sclerosis. As indicated by the increase in the mean clinical score for multiple sclerosis in Figure 6 below, the untreated control mice that were immunized but received no transferred cells developed EAE approximately ten days after immunization with PLP and CFA, as reflected in black in Figure 6 below. The mice receiving immune cells transferred from donor mice treated with either Empty Nanoparticle or NP-Rapamycin, as indicated in blue and red in Figure 6 below, respectively, also developed EAE approximately ten days after immunization. In contrast, mice that received immune cells transferred from donor mice treated with SVP-Rapamycin.PLP did not develop EAE during the course of the trial, as indicated in green in Figure 6 below. We believe that these results indicate that the SVP-Rapamycin treatment induces a population of antigen-specific regulatory cells that mediate immune tolerance, as evidenced by the ability of transferred cells to confer protection from disease to naïve animals, reflecting a hallmark of immune tolerance.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66305"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19" w:name="page120"/>
    <w:bookmarkEnd w:id="11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3191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0910" cy="319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6. Preclinical Study: Transfer of Immune Tolerance from Mice Treated with SVP-Rapamycin to Naive Mice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Immune tolerance induction with SVP-Rapamycin</w:t>
      </w:r>
    </w:p>
    <w:p>
      <w:pPr>
        <w:spacing w:after="0" w:line="195" w:lineRule="exact"/>
        <w:rPr>
          <w:sz w:val="20"/>
          <w:szCs w:val="20"/>
          <w:color w:val="auto"/>
        </w:rPr>
      </w:pPr>
    </w:p>
    <w:p>
      <w:pPr>
        <w:ind w:left="7" w:right="60"/>
        <w:spacing w:after="0" w:line="330" w:lineRule="auto"/>
        <w:rPr>
          <w:sz w:val="20"/>
          <w:szCs w:val="20"/>
          <w:color w:val="auto"/>
        </w:rPr>
      </w:pPr>
      <w:r>
        <w:rPr>
          <w:rFonts w:ascii="Arial" w:cs="Arial" w:eastAsia="Arial" w:hAnsi="Arial"/>
          <w:sz w:val="13"/>
          <w:szCs w:val="13"/>
          <w:color w:val="auto"/>
        </w:rPr>
        <w:t>We conducted a preclinical study to test whether the encapsulation of rapamycin in SVP was necessary for immune tolerance induction by comparing weekly doses of SVP-Rapamycin with daily doses of free unencapsulated rapamycin. Our preclinical data indicated that SVP-Rapamycin, but not free unencapsulated rapamycin, induced antigen-specific tolerance that was resistant to subsequent challenges with the antigen alone. As depicted in Figure 7 below, study mice were separated into three groups during the course of a 21-day treatment period:</w:t>
      </w:r>
    </w:p>
    <w:p>
      <w:pPr>
        <w:spacing w:after="0" w:line="136" w:lineRule="exact"/>
        <w:rPr>
          <w:sz w:val="20"/>
          <w:szCs w:val="20"/>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first group, referred to as the Delayed Immunization Group indicated in black, was not treated with anything during the treatment period;</w:t>
      </w:r>
    </w:p>
    <w:p>
      <w:pPr>
        <w:spacing w:after="0" w:line="221" w:lineRule="exact"/>
        <w:rPr>
          <w:rFonts w:ascii="Arial" w:cs="Arial" w:eastAsia="Arial" w:hAnsi="Arial"/>
          <w:sz w:val="15"/>
          <w:szCs w:val="15"/>
          <w:color w:val="auto"/>
        </w:rPr>
      </w:pPr>
    </w:p>
    <w:p>
      <w:pPr>
        <w:ind w:left="467" w:right="120" w:hanging="467"/>
        <w:spacing w:after="0" w:line="282" w:lineRule="auto"/>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second group, referred to as the Daily Free Rapamycin Group indicated in red, was treated with doses of free unencapsulated rapamycin five days per week and weekly doses of the highly immunogenic antigen keyhole limpet hemocyanin, or KLH;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third group, referred to as the SVP-Rapamycin Group indicated in green, received three weekly doses of SVP-Rapamycin combined with KLH.</w:t>
      </w:r>
    </w:p>
    <w:p>
      <w:pPr>
        <w:spacing w:after="0" w:line="198"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Following the treatment period, all of the mice were then challenged with three weekly injections of KLH alone to assess the durability of immune tolerance. As depicted in Figure 7 below, the mice in both the SVP-Rapamycin Group and Daily Free Rapamycin Group showed inhibition of the KLH-specific ADA responses after the treatment phase of the trial. However, only the SVP-Rapamycin Group maintained immune tolerance after the challenge phase. We believe that these results indicate that SVP-Rapamycin induced a population of regulatory T cells that maintained tolerance to challenge with antigen alone, whereas the administration of daily free rapamycin did not. Notably, the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0" w:name="page121"/>
    <w:bookmarkEnd w:id="1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Free Rapamycin Group was administered free unencapsulated rapamycin at five times the dose of SVP-Rapamycin administered to the SVP-Rapamycin Group during the course of the treatment period, yet we observed that this treatment induced only transient immunosuppression during the treatment phase but not durable immune tolerance during the challenge phase. We believe that the difference between the durable immune tolerance observed in the SVP-Rapamycin Group and the transient immunosuppression observed in the Daily Free Rapamycin Group was attributable to the ability of our SVP technology to specifically deliver the tolerogenic instructions, in the form of the encapsulated rapamycin, directly to the antigen-presenting dendritic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110490</wp:posOffset>
            </wp:positionV>
            <wp:extent cx="5030470" cy="24123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030470" cy="241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7. Preclinical Study: Immune Tolerance Induction with SVP-Rapamycin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Inhibition of KLH-Specific ADA response by SVP-Rapamycin in nonhuman primates</w:t>
      </w:r>
    </w:p>
    <w:p>
      <w:pPr>
        <w:spacing w:after="0" w:line="195" w:lineRule="exact"/>
        <w:rPr>
          <w:sz w:val="20"/>
          <w:szCs w:val="20"/>
          <w:color w:val="auto"/>
        </w:rPr>
      </w:pPr>
    </w:p>
    <w:p>
      <w:pPr>
        <w:ind w:left="7" w:right="380"/>
        <w:spacing w:after="0" w:line="282" w:lineRule="auto"/>
        <w:rPr>
          <w:sz w:val="20"/>
          <w:szCs w:val="20"/>
          <w:color w:val="auto"/>
        </w:rPr>
      </w:pPr>
      <w:r>
        <w:rPr>
          <w:rFonts w:ascii="Arial" w:cs="Arial" w:eastAsia="Arial" w:hAnsi="Arial"/>
          <w:sz w:val="15"/>
          <w:szCs w:val="15"/>
          <w:color w:val="auto"/>
        </w:rPr>
        <w:t>In a preclinical study, we also observed that our SVP technology inhibited antibody responses to KLH in nonhuman primates. As depicted in Figure 7 below, during a 56-day treatment period, nonhuman primates were administered five biweekly intravenous doses of KLH combined with either:</w:t>
      </w:r>
    </w:p>
    <w:p>
      <w:pPr>
        <w:spacing w:after="0" w:line="162" w:lineRule="exact"/>
        <w:rPr>
          <w:sz w:val="20"/>
          <w:szCs w:val="20"/>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 empty nanoparticle,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77"/>
        </w:numPr>
        <w:rPr>
          <w:rFonts w:ascii="Arial" w:cs="Arial" w:eastAsia="Arial" w:hAnsi="Arial"/>
          <w:sz w:val="15"/>
          <w:szCs w:val="15"/>
          <w:color w:val="auto"/>
        </w:rPr>
      </w:pPr>
      <w:r>
        <w:rPr>
          <w:rFonts w:ascii="Arial" w:cs="Arial" w:eastAsia="Arial" w:hAnsi="Arial"/>
          <w:sz w:val="15"/>
          <w:szCs w:val="15"/>
          <w:color w:val="auto"/>
        </w:rPr>
        <w:t>SVP-Rapamycin, referred to as the SVP-Rapamycin Group and indicated in green.</w:t>
      </w:r>
    </w:p>
    <w:p>
      <w:pPr>
        <w:spacing w:after="0" w:line="198" w:lineRule="exact"/>
        <w:rPr>
          <w:sz w:val="20"/>
          <w:szCs w:val="20"/>
          <w:color w:val="auto"/>
        </w:rPr>
      </w:pPr>
    </w:p>
    <w:p>
      <w:pPr>
        <w:jc w:val="both"/>
        <w:ind w:left="7" w:right="40"/>
        <w:spacing w:after="0" w:line="270" w:lineRule="auto"/>
        <w:rPr>
          <w:sz w:val="20"/>
          <w:szCs w:val="20"/>
          <w:color w:val="auto"/>
        </w:rPr>
      </w:pPr>
      <w:r>
        <w:rPr>
          <w:rFonts w:ascii="Arial" w:cs="Arial" w:eastAsia="Arial" w:hAnsi="Arial"/>
          <w:sz w:val="15"/>
          <w:szCs w:val="15"/>
          <w:color w:val="auto"/>
        </w:rPr>
        <w:t>After the treatment period, there was a challenge phase in which the nonhuman primates were administered three doses of KLH alone on days 70, 84 and 98. As indicated in Figure 8 below, the animals in the SVP-Rapamycin Group, which were injected with KLH combined with SVP-Rapamycin, mounted no or a much lower immune response as indicated by the lack of KLH-specific ADAs. In comparison, we observed high levels of KLH-specific ADAs in the Empty Nanoparticle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21" w:name="page122"/>
    <w:bookmarkEnd w:id="12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7724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0910" cy="277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8. Preclinical Study: Inhibition of KLH-Specific ADA Response by SVP-Rapamycin in Nonhuman Primates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 PROGRAMS TO INDUCE ANTIGEN-SPECIFIC TOLERANCE</w:t>
      </w:r>
    </w:p>
    <w:p>
      <w:pPr>
        <w:spacing w:after="0" w:line="195" w:lineRule="exact"/>
        <w:rPr>
          <w:sz w:val="20"/>
          <w:szCs w:val="20"/>
          <w:color w:val="auto"/>
        </w:rPr>
      </w:pPr>
    </w:p>
    <w:p>
      <w:pPr>
        <w:ind w:left="7" w:right="220"/>
        <w:spacing w:after="0" w:line="282" w:lineRule="auto"/>
        <w:rPr>
          <w:sz w:val="20"/>
          <w:szCs w:val="20"/>
          <w:color w:val="auto"/>
        </w:rPr>
      </w:pPr>
      <w:r>
        <w:rPr>
          <w:rFonts w:ascii="Arial" w:cs="Arial" w:eastAsia="Arial" w:hAnsi="Arial"/>
          <w:sz w:val="15"/>
          <w:szCs w:val="15"/>
          <w:color w:val="auto"/>
        </w:rPr>
        <w:t>We believe our SVP technology to induce antigen-specific tolerance has a broad range of applications. We are currently pursuing targeted product development strategies for four discrete applications in which we believe SVP products could be highly differentiated.</w:t>
      </w:r>
    </w:p>
    <w:p>
      <w:pPr>
        <w:spacing w:after="0" w:line="162" w:lineRule="exact"/>
        <w:rPr>
          <w:sz w:val="20"/>
          <w:szCs w:val="20"/>
          <w:color w:val="auto"/>
        </w:rPr>
      </w:pPr>
    </w:p>
    <w:p>
      <w:pPr>
        <w:ind w:left="467" w:right="40" w:hanging="467"/>
        <w:spacing w:after="0" w:line="284" w:lineRule="auto"/>
        <w:tabs>
          <w:tab w:leader="none" w:pos="467" w:val="left"/>
        </w:tabs>
        <w:numPr>
          <w:ilvl w:val="0"/>
          <w:numId w:val="78"/>
        </w:numPr>
        <w:rPr>
          <w:rFonts w:ascii="Arial" w:cs="Arial" w:eastAsia="Arial" w:hAnsi="Arial"/>
          <w:sz w:val="14"/>
          <w:szCs w:val="14"/>
          <w:color w:val="auto"/>
        </w:rPr>
      </w:pPr>
      <w:r>
        <w:rPr>
          <w:rFonts w:ascii="Arial" w:cs="Arial" w:eastAsia="Arial" w:hAnsi="Arial"/>
          <w:sz w:val="14"/>
          <w:szCs w:val="14"/>
          <w:i w:val="1"/>
          <w:iCs w:val="1"/>
          <w:color w:val="auto"/>
        </w:rPr>
        <w:t>Therapeutic enzymes</w:t>
      </w:r>
      <w:r>
        <w:rPr>
          <w:rFonts w:ascii="Arial" w:cs="Arial" w:eastAsia="Arial" w:hAnsi="Arial"/>
          <w:sz w:val="14"/>
          <w:szCs w:val="14"/>
          <w:color w:val="auto"/>
        </w:rPr>
        <w:t>. Therapeutic enzymes are a frequently used class of biologic drugs to treat rare diseases. Through our analysis of biologic drugs, including our preclinical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studies, we have observed that enzymes are especially prone to undesired immune responses. Our lead product candidate, SEL-212, includes pegsiticase, a pegylated uricase enzyme, which is an example of an immunogenic enzyme for which we are applying SVP-Rapamycin with the intention of improving the enzyme's efficacy and safety. Other examples of immunogenic enzymes include acid alpha-glucosidase for the treatment of Pompe disease, alpha galactosidase A for the treatment of Fabry's disease and microbial enzymes such as asparaginase for the treatment of cancers. We intend to seek opportunities to secure supply of and, if appropriate, licenses to, these or other enzymes that we would pair with SVP-Rapamycin to enhance their efficacy, safety and use in their treatment of diseases.</w:t>
      </w:r>
    </w:p>
    <w:p>
      <w:pPr>
        <w:spacing w:after="0" w:line="177" w:lineRule="exact"/>
        <w:rPr>
          <w:rFonts w:ascii="Arial" w:cs="Arial" w:eastAsia="Arial" w:hAnsi="Arial"/>
          <w:sz w:val="14"/>
          <w:szCs w:val="14"/>
          <w:color w:val="auto"/>
        </w:rPr>
      </w:pPr>
    </w:p>
    <w:p>
      <w:pPr>
        <w:ind w:left="467" w:right="120" w:hanging="467"/>
        <w:spacing w:after="0" w:line="284" w:lineRule="auto"/>
        <w:tabs>
          <w:tab w:leader="none" w:pos="467" w:val="left"/>
        </w:tabs>
        <w:numPr>
          <w:ilvl w:val="0"/>
          <w:numId w:val="78"/>
        </w:numPr>
        <w:rPr>
          <w:rFonts w:ascii="Arial" w:cs="Arial" w:eastAsia="Arial" w:hAnsi="Arial"/>
          <w:sz w:val="14"/>
          <w:szCs w:val="14"/>
          <w:color w:val="auto"/>
        </w:rPr>
      </w:pPr>
      <w:r>
        <w:rPr>
          <w:rFonts w:ascii="Arial" w:cs="Arial" w:eastAsia="Arial" w:hAnsi="Arial"/>
          <w:sz w:val="14"/>
          <w:szCs w:val="14"/>
          <w:i w:val="1"/>
          <w:iCs w:val="1"/>
          <w:color w:val="auto"/>
        </w:rPr>
        <w:t>Gene therapies</w:t>
      </w:r>
      <w:r>
        <w:rPr>
          <w:rFonts w:ascii="Arial" w:cs="Arial" w:eastAsia="Arial" w:hAnsi="Arial"/>
          <w:sz w:val="14"/>
          <w:szCs w:val="14"/>
          <w:color w:val="auto"/>
        </w:rPr>
        <w:t>. We believe gene therapies have the potential to address key unmet medical needs for many rare genetic diseases, but that undesired immune responses to the viral</w:t>
      </w:r>
      <w:r>
        <w:rPr>
          <w:rFonts w:ascii="Arial" w:cs="Arial" w:eastAsia="Arial" w:hAnsi="Arial"/>
          <w:sz w:val="14"/>
          <w:szCs w:val="14"/>
          <w:i w:val="1"/>
          <w:iCs w:val="1"/>
          <w:color w:val="auto"/>
        </w:rPr>
        <w:t xml:space="preserve"> </w:t>
      </w:r>
      <w:r>
        <w:rPr>
          <w:rFonts w:ascii="Arial" w:cs="Arial" w:eastAsia="Arial" w:hAnsi="Arial"/>
          <w:sz w:val="14"/>
          <w:szCs w:val="14"/>
          <w:color w:val="auto"/>
        </w:rPr>
        <w:t>vectors used for gene replacement, augmentation and editing may be restricting their broader use. Through our analysis of genetic diseases, we have identified applications and patient segments that we believe would benefit from our SVP technology. We intend to develop proprietary SVP-Rapamycin-enabled non-immunogenic gene therapies with viral vectors such as the Anc80 vector that we have licensed from MEE. We believe our product candidates have the potential to solve the problem of pre-existing immunogenicity to the gene therapy vector by using a novel engineered gene therapy vector, Anc80, and to prevent undesired immune responses to the vector and transgene that can occur with the first dose of gene therapy by using our SVP technology. Our initial areas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2" w:name="page123"/>
    <w:bookmarkEnd w:id="12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467" w:right="60"/>
        <w:spacing w:after="0" w:line="266" w:lineRule="auto"/>
        <w:rPr>
          <w:sz w:val="20"/>
          <w:szCs w:val="20"/>
          <w:color w:val="auto"/>
        </w:rPr>
      </w:pPr>
      <w:r>
        <w:rPr>
          <w:rFonts w:ascii="Arial" w:cs="Arial" w:eastAsia="Arial" w:hAnsi="Arial"/>
          <w:sz w:val="15"/>
          <w:szCs w:val="15"/>
          <w:color w:val="auto"/>
        </w:rPr>
        <w:t>include lysosomal storage, genetic muscular and genetic metabolic diseases. Our proprietary gene therapy programs are focused on the use of vectors that have documented efficiency in delivery of the transgene in nonhuman primates such as Anc80. We believe we are the first company to systematically pursue the development of gene therapy products in combination with an immunotherapy with the goal of enabling repeat administration of the gene therapy. We have engaged third parties with experience in gene therapy and rare diseases to support the development of our proprietary products.</w:t>
      </w:r>
    </w:p>
    <w:p>
      <w:pPr>
        <w:spacing w:after="0" w:line="173" w:lineRule="exact"/>
        <w:rPr>
          <w:sz w:val="20"/>
          <w:szCs w:val="20"/>
          <w:color w:val="auto"/>
        </w:rPr>
      </w:pPr>
    </w:p>
    <w:p>
      <w:pPr>
        <w:ind w:left="467" w:right="20" w:hanging="467"/>
        <w:spacing w:after="0" w:line="313" w:lineRule="auto"/>
        <w:tabs>
          <w:tab w:leader="none" w:pos="467"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Other products and product candidates affected by undesired immune responses</w:t>
      </w:r>
      <w:r>
        <w:rPr>
          <w:rFonts w:ascii="Arial" w:cs="Arial" w:eastAsia="Arial" w:hAnsi="Arial"/>
          <w:sz w:val="13"/>
          <w:szCs w:val="13"/>
          <w:color w:val="auto"/>
        </w:rPr>
        <w:t>. We have generated preclinical data demonstrating the breadth of the SVP program for immune</w:t>
      </w:r>
      <w:r>
        <w:rPr>
          <w:rFonts w:ascii="Arial" w:cs="Arial" w:eastAsia="Arial" w:hAnsi="Arial"/>
          <w:sz w:val="13"/>
          <w:szCs w:val="13"/>
          <w:i w:val="1"/>
          <w:iCs w:val="1"/>
          <w:color w:val="auto"/>
        </w:rPr>
        <w:t xml:space="preserve"> </w:t>
      </w:r>
      <w:r>
        <w:rPr>
          <w:rFonts w:ascii="Arial" w:cs="Arial" w:eastAsia="Arial" w:hAnsi="Arial"/>
          <w:sz w:val="13"/>
          <w:szCs w:val="13"/>
          <w:color w:val="auto"/>
        </w:rPr>
        <w:t>tolerance. For many biologic drugs, undesired immune responses limit efficacy and cause safety concerns. This includes TNF-alpha-specific monoclonal antibodies for the treatment of rheumatoid arthritis and coagulation factor replacement therapies for the treatment of hemophilia. We intend to out-license SVP-Rapamycin technology for use with other products that are outside our focus to larger biopharmaceutical companies. We believe our SVP technology may also be of interest to biopharmaceutical companies with biologic product candidates in clinical development that have demonstrated initial efficacy but are experiencing issues with safety or sustained efficacy due to inhibitory ADAs.</w:t>
      </w:r>
    </w:p>
    <w:p>
      <w:pPr>
        <w:spacing w:after="0" w:line="160" w:lineRule="exact"/>
        <w:rPr>
          <w:rFonts w:ascii="Arial" w:cs="Arial" w:eastAsia="Arial" w:hAnsi="Arial"/>
          <w:sz w:val="13"/>
          <w:szCs w:val="13"/>
          <w:color w:val="auto"/>
        </w:rPr>
      </w:pPr>
    </w:p>
    <w:p>
      <w:pPr>
        <w:ind w:left="467" w:right="140" w:hanging="467"/>
        <w:spacing w:after="0" w:line="313" w:lineRule="auto"/>
        <w:tabs>
          <w:tab w:leader="none" w:pos="467" w:val="left"/>
        </w:tabs>
        <w:numPr>
          <w:ilvl w:val="0"/>
          <w:numId w:val="79"/>
        </w:numPr>
        <w:rPr>
          <w:rFonts w:ascii="Arial" w:cs="Arial" w:eastAsia="Arial" w:hAnsi="Arial"/>
          <w:sz w:val="13"/>
          <w:szCs w:val="13"/>
          <w:color w:val="auto"/>
        </w:rPr>
      </w:pPr>
      <w:r>
        <w:rPr>
          <w:rFonts w:ascii="Arial" w:cs="Arial" w:eastAsia="Arial" w:hAnsi="Arial"/>
          <w:sz w:val="13"/>
          <w:szCs w:val="13"/>
          <w:i w:val="1"/>
          <w:iCs w:val="1"/>
          <w:color w:val="auto"/>
        </w:rPr>
        <w:t>Allergies and autoimmune diseases</w:t>
      </w:r>
      <w:r>
        <w:rPr>
          <w:rFonts w:ascii="Arial" w:cs="Arial" w:eastAsia="Arial" w:hAnsi="Arial"/>
          <w:sz w:val="13"/>
          <w:szCs w:val="13"/>
          <w:color w:val="auto"/>
        </w:rPr>
        <w:t>. In addition to the formation of ADAs, undesired immunogenicity can take the form of allergies when the immune system reacts to allergens</w:t>
      </w:r>
      <w:r>
        <w:rPr>
          <w:rFonts w:ascii="Arial" w:cs="Arial" w:eastAsia="Arial" w:hAnsi="Arial"/>
          <w:sz w:val="13"/>
          <w:szCs w:val="13"/>
          <w:i w:val="1"/>
          <w:iCs w:val="1"/>
          <w:color w:val="auto"/>
        </w:rPr>
        <w:t xml:space="preserve"> </w:t>
      </w:r>
      <w:r>
        <w:rPr>
          <w:rFonts w:ascii="Arial" w:cs="Arial" w:eastAsia="Arial" w:hAnsi="Arial"/>
          <w:sz w:val="13"/>
          <w:szCs w:val="13"/>
          <w:color w:val="auto"/>
        </w:rPr>
        <w:t>such as food and pollen, or autoimmune diseases when the immune system attacks the body's own proteins. We have three collaborations with Sanofi to advance our SVP programs in the area of allergies and autoimmune disease. As part of one of the collaborations, the Juvenile Diabetes Research Foundation and Sanofi have also awarded us with a grant to support the development of our SVP technology in the area of autoimmune disease by providing expertise and financial resources. Our SVP program in the area of allergies and autoimmune disease focuses on expanding our related product pipeline based on these collaborations and other out-licensing arrangements.</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SEL-212 for the treatment of refractory and chronic tophaceous gout</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SEL-212 is our proprietary product candidate for the treatment of refractory and chronic tophaceous gout. SEL-212 consists of SVP-Rapamycin co-administered with pegsiticase, a pegylated uricase. We believe that our SEL-212 has the potential to offer a uniquely effective treatment for patients with refractory or chronic tophaceous gout, while also demonstrating the clinical effectiveness of our SVP technology. Pegylated uricase, in the form of the approved drug Krystexxa, has demonstrated the ability to significantly reduce uric acid levels and dissolve the harmful uric acid crystals that are the manifestations of gout upon initial treatment in naïve patients. However, Krystexxa has not achieved broad commercial adoption, which we believe is primarily due to an undesired immune response that significant restricts clinical use. Based on our preclinical studies, we believe that by leveraging our SVP technology to induce durable immune tolerance of our pegylated uricase, pegsiticase, SEL-212 may potentially overcome this undesired immune response and optimize pegsiticase's effectiveness in controlling uric acid levels and, as a result, enable the effective dissolution and removal of uric acid crystals.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The market for gout therapy</w:t>
      </w:r>
    </w:p>
    <w:p>
      <w:pPr>
        <w:spacing w:after="0" w:line="195"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Gout is a painful and potentially disabling form of arthritis resulting from excess accumulation of uric acid and deposition of uric acid crystals in joints and soft tissues, including those of the kidney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heart, causing harmful inflammation. Gout is caused by an overproduction of uric acid, a natural byproduct of purine metabolism that is produced after consumption of food with high levels of purines such as seafood, meat, yeast and certain vegetables, or an inability of the kidneys to excrete adequate amounts of uric acid from the body. High concentrations of serum uric acid lead to formation of insoluble uric acid crystals in joints and tissues, causing pain, inflammation and joint damage, and increase the risk for other conditions, including cardiovascular, cardiometabolic, joint and kidney disease.</w:t>
      </w:r>
    </w:p>
    <w:p>
      <w:pPr>
        <w:spacing w:after="0" w:line="16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There are approximately 8.3 million and 10 million gout sufferers in the United States and the European Union, respectively. The first line of treatments for gout are allopurinol and febuxostat. Both drugs are xanthine oxidase inhibitors, oral drugs that reduce the synthesis of uric acid. Lesinurad and probenecid are oral gout drugs that increase the rate of excretion of uric acid through the kidneys, and are used almost exclusively in combination with these first line treatments. While both of these treatments are designed to prevent the formation of uric acid deposits, neither of these treatments effectively reduces existing uric acid deposits in joints and tissues. Additionally, neither of these first line treatments individually or in combination with lesinurad and probenecid are indicated for refractory or chronic tophaceous gout.</w:t>
      </w:r>
    </w:p>
    <w:p>
      <w:pPr>
        <w:spacing w:after="0" w:line="167"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estimate that approximately 50,000 patients in the United States suffer from chronic refractory gout, an orphan indication defined by uric acid levels that cannot be controlled by available oral therapies. Krystexxa, an injectable pegylated uricase enzyme, is indicated for the treatment of chronic refractory gout. In clinical trials, Krystexxa demonstrated the ability to rapidly reduce uric acid levels upon initial dosing. However, despite these clinical results, Krystexxa has not achieved broad commercial adoption. Because uricase is an enzyme foreign to humans, we believe this is primarily due to an undesired immune response. The package insert information for Krystexxa indicates that 92% of patients develop ADAs, 26% experience infusion site reactions and 6.5% experience anaphylaxis, a life-threatening allergic reaction typically involving itchy rash, throat swelling and low blood pressure. The package insert information also indicates that during the drug's clinical trials, high Krystexxa-specific ADA titer in patients was associated with a failure to maintain normalization of uric acid levels. Similarly, in 2011, The Journal of the American Medical Association published the results of clinical trials finding that 58% of Krystexxa patients who received biweekly doses of Krystexxa were non-responders with loss of efficacy starting as early as two weeks after treatment.</w:t>
      </w:r>
    </w:p>
    <w:p>
      <w:pPr>
        <w:spacing w:after="0" w:line="154" w:lineRule="exact"/>
        <w:rPr>
          <w:sz w:val="20"/>
          <w:szCs w:val="20"/>
          <w:color w:val="auto"/>
        </w:rPr>
      </w:pPr>
    </w:p>
    <w:p>
      <w:pPr>
        <w:jc w:val="both"/>
        <w:ind w:right="100"/>
        <w:spacing w:after="0" w:line="290" w:lineRule="auto"/>
        <w:rPr>
          <w:sz w:val="20"/>
          <w:szCs w:val="20"/>
          <w:color w:val="auto"/>
        </w:rPr>
      </w:pPr>
      <w:r>
        <w:rPr>
          <w:rFonts w:ascii="Arial" w:cs="Arial" w:eastAsia="Arial" w:hAnsi="Arial"/>
          <w:sz w:val="14"/>
          <w:szCs w:val="14"/>
          <w:color w:val="auto"/>
        </w:rPr>
        <w:t>Gout is a spectrum of disease with the traditional diagnosis being the extraction of monosodium urate crystals with joint fluid or uric acid crystals from a visible tophus. Additionally, high concentrations of serum uric acid increase the risk of co-morbidities, including cardiovascular, cardiometabolic, joint and kidney disease. Patients who are unable to reduce their serum uric acids levels below 6 mg/dl with oral drugs are diagnosed with refractory gout. Patients who have uric acid deposits, or tophi, in soft tissues, joints, the urinary tract, the digestive tract or the heart and a persistently elevated uric acid level when left untreated are diagnosed with chronic tophaceous gout. Tophi are a source of inflammation and pain.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Figure 9 below illustrates the association between gout and diseases of the heart, vascular system, metabolic process, kidney and joints.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4" w:name="page125"/>
    <w:bookmarkEnd w:id="12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33902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0910" cy="339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9. Co-Morbidities Associated with Gout</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Approximately 500,000 patients in the United States suffer from chronic tophaceous gout. There is no approved drug for this patient group that resolves tophi, although clinical studies have indicated that Krystexxa is effective in clearing uric acid deposits in patients that do not develop inhibitory levels of ADAs. We believe that oral gout drugs cannot effectively remove tophi from joints and tissue due to their limited ability to affect existing uric acid deposits.</w:t>
      </w:r>
    </w:p>
    <w:p>
      <w:pPr>
        <w:spacing w:after="0" w:line="159"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Based on our preclinical studies, our Phase 1b clinical data and market research, we believe that SEL-212 may potentially address two key unmet needs in the treatment of gout, the durable control of serum uric acid levels in patients with chronic refractory gout and removal of painful and damaging uric acid deposits for patients with chronic tophaceous gout.</w:t>
      </w:r>
    </w:p>
    <w:p>
      <w:pPr>
        <w:spacing w:after="0" w:line="12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Our product development strategy is designed to address these unmet medical needs while improving the dosing regimen compared to Krystexxa. We plan to initially seek regulatory approval for the treatment of refractory gout by demonstrating reduction of serum uric acid levels below the FDA-approved endpoint and clinical guideline of 6 mg/dl. We plan to conduct a clinical program to support a label extension for the treatment of patients with chronic tophaceous gout. During our market research, physicians expressed their preference for monthly dosing as well as for a subcutaneous route of administration. In response to this preference, we intend to develop SEL-212 as a monthly treatment and offer a subcutaneous formulation following the initial launch of the intravenous dosage form, if approved. We believe that Krystexxa has been developed as a bi-weekly intravenous-only formulation to avoid additional immunogenicity anticipated from a higher dose that would be required by a monthly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25" w:name="page126"/>
    <w:bookmarkEnd w:id="12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We believe that SEL-212 is ideally suited for patients diagnosed with chronic tophaceous gout. If approved, our strategy is to position SEL-212 as an induction therapy for gout that would remove harmful uric acid deposits over five monthly doses on average and allow patients to switch to oral gout maintenance therapy with xanthine oxidase inhibitors unless and until such patients experience a subsequent manifestation of uric acid deposits at which time a new course of SEL-212 would be required. We do not believe that oral therapy would completely prevent the build-up over time of uric acid crystals in patients with a history of chronic tophaceous gout. As a result, we anticipate that SEL-212 induction treatment, if approved, would be required intermittently in such patients. We believe that, in contrast to Krystexxa, SEL-212 induction treatment may be effective in removing harmful uric acid deposits in most patients with chronic tophaceous gout over multiple cycles of treatment. Figure 10 below depicts this positioning strategy as a sample diagram illustrating what we believe to be a shift in the treatment paradigm for chronic tophaceous gout.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112395</wp:posOffset>
            </wp:positionV>
            <wp:extent cx="4728845" cy="29857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28845"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10. Sample Treatment Course for Chronic Tophaceous Gout.</w:t>
      </w:r>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We expect our clinical and marketing strategy for SEL-212 to initially focus on the estimated 160,000 patients in the United States diagnosed with refractory or chronic tophaceous gout being treated by rheumatologists, as well as approximately the same estimated number of patients in Europe. We believe that for these patients who are already being treated by rheumatologists and diagnosed with chronic tophaceous gout, the need for a new treatment is the highest. If SEL-212 is approved, we expect our strategy for marketing SEL-212 to rheumatologists will be to promote a switch from oral therapies to SEL-212 for patients with serum uric acid levels chronically above 6 mg/dl and diagnosed with chronic tophaceous gout. We intend to leverage imaging technologies recently recommended by the guideline writing associations for rheumatology, including the American College of Rheumatology and the European League Against Rheumatism. In particular, dual energy computed tomography can visualize uric acid deposits in joints and tissues as depicted in Figure 11 below in green and has the potential to become an important tool to manage chronic tophaceous gout and to visualize the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26" w:name="page127"/>
    <w:bookmarkEnd w:id="12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of SEL-212. We believe dual energy computed tomography imaging use could increase the market for SEL-212 by increasing the rate of diagnosis of chronic tophaceous gout.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11. Tophi / Uric Acid Deposits (shown in green) Visualized Using Dual Energy Computed Tomography Imaging</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SEL-212 components</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Our SEL-212 consists of SVP-Rapamycin co-administered with pegsiticase. Our SVP-Rapamycin consists of nanoparticles composed of poly(D,L-lactide), or PLA, and poly(D,L-lactide)-block-poly(ethylene-glycol), or PLA-PEG, encapsulating rapamycin. Our pegsiticase consists of a uricase modified with poly(ethylene-glycol), or PEG. The components of SEL-212 are depicted in Figure 12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105410</wp:posOffset>
            </wp:positionV>
            <wp:extent cx="3971290" cy="12649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7129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12. Components of SEL-212</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Our pegsiticase is a pegylated version of the therapeutic enzyme uricase, which we have licensed from Shenyang Sunshine Pharmaceutical Co., Ltd., or 3SBio, exclusively for all markets, except Japan and Greater China, and exclusively for Japan only in combination with our SVP Platform technology.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 Unlike other gout drugs, uricase is highly effective in lowering existing high uric acid levels within the first few hours of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27" w:name="page128"/>
    <w:bookmarkEnd w:id="12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SVP-Rapamycin is our biodegradable nanoparticle that encapsulates the tolerance-inducing immunomodulator rapamycin, also referred to as sirolimus. Rapamycin is the active ingredient of Rapamune, an immunosuppressant which has extensive prior use in humans and is currently FDA-approved for prophylaxis of organ rejection in kidney transplant patients aged 13 or older. PLA is part of the broader poly(lactic-co-glycolic acid), or PLGA, family of biodegradable polymers that have more than 30 years of commercial use and are formulation components in a number of approved products. Polyethylene glycol, or PEG, has been widely studied in clinical trials and is also a formulation component in many approved biologic products. In our preclinical studies, SVP-Rapamycin co-administered at the initiation of treatment with a biologic drug induced antigen-specific immune tolerance to the biologic drug, substantially reducing the formation of associated ADAs.</w:t>
      </w:r>
    </w:p>
    <w:p>
      <w:pPr>
        <w:spacing w:after="0" w:line="167" w:lineRule="exact"/>
        <w:rPr>
          <w:sz w:val="20"/>
          <w:szCs w:val="20"/>
          <w:color w:val="auto"/>
        </w:rPr>
      </w:pPr>
    </w:p>
    <w:p>
      <w:pPr>
        <w:ind w:left="7" w:right="620"/>
        <w:spacing w:after="0" w:line="282" w:lineRule="auto"/>
        <w:rPr>
          <w:sz w:val="20"/>
          <w:szCs w:val="20"/>
          <w:color w:val="auto"/>
        </w:rPr>
      </w:pPr>
      <w:r>
        <w:rPr>
          <w:rFonts w:ascii="Arial" w:cs="Arial" w:eastAsia="Arial" w:hAnsi="Arial"/>
          <w:sz w:val="15"/>
          <w:szCs w:val="15"/>
          <w:color w:val="auto"/>
        </w:rPr>
        <w:t>As depicted in Figure 13 below, SEL-212 is designed as a treatment course consisting of three doses of SVP-Rapamycin co-administered with pegsiticase followed by two doses of pegsiticase alone, with each dose administered every two to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100330</wp:posOffset>
            </wp:positionV>
            <wp:extent cx="4508500" cy="904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508500"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13. SEL-212 Treatment Course</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We have executed a comprehensive preclinical program of SEL-212 in uricase deficient mice and wild type mice, rats and nonhuman primates to evaluate efficacy, dose regimens and safety.</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uricase-deficient mice</w:t>
      </w:r>
    </w:p>
    <w:p>
      <w:pPr>
        <w:spacing w:after="0" w:line="198"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We conducted a pharmacology study in mice that were genetically deficient in endogenous uricase. The study evaluated the efficacy of a dose regimen consisting of three immunizations with SEL-212 followed by doses of pegsiticase alone in preventing the formation of ADAs to pegsiticase. The treatment period consisted of the first 14 days of the study. In the study, mice were separated into three treatment groups. As depicted in Figure 14 below, during the treatment period:</w:t>
      </w:r>
    </w:p>
    <w:p>
      <w:pPr>
        <w:spacing w:after="0" w:line="171" w:lineRule="exact"/>
        <w:rPr>
          <w:sz w:val="20"/>
          <w:szCs w:val="20"/>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first group, referred to as the Untreated Group and indicated in black, received no treatment;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second group, referred to as the Pegsiticase Group and indicated in red, was treated with pegsiticase alone;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third group, referred to as the SVP-Rapamycin + Pegsiticase Group and indicated in green, was treated with SVP-Rapamycin co-administered with pegsiticase.</w:t>
      </w:r>
    </w:p>
    <w:p>
      <w:pPr>
        <w:spacing w:after="0" w:line="198" w:lineRule="exact"/>
        <w:rPr>
          <w:sz w:val="20"/>
          <w:szCs w:val="20"/>
          <w:color w:val="auto"/>
        </w:rPr>
      </w:pPr>
    </w:p>
    <w:p>
      <w:pPr>
        <w:ind w:left="7" w:right="20"/>
        <w:spacing w:after="0" w:line="297" w:lineRule="auto"/>
        <w:rPr>
          <w:sz w:val="20"/>
          <w:szCs w:val="20"/>
          <w:color w:val="auto"/>
        </w:rPr>
      </w:pPr>
      <w:r>
        <w:rPr>
          <w:rFonts w:ascii="Arial" w:cs="Arial" w:eastAsia="Arial" w:hAnsi="Arial"/>
          <w:sz w:val="14"/>
          <w:szCs w:val="14"/>
          <w:color w:val="auto"/>
        </w:rPr>
        <w:t>The Pegsiticase Group and SVP-Rapamycin + Pegsiticase Group were treated on days zero, seven and 14 of the treatment period. Each group was then treated with pegsiticase alone on days 35 and 42 of the study, or the challenge period. Uricase-specific ADA levels were recorded to determine the formation of ADAs to pegsiticase. Uric acid levels were measured to determine effectiveness of SVP-Rapamycin co-administered with pegsiticase in lowering uric acid levels below 6 mg/dl, which is the treatment target for gout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6630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28" w:name="page129"/>
    <w:bookmarkEnd w:id="1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26181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0910" cy="261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14. Preclinical Study: Proof-of-Concept in Uricase-Deficient Mice</w:t>
      </w:r>
    </w:p>
    <w:p>
      <w:pPr>
        <w:spacing w:after="0" w:line="177"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i w:val="1"/>
          <w:iCs w:val="1"/>
          <w:color w:val="auto"/>
        </w:rPr>
        <w:t xml:space="preserve">Antibody formation. </w:t>
      </w:r>
      <w:r>
        <w:rPr>
          <w:rFonts w:ascii="Arial" w:cs="Arial" w:eastAsia="Arial" w:hAnsi="Arial"/>
          <w:sz w:val="15"/>
          <w:szCs w:val="15"/>
          <w:color w:val="auto"/>
        </w:rPr>
        <w:t>The Pegsiticase Group developed uricase-specific ADAs when exposed to pegsiticase during the treatment period. The Untreated Group also developed uricase-specific ADAs as soon as they were challenged with pegsiticase. Despite exposure to pegsiticase during both the treatment and challenge periods, the SVP-Rapamycin + Pegsiticase Group did not develop uricase-specific ADAs during either period.</w:t>
      </w:r>
    </w:p>
    <w:p>
      <w:pPr>
        <w:spacing w:after="0" w:line="159" w:lineRule="exact"/>
        <w:rPr>
          <w:sz w:val="20"/>
          <w:szCs w:val="20"/>
          <w:color w:val="auto"/>
        </w:rPr>
      </w:pPr>
    </w:p>
    <w:p>
      <w:pPr>
        <w:ind w:left="7"/>
        <w:spacing w:after="0" w:line="270"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After initial exposure to pegsiticase, the Untreated Group maintained high uric acid levels of approximately 10 mg/dl. The Pegsiticase Group recorded uric acid levels</w:t>
      </w:r>
      <w:r>
        <w:rPr>
          <w:rFonts w:ascii="Arial" w:cs="Arial" w:eastAsia="Arial" w:hAnsi="Arial"/>
          <w:sz w:val="15"/>
          <w:szCs w:val="15"/>
          <w:i w:val="1"/>
          <w:iCs w:val="1"/>
          <w:color w:val="auto"/>
        </w:rPr>
        <w:t xml:space="preserve"> </w:t>
      </w:r>
      <w:r>
        <w:rPr>
          <w:rFonts w:ascii="Arial" w:cs="Arial" w:eastAsia="Arial" w:hAnsi="Arial"/>
          <w:sz w:val="15"/>
          <w:szCs w:val="15"/>
          <w:color w:val="auto"/>
        </w:rPr>
        <w:t>below 6 mg/dl after the first dose in the treatment period. However, during subsequent doses in the treatment period and challenge period, uric acid levels returned to levels well in excess of 6 mg/dl. In contrast, the SVP-Rapamycin + Pegsiticase Group maintained uric acid levels that were close to zero throughout the study.</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Proof-of-concept study in nonhuman primates</w:t>
      </w:r>
    </w:p>
    <w:p>
      <w:pPr>
        <w:spacing w:after="0" w:line="198"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also conducted a preclinical study to evaluate the ability of SVP-Rapamycin to mitigate the formation of uricase-specific ADAs in nonhuman primates. As depicted in Figure 15 below, during the study we either:</w:t>
      </w:r>
    </w:p>
    <w:p>
      <w:pPr>
        <w:spacing w:after="0" w:line="162" w:lineRule="exact"/>
        <w:rPr>
          <w:sz w:val="20"/>
          <w:szCs w:val="20"/>
          <w:color w:val="auto"/>
        </w:rPr>
      </w:pPr>
    </w:p>
    <w:p>
      <w:pPr>
        <w:ind w:left="467" w:hanging="467"/>
        <w:spacing w:after="0"/>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administered pegsiticase alone, referred to as the Empty Nanoparticle Group and indicated in blue; or</w:t>
      </w:r>
    </w:p>
    <w:p>
      <w:pPr>
        <w:spacing w:after="0" w:line="221"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81"/>
        </w:numPr>
        <w:rPr>
          <w:rFonts w:ascii="Arial" w:cs="Arial" w:eastAsia="Arial" w:hAnsi="Arial"/>
          <w:sz w:val="15"/>
          <w:szCs w:val="15"/>
          <w:color w:val="auto"/>
        </w:rPr>
      </w:pPr>
      <w:r>
        <w:rPr>
          <w:rFonts w:ascii="Arial" w:cs="Arial" w:eastAsia="Arial" w:hAnsi="Arial"/>
          <w:sz w:val="15"/>
          <w:szCs w:val="15"/>
          <w:color w:val="auto"/>
        </w:rPr>
        <w:t>co-administered pegsiticase with one of two dose levels of SVP-Rapamycin, referred to as the SVP-Rapamycin 0.1X and SVP-Rapamycin 1X Groups and indicated in purple and green, respectively. The SVP-Rapamycin 0.1X Group received a dose level of SVP-Rapamycin of 0.3 mg/kg and the SVP-Rapamycin 1X Group received a dose level of SVP-Rapamycin of 3 mg/kg.</w:t>
      </w:r>
    </w:p>
    <w:p>
      <w:pPr>
        <w:spacing w:after="0" w:line="15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The Empty Nanoparticle Group received three monthly doses of pegsiticase and each of the SVP-Rapamycin 0.1X Group and SVP-Rapamycin 1X Group received three monthly doses of pegsiticase co-administered with SVP-Rapamycin. All groups then received two monthly doses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29" w:name="page130"/>
    <w:bookmarkEnd w:id="1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pegsiticase alone. The SVP-Rapamycin 0.1X Group received one-tenth of the dose administered in the SVP-Rapamycin 1X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130175</wp:posOffset>
            </wp:positionV>
            <wp:extent cx="3971290" cy="2963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71290"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15. Preclinical Study: Proof-of-Concept in Nonhuman Primates</w:t>
      </w:r>
    </w:p>
    <w:p>
      <w:pPr>
        <w:spacing w:after="0" w:line="177" w:lineRule="exact"/>
        <w:rPr>
          <w:sz w:val="20"/>
          <w:szCs w:val="20"/>
          <w:color w:val="auto"/>
        </w:rPr>
      </w:pPr>
    </w:p>
    <w:p>
      <w:pPr>
        <w:jc w:val="both"/>
        <w:ind w:right="140"/>
        <w:spacing w:after="0" w:line="297" w:lineRule="auto"/>
        <w:rPr>
          <w:sz w:val="20"/>
          <w:szCs w:val="20"/>
          <w:color w:val="auto"/>
        </w:rPr>
      </w:pPr>
      <w:r>
        <w:rPr>
          <w:rFonts w:ascii="Arial" w:cs="Arial" w:eastAsia="Arial" w:hAnsi="Arial"/>
          <w:sz w:val="14"/>
          <w:szCs w:val="14"/>
          <w:i w:val="1"/>
          <w:iCs w:val="1"/>
          <w:color w:val="auto"/>
        </w:rPr>
        <w:t xml:space="preserve">Antibody formation. </w:t>
      </w:r>
      <w:r>
        <w:rPr>
          <w:rFonts w:ascii="Arial" w:cs="Arial" w:eastAsia="Arial" w:hAnsi="Arial"/>
          <w:sz w:val="14"/>
          <w:szCs w:val="14"/>
          <w:color w:val="auto"/>
        </w:rPr>
        <w:t>We observed that the Empty Nanoparticle Group produced high levels of uricase-specific ADAs by the end of the study. The SVP-Rapamycin 0.1X Group and SVP-Rapamycin 1X Group were able to reduce the levels of uricase-specific ADAs significantly compared to the Empty Nanoparticle Group and, in the case of the SVP-Rapamycin 1X Group, inhibited the formation of antibodies. Our observations in this study confirmed in non-human primates the mitigation of uricase-specific ADAs we observed in mice.</w:t>
      </w:r>
    </w:p>
    <w:p>
      <w:pPr>
        <w:spacing w:after="0" w:line="144" w:lineRule="exact"/>
        <w:rPr>
          <w:sz w:val="20"/>
          <w:szCs w:val="20"/>
          <w:color w:val="auto"/>
        </w:rPr>
      </w:pPr>
    </w:p>
    <w:p>
      <w:pPr>
        <w:jc w:val="both"/>
        <w:ind w:right="160"/>
        <w:spacing w:after="0" w:line="282" w:lineRule="auto"/>
        <w:rPr>
          <w:sz w:val="20"/>
          <w:szCs w:val="20"/>
          <w:color w:val="auto"/>
        </w:rPr>
      </w:pPr>
      <w:r>
        <w:rPr>
          <w:rFonts w:ascii="Arial" w:cs="Arial" w:eastAsia="Arial" w:hAnsi="Arial"/>
          <w:sz w:val="15"/>
          <w:szCs w:val="15"/>
          <w:i w:val="1"/>
          <w:iCs w:val="1"/>
          <w:color w:val="auto"/>
        </w:rPr>
        <w:t xml:space="preserve">Uric acid levels. </w:t>
      </w:r>
      <w:r>
        <w:rPr>
          <w:rFonts w:ascii="Arial" w:cs="Arial" w:eastAsia="Arial" w:hAnsi="Arial"/>
          <w:sz w:val="15"/>
          <w:szCs w:val="15"/>
          <w:color w:val="auto"/>
        </w:rPr>
        <w:t>As expected, we could not determine the effect that pegsiticase alone or pegsiticase co-administered with SVP-Rapamycin had on uric acid levels in nonhuman primates</w:t>
      </w:r>
      <w:r>
        <w:rPr>
          <w:rFonts w:ascii="Arial" w:cs="Arial" w:eastAsia="Arial" w:hAnsi="Arial"/>
          <w:sz w:val="15"/>
          <w:szCs w:val="15"/>
          <w:i w:val="1"/>
          <w:iCs w:val="1"/>
          <w:color w:val="auto"/>
        </w:rPr>
        <w:t xml:space="preserve"> </w:t>
      </w:r>
      <w:r>
        <w:rPr>
          <w:rFonts w:ascii="Arial" w:cs="Arial" w:eastAsia="Arial" w:hAnsi="Arial"/>
          <w:sz w:val="15"/>
          <w:szCs w:val="15"/>
          <w:color w:val="auto"/>
        </w:rPr>
        <w:t>due to the activity of naturally occurring uricase in these animals.</w:t>
      </w:r>
    </w:p>
    <w:p>
      <w:pPr>
        <w:spacing w:after="0" w:line="151"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Based on these preclinical studies, as well as toxicology studies conducted to conform to regulatory guidelines, referred to as current good laboratory practice, or GLP, we believe that SEL-212 demonstrated sufficient efficacy and safety in the preclinical animal models to justify movement into clinical development, and the FDA indicated that our Phase 1b clinical trial for SEL-212 was safe to proceed.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development</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For chronic refractory gout, we are executing a clinical development program in which we expect to conduct five clinical studies in a total of approximately 400 subjects with gout or elevated levels of uric acid. We initiated our clinical program in the second quarter of 2015 with a Phase 1a trial of pegsiticase in subjects with elevated serum uric acid levels. We completed the patient treatment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0" w:name="page131"/>
    <w:bookmarkEnd w:id="13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of our Phase 1a trial was completed in November 2015, initiated a Phase 1b trial in December 2015 and expect final data from both Phase 1 clinical trials in the second half of 2016. We plan to follow this Phase 1b clinical trial with an open label multi-dose Phase 2 clinical trial of SEL-212 in patients with symptomatic gout and elevated uric acid levels. After an end-of-Phase 2 meeting with the FDA, we expect that we will be required to conduct two Phase 3 clinical trials in patients with refractory gout. We plan to leverage our experience in chronic refractory gout for separate but similar clinical trials for the indication of chronic tophaceous gout.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 and Phase 2 clinical trials</w:t>
      </w:r>
    </w:p>
    <w:p>
      <w:pPr>
        <w:spacing w:after="0" w:line="198"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SEL-212 is currently being evaluated in a comprehensive Phase 1/2 clinical program that includes a Phase 1a and Phase 1b clinical trial in subjects with high uric acid levels as well as a Phase 2 clinical trial in patients with symptomatic gout and high uric acid levels. Each Phase 1 clinical trial was designed with the primary objective to evaluate the safety and tolerability of SEL-212 and its individual components. Additional objectives of the Phase 1 clinical trials include identifying a pegsiticase dose that is capable of lowering serum uric acid levels, evaluating the immunogenicity of pegsiticase after a single dose and demonstrating that SVP-Rapamycin co-administered with pegsiticase reduces uric acid levels and mitigates the formation of uricase-specific ADAs. The Phase 2 clinical trial will evaluate the effect of multiple doses over an extended period of time on serum uric acid and the formation of uricase-specific ADAs in approximately 36 patients with symptomatic gout and elevated serum uric acid levels. We expect to receive final data from both Phase 1 clinical trials in the second half of 2016. We expect to initiate the Phase 2 clinical trial in the second half of 2016 and receive data in the first half of 2017.</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1a clinical trial</w:t>
      </w:r>
    </w:p>
    <w:p>
      <w:pPr>
        <w:spacing w:after="0" w:line="198"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Phase 1a clinical trial for SEL-212 was an ascending dose trial of pegsiticase alone in 22 subjects with elevated serum uric acid levels greater than 6 mg/dl who were separated into five cohorts. At the outset of the trial, each cohort received a single intravenous infusion of pegsiticase at ascending dose levels of 0.1 mg/kg for Cohort #1, 0.2 mg/kg for Cohort #2, 0.4 mg/kg for Cohort #3, 0.8 mg/kg for Cohort #4 and 1.2 mg/kg for Cohort #5. We monitored the subjects during a 30-day period post-infusion. We commenced enrollment of the clinical trial in the second quarter of 2015 and completed the treatment portion of the trial in November 2015. We observed that pegsiticase demonstrated no serious adverse events and was well tolerated at the five dose levels tested. Additionally, we observed that pegsiticase rapidly reduced and sustained average serum uric acid levels below 6 mg/dl for each cohort for 14 to 30 days, depending on the dose level. Consistent with our preclinical studies in animals, pegsiticase induced uricase-specific ADAs in all subjects with varying levels in this Phase 1a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Figure 16 below depicts average serum uric acid levels of the Phase 1a clinical trial's five cohorts tested at different measurement intervals during the course of the 30-day period following the single intravenous infusion of pegsiticase at the outset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100330</wp:posOffset>
            </wp:positionV>
            <wp:extent cx="4353560" cy="25374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535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16. Phase 1a Clinical Trial: Serum Uric Acid Levels Across Five Cohorts</w:t>
      </w:r>
    </w:p>
    <w:p>
      <w:pPr>
        <w:spacing w:after="0" w:line="177" w:lineRule="exact"/>
        <w:rPr>
          <w:sz w:val="20"/>
          <w:szCs w:val="20"/>
          <w:color w:val="auto"/>
        </w:rPr>
      </w:pPr>
    </w:p>
    <w:p>
      <w:pPr>
        <w:ind w:right="200"/>
        <w:spacing w:after="0" w:line="313" w:lineRule="auto"/>
        <w:rPr>
          <w:sz w:val="20"/>
          <w:szCs w:val="20"/>
          <w:color w:val="auto"/>
        </w:rPr>
      </w:pPr>
      <w:r>
        <w:rPr>
          <w:rFonts w:ascii="Arial" w:cs="Arial" w:eastAsia="Arial" w:hAnsi="Arial"/>
          <w:sz w:val="13"/>
          <w:szCs w:val="13"/>
          <w:color w:val="auto"/>
        </w:rPr>
        <w:t>Figure 17 below indicates the serum uric acid and uricase-specific ADA levels for each subject in Cohort #3 of the Phase 1a clinical trial. The serum uric acid levels were measured at baseline and days seven, 14, 21 and 30 and uricase-specific ADA levels at baseline and days seven, 14 and 30 following a single intravenous injection of pegsiticase. We did not measure uricase-specific ADA levels at day 21 in the Phase 1a clinical trial. One subject in this cohort, subject number two, developed a relatively low level uricase-specific ADA titer of 40 and maintained uric acid levels below 0.5 mg/dl through the thirtieth day after dosing. By contrast, the remaining four subjects in the cohort developed levels of uricase-specific ADAs greater than 1,000 titer and uric acid levels above 5 mg/dl by the thirtieth day after dosing. Based on the results from our Phase 1a clinical trial, we observed that pegsiticase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2" w:name="page133"/>
    <w:bookmarkEnd w:id="13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tolerated dose is capable of achieving and maintaining a reduction of serum uric acid below the target of 6 mg/dl for a 30-day period in the absence of inhibitory uricase-specific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137795</wp:posOffset>
            </wp:positionV>
            <wp:extent cx="5030470" cy="16179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030470"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17. Phase 1a Clinical Trial: Serum Uric Acid and Uricase-Specific ADA Levels of the Third Cohort</w:t>
      </w:r>
    </w:p>
    <w:p>
      <w:pPr>
        <w:spacing w:after="0" w:line="177"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Based on our analysis of the Phase 1a clinical trial data, we selected the pegsiticase dose of 0.4 mg/kg from Cohort #3 of the Phase 1a clinical trial for further study in the Phase 1b clinical trial.</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Phase 1b clinical trial</w:t>
      </w:r>
    </w:p>
    <w:p>
      <w:pPr>
        <w:spacing w:after="0" w:line="198" w:lineRule="exact"/>
        <w:rPr>
          <w:sz w:val="20"/>
          <w:szCs w:val="20"/>
          <w:color w:val="auto"/>
        </w:rPr>
      </w:pPr>
    </w:p>
    <w:p>
      <w:pPr>
        <w:ind w:left="7"/>
        <w:spacing w:after="0" w:line="281" w:lineRule="auto"/>
        <w:rPr>
          <w:sz w:val="20"/>
          <w:szCs w:val="20"/>
          <w:color w:val="auto"/>
        </w:rPr>
      </w:pPr>
      <w:r>
        <w:rPr>
          <w:rFonts w:ascii="Arial" w:cs="Arial" w:eastAsia="Arial" w:hAnsi="Arial"/>
          <w:sz w:val="14"/>
          <w:szCs w:val="14"/>
          <w:color w:val="auto"/>
        </w:rPr>
        <w:t>In December 2015, we initiated our Phase 1b clinical trial. We anticipate that this clinical trial will have approximately 53 subjects with serum uric acid levels greater than 6 mg/dl separated into nine cohorts. We plan to co-administer a single intravenous infusion of SVP-Rapamycin at ascending dose levels with a fixed dose of pegsiticase of 0.4 mg/kg for four of the cohorts, which will be Cohort #2, Cohort #4, Cohort #6 and Cohort #8 of the Phase 1b clinical trial, or collectively the SEL-212 Cohorts. In addition to a fixed 0.4 mg/kg dose of pegsiticase, subjects in the SEL-212 Cohorts will receive SVP-Rapamycin in the following dose levels: Cohort #2 (0.03 mg/kg), Cohort #4 (0.1 mg/kg), Cohort #6 (0.3 mg/kg) and Cohort #8 (0.5 mg/kg). We also plan to administer to Cohort #9 a fixed amount of pegsiticase alone at a dose level of 0.4 mg/kg, which we refer to as the Pegsiticase Cohort. Additionally, we intend to administer a single intravenous infusion of SVP-Rapamycin alone at the following ascending dose levels to the remaining cohorts, which will be Cohort #1 (0.03 mg/kg), Cohort #3 (0.1 mg/kg), Cohort #5 (0.3 mg/kg) and Cohort #7 (0.5 mg/kg) of the Phase 1b clinical trial, or collectively the SVP-Rapamycin Cohorts. All subjects will be followed for 30 days after their initial dose. The primary objective of the Phase 1b clinical trial is to evaluate the safety and tolerability of SVP-Rapamycin alone and in combination with a fixed dose of pegsiticase. A secondary clinical objective is to evaluate the ability of SVP-Rapamycin co-administered with pegsiticase to reduce serum uric acid levels and mitigate the formation of uricase-specific ADAs when compared to administration of pegsiticase alone. We expect that complete data from the Phase 1b clinical trial will be available in the second half of 2016.</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5"/>
          <w:szCs w:val="15"/>
          <w:color w:val="auto"/>
        </w:rPr>
        <w:t>Although the Phase 1b clinical trial is currently ongoing, as of June 3, 2016, we had completed the dosing of:</w:t>
      </w:r>
    </w:p>
    <w:p>
      <w:pPr>
        <w:spacing w:after="0" w:line="210" w:lineRule="exact"/>
        <w:rPr>
          <w:sz w:val="20"/>
          <w:szCs w:val="20"/>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all four SVP-Rapamycin Cohorts;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three SEL-212 Cohorts, Cohort #2, Cohort #4 and Cohort #6, receiving the lowest three (out of the four projected) SVP-Rapamycin ascending dose levels;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Pegsiticase Cohort, Cohort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We have received 30-day observation period data for Cohort #1 (SVP-Rapamycin Cohort), Cohort #2 (SEL-212 Cohort), Cohort #3 (SVP-Rapamycin Cohort), Cohort #4 (SEL-212 Cohort), Cohort #5 (SVP-Rapamycin Cohort), Cohort #6 (SEL-212 Cohort) and Cohort #9 (Pegsiticase Cohort) of the Phase 1b clinical trial.</w:t>
      </w:r>
    </w:p>
    <w:p>
      <w:pPr>
        <w:spacing w:after="0" w:line="151" w:lineRule="exact"/>
        <w:rPr>
          <w:sz w:val="20"/>
          <w:szCs w:val="20"/>
          <w:color w:val="auto"/>
        </w:rPr>
      </w:pPr>
    </w:p>
    <w:p>
      <w:pPr>
        <w:ind w:right="40"/>
        <w:spacing w:after="0" w:line="304" w:lineRule="auto"/>
        <w:rPr>
          <w:sz w:val="20"/>
          <w:szCs w:val="20"/>
          <w:color w:val="auto"/>
        </w:rPr>
      </w:pPr>
      <w:r>
        <w:rPr>
          <w:rFonts w:ascii="Arial" w:cs="Arial" w:eastAsia="Arial" w:hAnsi="Arial"/>
          <w:sz w:val="13"/>
          <w:szCs w:val="13"/>
          <w:color w:val="auto"/>
        </w:rPr>
        <w:t>Figure 18 below indicates the serum uric acid levels of Cohort #3 from the Phase 1a clinical trial, in which subjects received a fixed amount of pegsiticase alone (at the same 0.4 mg/kg pegsiticase dose level as Cohort #9, the Pegsiticase Cohort, of the Phase 1b clinical trial). Figure 18 below also indicates the serum uric acid levels of Cohort #9 (Pegsiticase Cohort), Cohort #1 (SVP-Rapamycin Cohort), Cohort #2 (SEL-212 Cohort), Cohort #3 (SVP-Rapamycin Cohort), Cohort #4 (SEL-212 Cohort), Cohort #5 (SVP-Rapamycin Cohort) and Cohort #6 (SEL-212 Cohort) from the Phase 1b clinical trial. In Figure 18 below, observational data is presented for all cohorts in which subjects have reached the end of the 30-day observation period. In these subjects, serum uric acid levels were measured at baseline and days seven, 14, 21 and 30. As expected, SVP-Rapamycin alone had no relevant effect on reducing serum uric acid levels across the SVP-Rapamycin Cohorts, as such levels remained relatively constant during the 30-day period. In Cohort #2 from the Phase 1b clinical trial, which received the lowest dose of SVP-Rapamycin co-administered with pegsiticase, we observed that four out of five subjects tested maintained serum uric acid levels below 6 mg/dl through day 21 of the trial. We also observed that four out of five subjects in Cohort #4 from the Phase 1b clinical trial, which received the second lowest dose of SVP-Rapamycin co-administered with pegsiticase, maintained levels of serum uric acid of less than 0.1 mg/dl through day 30. For Cohort #6 (SEL-212 Cohort), we observed that each of the five subjects maintained levels of serum uric acid of less than 0.1 mg/dl through day 30. By comparison, for Cohort #9 (Pegsiticase Cohort), four of the five subjects returned to baseline serum uric acid levels by day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96520</wp:posOffset>
            </wp:positionV>
            <wp:extent cx="4544695" cy="28536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544695" cy="285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18. Phase 1b Clinical Trial: Uric Acid Levels Across Seven Phase 1b Cohorts (and Cohort #3 from the Phase 1a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Figure 19 below shows the serum uric acid levels and uricase-specific ADA levels for each subject in Cohort #3 of the Phase 1a clinical trial and Cohort #9 (Pegsiticase Cohort) of the Phase 1b clinical trial for comparison to the serum uric acid levels and uricase-specific ADA levels for each subject in Cohort # 4 (SEL-212 Cohort) and Cohort #6 (SEL-212 Cohort) in the Phase 1b clinical trial. Cohort #3 from the Phase 1a clinical trial is depicted in Figure 19 along with Cohort #9 from the Phase 1b clinical trial for purposes of comparison against Cohort #4 and Cohort #6 from the Phase 1b clinical trial because the subjects in these cohorts received the same fixed dose of pegsiticase. In addition, Cohort #4 from the Phase 1b clinical trial is depicted below in Figure 19 because the subjects in Cohort #4 from the Phase 1b clinical trial received a higher dose of SVP-Rapamycin than did the subjects in Cohort #2 in the Phase 1b clinical trial. We have also included Cohort #6 from the Phase 1b clinical trial because these subjects received the highest dose of SVP-Rapamycin tested to date—higher than both Cohorts #2 and #4.</w:t>
      </w:r>
    </w:p>
    <w:p>
      <w:pPr>
        <w:spacing w:after="0" w:line="169"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As depicted in Figure 19 below, in Cohort #3 from the Phase 1a clinical trial and Cohort #9 from the Phase 1b clinical trial, we observed uricase-specific ADA formation at day 14 resulting in a return to baseline levels of serum uric acid. In comparison, for Cohort #4 from the Phase 1b clinical trial, we observed minimal uricase-specific ADA formation in four of the five subjects tested with corresponding maintenance of control of serum uric acid levels through day 30. In Cohort #6 of the Phase 1b clinical trial, we observed minimal to no uricase-specific ADA formation in each of the five subjects, with corresponding maintenance of control of serum uric acid levels through day 30. In the Phase 1a clinical trial, we did not measure uricase-specific ADA levels at day 21. However, in the course of conducting the Phase 1a clinical trial, we learned that it would be useful to measure uricase-specific ADA levels at day 21 to more fully understand any variations in such levels between day 14 and day 30. As a result, for the Phase 1b clinical trial, we monitor uricase-specific ADA levels at day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2" w:right="3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2729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0910" cy="427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19. Comparison of Phase 1a Cohort #3, Phase 1b Cohort #9, Phase 1b Cohort #4 and Phase 1b Cohort #6: Uric Acid and Uricase-Specific ADA Levels</w:t>
      </w:r>
    </w:p>
    <w:p>
      <w:pPr>
        <w:spacing w:after="0" w:line="17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Figure 20 below presents a non-head-to-head comparison of the efficacy of SEL-212 in Cohort #6 of the Phase 1b clinical trial with data from two replicate, randomized, double-blind, placebo-controlled clinical trials of Krystexxa as reported in the Journal of the American Medical Association in 2011. These two Krystexxa clinical trials included 85 patients who received biweekly doses of Krystexxa, 84 patients who received monthly doses of Krystexxa and 43 patients who received a placebo. Of the Krystexxa-treated patients that were considered responders, as defined by the maintenance of uric acid levels below 6 mg/dl for 80% of the time at months three and six, the mean uric acid levels in patients on the biweekly dose regimen were more meaningfully and consistently improved than patients on the monthly dose regimen. Krystexxa has been approved for the treatment of refractory gout on a biweekly dose regimen whereas the monthly dose regimen of Krystexxa has not been approved for marketing. The graph on the left in Figure 20 below depicts the data for the four-week period after the first dose of Krystexxa from the cohorts of subjects in the Krystexxa clinical trials who received monthly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40"/>
        <w:spacing w:after="0" w:line="301" w:lineRule="auto"/>
        <w:rPr>
          <w:sz w:val="20"/>
          <w:szCs w:val="20"/>
          <w:color w:val="auto"/>
        </w:rPr>
      </w:pPr>
      <w:r>
        <w:rPr>
          <w:rFonts w:ascii="Arial" w:cs="Arial" w:eastAsia="Arial" w:hAnsi="Arial"/>
          <w:sz w:val="13"/>
          <w:szCs w:val="13"/>
          <w:color w:val="auto"/>
        </w:rPr>
        <w:t>The placebo control subjects, indicated in open circles in Figure 20 below, had uric acid levels above 6 mg/dl for the entire four weeks. The Krystexxa-treated subjects that went on to become responders are indicated in black circles. The Krystexxa-treated subjects that went on to become non-responders, as defined by the inability to maintain uric acid levels below</w:t>
      </w:r>
    </w:p>
    <w:p>
      <w:pPr>
        <w:spacing w:after="0" w:line="260" w:lineRule="auto"/>
        <w:rPr>
          <w:sz w:val="20"/>
          <w:szCs w:val="20"/>
          <w:color w:val="auto"/>
        </w:rPr>
      </w:pPr>
      <w:r>
        <w:rPr>
          <w:rFonts w:ascii="Arial" w:cs="Arial" w:eastAsia="Arial" w:hAnsi="Arial"/>
          <w:sz w:val="15"/>
          <w:szCs w:val="15"/>
          <w:color w:val="auto"/>
        </w:rPr>
        <w:t>6 mg/dl for 80% of the time at months three and six, are indicated in black triangles. Only 35% of Krystexxa-treated subjects in the monthly dosing cohorts were classified as responders. Of the patients that received monthly doses, it is notable that, even at four weeks, the mean uric acid levels were above 6 mg/dl in the non-responders, representing 65% of subjects, and were above 4 mg/dl in the responders. While not depicted in Figure 20 below, 89% of all Krystexxa-treated subjects developed ADAs. In comparison, the graph on the right in Figure 20 below depicts data from Cohort #5 of the Phase 1b clinical trial, which received a single dose of SVP-Rapamycin alone, and Cohort #6 of the Phase 1b clinical trial, which received a single dose of SEL-212. All five subjects in Cohort #6 of the Phase 1b clinical trial, treated with SEL-212 and indicated in green in Figure 20 below, maintained levels of serum uric acid of less than 0.1 mg/dl through day 30. Subjects in Cohort #5 of the Phase 1b clinical trial, treated with SVP-Rapamycin alone and indicated in blue, experienced no significant reduction in uric acid levels, as such levels remained relatively constant over the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112395</wp:posOffset>
            </wp:positionV>
            <wp:extent cx="4464050" cy="23463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464050"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20. Comparison of the Efficacy of Krystexxa and SEL-212 After a Single Dose</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While we believe the above comparison is useful in evaluating the results of Cohort #6 of the Phase 1b clinical trial, our Phase 1b clinical trial and the Krystexxa clinical trials were separate trials conducted by different investigators at different sites. In addition, there were substantial differences, including, for example, that the Krystexxa clinical trials were double-blind trials involving a substantial number of patients with refractory gout while our Phase 1b clinical trial evaluated SEL-212 in an unblinded manner in a small number of subjects with elevated uric acid levels. Moreover, we could only compare the efficacy of SEL-212 with the four-week period following the first injection of Krystexxa as SEL-212 has not yet been evaluated in a multi-dose clinical trial. In this regard, we have not conducted a head-to-head comparison of SEL-212 and Krystexxa in a clinical trial. Results of a head-to-head comparison may differ significantly from those set forth in Figure 20 above. In addition, because our Phase 1b clinical trial and the Krystexxa clinical trials were separate trials and because Cohort #6 of our Phase 1b clinical trial involved only five subjects, differences between the results of our Phase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clinical trial and the two Krystexxa clinical trials may not be statistically or clinically meaningful. For these reasons, investors should not place undue weight on the comparative information set forth above, including in Figure 20.</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We collected additional serum uric acid and uricase-specific ADA data after day 30 for three of the subjects in Cohort #4 (SEL-212 Cohort) that had no or very low serum uric acid and uricase-specific ADA levels at day 30. We collected data on day 37 for all three of these subjects and again on day 42 or day 44 for two of the three subjects. Each of these three subjects had no or very low uricase-specific ADA levels on day 37, day 42 or day 44, as applicable. Serum uric acid levels remained below baseline on day 37 in all three subjects. With respect to the two subjects for which day 42 or day 44 data was available, serum uric acid levels approached or exceeded baseline by the last time point measured. We anticipated these results as we did not expect a single dose of the enzyme to be capable of clearing all of the uric acid deposits in the body. Based on our observations from the Phase 1b clinical trial data that SEL-212 was capable of controlling uric acid levels for at least 30 days in all of the subjects in Cohort #6, we believe SEL-212 has the potential to maintain low uric acid levels with monthly dosing, which we plan to test in the Phase 2 clinical trial.</w:t>
      </w:r>
    </w:p>
    <w:p>
      <w:pPr>
        <w:spacing w:after="0" w:line="169"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color w:val="auto"/>
        </w:rPr>
        <w:t>As of June 3, 2016, on a combined basis, we had dosed a total of 70 subjects with either SEL-212 (SVP-Rapamycin and pegsiticase), SVP-Rapamycin alone or pegsiticase alone in connection with the Phase 1a and Phase 1b clinical trials. We have generally observed that SEL-212 and its components, SVP-Rapamycin and pegsiticase, have been well tolerated. As of June 16, 2016, there have been a total of three serious adverse events, or SAEs, in both Phase 1 clinical trials. One SAE occurred in a subject from Cohort #9 (Pegsiticase Cohort) of the Phase 1b clinical trial, a 62 year-old male, who received a dose level of pegsiticase alone of 0.4 mg/kg. This subject developed atrial fibrillation 13 days after administration of pegsiticase. The subject has been treated. The medical records from the principal investigator indicate that this subject has recovered. The principal investigator has deemed this SAE to not have been related to the study drug, pegsiticase. The second SAE occurred in a 59 year-old male from Cohort #4 (SEL-212 Cohort) of the Phase 1b clinical trial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As a result of such treatment, the medical records from the principal investigator indicate that the rash and joint pain experienced by the subject have been resolved. This subject was the only subject in Cohort #4 (SEL-212 Cohort) that developed significant uricase-specific ADAs and whose serum uric acid levels returned to baseline by day 30. This adverse event was classified as an SAE because the subject was admitted to the emergency room instead of going directly to the investigational site for treatment. The principal investigator classified this second SAE as having been possibly related to the study drug, SEL-212. A third observation was classified by the principal investigator on June 15, 2016 as an SAE after a 59 year-old male from Cohort #7 (SVP-Rapamycin Cohort) of the Phase 1b clinical trial developed stomatitis approximately seven days after being dosed with 0.5 mg/kg of SVP-Rapamycin, the highest dose of SVP-Rapamycin in the SVP-Rapamycin Cohorts of the Phase 1b clinical trial, and experienced 4.3 kg of weight loss. Stomatitis is a form of mouth sores and inflammation of the mouth and lips that often limits food intake and, according to the label for rapamycin, is a common adverse reaction to rapamycin itself. This subject was treated with oral over-the-counter and topical antihistamines followed by a steroid gel. As of June 16, 2016, the principal investigator indicated that the subject's stomatitis was improving. The principal investigator classified this third SAE as having been possibly related to the study drug, SVP-Rapamycin.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Phase 2 clinical trial</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We are planning an open-label Phase 2 clinical trial in approximately 36 subjects with symptomatic gout and elevated serum uric acid levels. We plan to divide patients into three dose groups. Two of these groups will receive SEL-212. The other group will receive pegsiticase alone. The primary endpoints will be the safety and tolerability of multiple doses of SEL-212 and pegsiticase alone in addition to a reduction of uric acid levels from baseline. We expect that secondary endpoints for this trial will include a reduction in levels of uricase-specific ADAs and pegsiticase-specific ADAs. Additional, exploratory endpoints will include number of flares, change in tophi volume as measured by dual energy computed tomography imaging and quality of life measures.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foregoing clinical trials, we also plan to initiate development of SEL-212 for chronic tophaceous gout.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SVP-Rapamycin programs for immune tolerance in gene therapy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 xml:space="preserve">We believe gene therapy has the potential to fundamentally change the treatment of genetic diseases in the form of replacing, augmenting or editing a gene. Gene therapy modifies the genetic content of the patient's own cells by placing corrective genetic material, or a transgene, within the nuclei of a patient's cells. The transferred genetic material enables the affected cells to become producers of a protein that is either missing or deficient in the patient. Engineered viruses that are unable to replicate themselves serve as carriers, or vectors, for the delivery of transgenes to various tissues and organs in the body. Adeno-associated viruses, or AAV, are the preferred vectors for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gene therapy because they cannot reproduce on their own, do not cause pathogenic infections and can be produced using manufacturing practices that conform to cGMP.</w:t>
      </w:r>
    </w:p>
    <w:p>
      <w:pPr>
        <w:spacing w:after="0" w:line="149"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Although gene therapy has made significant progress over the last several years, it faces certain limitations due to undesired immunogenicity to either the AAV vector or the encoded transgene. This undesired immunogenicity frequently exists prior to the gene therapy or is induced with the first dose. Once an antibody response to the AAV vector exists, it is likely to interfere with the efficacy of subsequent administration of the AAV vector. For naturally occurring types of AAV such as AAV1 to AAV10, patients can have prior exposure to the naturally occurring virus, which leads to the presence of pre-existing antibodies, or pre-existing immunity. The presence of pre-existing immunity is an exclusion criterion for most clinical gene therapy studies conducted with naturally occurring AAV vectors. Up to 50% of potential gene therapy patients can have pre-existing immunity, depending on the treated patient population and the AAV strain. Gene vector-specific ADAs frequently occur after the first dose and have been found to prevent the AAV vector from reaching its target cell. In addition, cellular immune responses have been found to destroy transfected cells. It is unknown exactly how long these neutralizing ADAs prevent redosing of gene therapy. However, it has been observed in studies with animals and humans that high titer AAV-specific ADAs develop and persist for more than 10 years, preventing vector readministration. Because of the induction of lasting antibodies against AAV, we believe gene therapy companies have focused on the single localized dose in diseases of the eye and central nervous system for which immunogenicity is perceived to be less of an issue. We believe that many gene therapy applications may require multiple doses, especially therapies designed to treat diseases by intravenous administration. Some of these rare genetic deficiencies are best treated when patients are infants or small children in order to prevent developmental defects. However, pediatric patients may have a higher need for repeat dosing due to higher cell turnover as the subject grows. Accordingly, we believe that a solution that enables repeat dosing for gene therapies would significantly expand the number of diseases that could be treated with these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26630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39" w:name="page140"/>
    <w:bookmarkEnd w:id="1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Our solution for gene therapy</w:t>
      </w:r>
    </w:p>
    <w:p>
      <w:pPr>
        <w:spacing w:after="0" w:line="195"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We believe SVP-Rapamycin co-administered with gene therapies has the potential to mitigate undesired immune responses and enable desired efficacy in subsequent administration of gene therapy by intravenous administration for diseases and patients where a single dose of gene therapy is unlikely to be sufficient.</w:t>
      </w:r>
    </w:p>
    <w:p>
      <w:pPr>
        <w:spacing w:after="0" w:line="151" w:lineRule="exact"/>
        <w:rPr>
          <w:sz w:val="20"/>
          <w:szCs w:val="20"/>
          <w:color w:val="auto"/>
        </w:rPr>
      </w:pPr>
    </w:p>
    <w:p>
      <w:pPr>
        <w:ind w:left="7" w:right="320"/>
        <w:spacing w:after="0" w:line="287" w:lineRule="auto"/>
        <w:rPr>
          <w:sz w:val="20"/>
          <w:szCs w:val="20"/>
          <w:color w:val="auto"/>
        </w:rPr>
      </w:pPr>
      <w:r>
        <w:rPr>
          <w:rFonts w:ascii="Arial" w:cs="Arial" w:eastAsia="Arial" w:hAnsi="Arial"/>
          <w:sz w:val="14"/>
          <w:szCs w:val="14"/>
          <w:color w:val="auto"/>
        </w:rPr>
        <w:t>In collaboration with Genethon, a not-for-profit company focusing on gene therapies, we conducted a preclinical study in mice in which we observed the ability of SVP-Rapamycin to mitigate the formation of ADAs to AAV-based gene therapy, thereby enabling repeat dosing of the AAV vector in these mice. At the outset of the study, all mice received an intravenous injection of AAV8, a commonly used AAV strain to target expression in the liver, encoding the luciferase gene, referred to as AAV8-Luciferase. On day 21 of the study, mice received a second injection of AAV8, this time encoding human coagulation Factor IX, referred to as AAV8-Factor IX. Mutations in the Factor IX gene can cause hemophilia B, a defect in blood clotting. As depicted in Figure 21 below, in addition to an injection of AAV8 encoding either the luciferase gene or Factor IX, the mice also received either:</w:t>
      </w:r>
    </w:p>
    <w:p>
      <w:pPr>
        <w:spacing w:after="0" w:line="161" w:lineRule="exact"/>
        <w:rPr>
          <w:sz w:val="20"/>
          <w:szCs w:val="20"/>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empty nanoparticles, with such mice referred to as the Empty Nanoparticle Group and indicated in blue; 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3"/>
        </w:numPr>
        <w:rPr>
          <w:rFonts w:ascii="Arial" w:cs="Arial" w:eastAsia="Arial" w:hAnsi="Arial"/>
          <w:sz w:val="15"/>
          <w:szCs w:val="15"/>
          <w:color w:val="auto"/>
        </w:rPr>
      </w:pPr>
      <w:r>
        <w:rPr>
          <w:rFonts w:ascii="Arial" w:cs="Arial" w:eastAsia="Arial" w:hAnsi="Arial"/>
          <w:sz w:val="15"/>
          <w:szCs w:val="15"/>
          <w:color w:val="auto"/>
        </w:rPr>
        <w:t>SVP-Rapamycin, with such mice referred to as the SVP-Rapamycin Group and indicated in green.</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We assessed AAV8-specific ADA levels to determine the formation of ADAs to the AAV8 vector. We also determined the levels of human Factor IX protein in mouse serum to determine the relative success in conveyance and expression of the Factor IX gene. We observed from our preclinical data that the SVP-Rapamycin treatment mitigated the formation of AAV8-specific ADAs in the SVP-Rapamycin Group, thereby enabling higher levels of Factor IX expression in the SVP-Rapamycin Group following the second injection on day 21 as compared to the Empty Nanoparticle Group. We believe these results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8682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0910" cy="286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21. Preclinical Study: SVP-Rapamycin Co-Administered with AAV-Based Gene Therapy in Mice</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addition to eliciting antibody responses against the viral capsid (a protein shell that encloses the virus's genetic material), gene therapy can also induce cellular immunity mediated by cytolytic T cells, or CD8 T cells. CD8 T cells can reduce the effectiveness of gene therapy by specifically killing those cells that have taken up the AAV capsid and/or express the encoded transgene protein product. In a preclinical study, we assessed the CD8 T cell levels in the liver following the treatment of mice with an AAV8 vector alone and in combination with SVP-Rapamycin on days 0 and 21 of the study. Naïve mice that were not treated with either an AAV8 vector or SVP-Rapamycin were used as a control. On day 53, we then quantified the level of CD8 T cells in the liver by using a process known as reverse transcriptase-polymerase chain reaction, or RT-PCR, to amplify messenger ribonucleic acid, or mRNA, encoding the CD8 gene. As depicted in Figure 22 below, in this study, we observed that livers isolated from mice treated with the AAV8 vector alone showed a substantial increase in CD8 T cells compared to the naïve mice, which received neither an AAV8 vector nor SVP-Rapamycin. Based on our observations, we believe that the co-administration of SVP-Rapamycin with the AAV vector inhibited this increase in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3387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0910" cy="233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22. Preclinical Study: CD8 T Cell Levels in the Livers of Mice Treated with SVP-Rapamycin Co-Administered with AAV-Based Gene Therapy (as measured by CD8 mRNA using RT-PCR)</w:t>
      </w:r>
    </w:p>
    <w:p>
      <w:pPr>
        <w:spacing w:after="0" w:line="17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also evaluated the ability of SVP-Rapamycin to mitigate the formation of ADAs to AAV capsids in nonhuman primates in a preclinical study. As depicted in Figure 23b below, nonhuman primates were screened on different dates for the presence of AAV-specific ADAs. On a later date, we drew blood from the nonhuman primates to evaluate the levels of AAV-specific ADAs again. This date is depicted in Figure 23b below as day -12 as it occurred 12 days prior to day zero of the study when the nonhuman primates received an intravenous injection of AAV8. As depicted in Figure 23a below, on day zero of the study, in addition to receiving an injection of AAV8, one nonhuman primate received empty nanoparticles, referred to as the Empty Nanoparticles Subject and indicated in purple, and two nonhuman primates received SVP-Rapamycin, referred to as SVP-Rapamycin Subject No. 1 and SVP-Rapamycin Subject No. 2 and indicated in orange and red, respectively. As depicted in Figure 23b below, on days three, 15 and 45 of the study, we again drew blood from the nonhuman primates and tested it for the presence of AAV8-specific ADAs. As depicted in Figure 23a below, on day 30 of the study, we administered to all nonhuman primates an injection of AAV-Human Factor IX together with an injection of empty nanoparticles for the Empty Nanoparticles Subject or an injection of SVP-Rapamycin for SVP-Rapamycin Subject No. 1 and SVP-Rapamycin Subject No. 2. As depicted in Figure 23c below, on day 45 of the study we tested the nonhuman primates' serum for levels of Human-Factor IX.</w:t>
      </w:r>
    </w:p>
    <w:p>
      <w:pPr>
        <w:spacing w:after="0" w:line="157"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We assessed AAV8-specific ADA levels to determine the formation of ADAs in nonhuman primates to the AAV8 vector. We also determined the levels of human Factor IX protein in nonhuman primate serum to determine the relative success in conveyance and expression of the Factor IX gene. We observed from our preclinical data that the SVP-Rapamycin treatment mitigated the formation of AAV8-specific ADAs in SVP-Rapamycin Subject No. 1 and SVP-Rapamycin Subject No. 2, thereby enabling higher levels of Factor IX expression in the SVP-Rapamycin Subjects following the second injection on day 30 as compared to the Empty Nanoparticles Subject. We believe these results further indicate that the SVP-Rapamycin treatment may have the potential to mitigate undesired immune responses and enable repeat intravenous administration of gene therapies such as those utilizing the AAV8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28168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0910"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 23. Preclinical Study: SVP-Rapamycin Co-Administered with AAV-Based Gene Therapy in Nonhuman Primates</w:t>
      </w:r>
    </w:p>
    <w:p>
      <w:pPr>
        <w:spacing w:after="0" w:line="177"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We believe SVP technology can be applied to induce antigen-specific immune tolerance for gene therapy involving gene augmentation, replacement or editing. Gene therapies often use a viral vector, such as an AAV vector, to place corrective genetic material into cells to treat genetic diseases. One of the key hurdles for the gene therapy field is to overcome immunogenicity against the viral vector, which can manifest itself in three ways. First, pre-existing ADAs that were induced following a natural AAV infection can neutralize the viral vector and block gene transfer. Up to 50% of patients are ineligible for gene therapy due to the presence of pre-existing ADAs. Second, ADAs form in response to a first administration of a gene therapy vector and prevent effective subsequent doses of gene therapy. Subsequent doses are particularly necessary for pediatric indications due to cellular turnover in young patients because they undergo renewal, which is the case in many pediatric indications. The ability to readminister gene therapies is also important for diseases where the goal is to transfer a high number of cells. Moreover, the third way in which immunogenicity can manifest itself against the viral vector is that the cellular immune system can respond to the transduced cells, which can reduce efficacy and pose safety concerns.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have in-licensed the Anc80 vector from MEE. In preclinical studies, Anc80 has been observed to be a potent gene therapy vector that has demonstrated the capability of yielding superior gene expression levels in the liver compared to vectors based on naturally occurring AAV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In collaboration with the clinical and gene therapy laboratory at the NIH and MEE, we plan to develop a product candidate utilizing the Anc80 vector for the treatment of an ARM disorder resulting from an inborn error of metabolism. This ARM disorder can cause severe developmental defects and premature death as a result of an accumulation of toxic metabolites. Under our license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43" w:name="page144"/>
    <w:bookmarkEnd w:id="14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MEE, we also have the option to develop gene therapies using Anc80 for several additional diseases including lysosomal storage, muscular and genetic metabolic diseases.</w:t>
      </w:r>
    </w:p>
    <w:p>
      <w:pPr>
        <w:spacing w:after="0" w:line="198"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We intend to develop the combination of Anc80 and SVP-Rapamycin to increase the potential applicability of gene therapies. This would include (i) patients with pre-existing ADAs to naturally occurring AAV, a current exclusion criteria for many clinical studies, and (ii) diseases that require repeat dosing due to a young patient population or the need to reach higher levels of protein expression than can be achieved with a single dose.</w:t>
      </w:r>
    </w:p>
    <w:p>
      <w:pPr>
        <w:spacing w:after="0" w:line="159"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We plan to develop another product candidate for the treatment of an XLM disorder, which is a metabolic disorder similar to ARM disorder. We are pursuing this second indication through collaborations with third parties with preclinical and clinical experience in this area.</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SVP-Rapamycin programs for marketed biologics</w:t>
      </w:r>
    </w:p>
    <w:p>
      <w:pPr>
        <w:spacing w:after="0" w:line="195" w:lineRule="exact"/>
        <w:rPr>
          <w:sz w:val="20"/>
          <w:szCs w:val="20"/>
          <w:color w:val="auto"/>
        </w:rPr>
      </w:pPr>
    </w:p>
    <w:p>
      <w:pPr>
        <w:ind w:left="7" w:right="140"/>
        <w:spacing w:after="0" w:line="270" w:lineRule="auto"/>
        <w:rPr>
          <w:sz w:val="20"/>
          <w:szCs w:val="20"/>
          <w:color w:val="auto"/>
        </w:rPr>
      </w:pPr>
      <w:r>
        <w:rPr>
          <w:rFonts w:ascii="Arial" w:cs="Arial" w:eastAsia="Arial" w:hAnsi="Arial"/>
          <w:sz w:val="15"/>
          <w:szCs w:val="15"/>
          <w:color w:val="auto"/>
        </w:rPr>
        <w:t>In preclinical studies, we have observed the ability of SVP-Rapamycin to inhibit the formation of ADAs when co-administered with several marketed biologics, including Humira and Advate. Humira is an anti-inflammatory medication that is used in the treatment of rheumatoid arthritis and other autoimmune diseases. Advate is a recombinant human clotting factor VIII used in the treatment of hemophilia A.</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4"/>
          <w:szCs w:val="14"/>
          <w:color w:val="auto"/>
        </w:rPr>
        <w:t>In one such preclinical study, we co-administered SVP-Rapamycin with Humira in genetically modified mice that produce human TNF-alpha, a protein involved in systemic inflammation.</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5"/>
          <w:szCs w:val="15"/>
          <w:color w:val="auto"/>
        </w:rPr>
        <w:t>Due to the constitutive expression of TNF-alpha, these mice spontaneously developed arthritis. In connection with this study:</w:t>
      </w:r>
    </w:p>
    <w:p>
      <w:pPr>
        <w:spacing w:after="0" w:line="205" w:lineRule="exact"/>
        <w:rPr>
          <w:sz w:val="20"/>
          <w:szCs w:val="20"/>
          <w:color w:val="auto"/>
        </w:rPr>
      </w:pPr>
    </w:p>
    <w:p>
      <w:pPr>
        <w:ind w:left="467" w:hanging="467"/>
        <w:spacing w:after="0"/>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one group of mice, referred to as the Untreated Group, indicated in black in Figure 24c below, were left untreated;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84"/>
        </w:numPr>
        <w:rPr>
          <w:rFonts w:ascii="Arial" w:cs="Arial" w:eastAsia="Arial" w:hAnsi="Arial"/>
          <w:sz w:val="13"/>
          <w:szCs w:val="13"/>
          <w:color w:val="auto"/>
        </w:rPr>
      </w:pPr>
      <w:r>
        <w:rPr>
          <w:rFonts w:ascii="Arial" w:cs="Arial" w:eastAsia="Arial" w:hAnsi="Arial"/>
          <w:sz w:val="13"/>
          <w:szCs w:val="13"/>
          <w:color w:val="auto"/>
        </w:rPr>
        <w:t>a second group of mice, referred to as the Humira Group, indicated in blue in Figures 24a through 24d below, were treated weekly with Humira alone from weeks 5 through 20; and</w:t>
      </w:r>
    </w:p>
    <w:p>
      <w:pPr>
        <w:spacing w:after="0" w:line="232" w:lineRule="exact"/>
        <w:rPr>
          <w:rFonts w:ascii="Arial" w:cs="Arial" w:eastAsia="Arial" w:hAnsi="Arial"/>
          <w:sz w:val="13"/>
          <w:szCs w:val="13"/>
          <w:color w:val="auto"/>
        </w:rPr>
      </w:pPr>
    </w:p>
    <w:p>
      <w:pPr>
        <w:ind w:left="467" w:right="460" w:hanging="467"/>
        <w:spacing w:after="0" w:line="282" w:lineRule="auto"/>
        <w:tabs>
          <w:tab w:leader="none" w:pos="467"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third group of mice, referred to as the SVP-Rapamycin Group, indicated in green in Figures 24a through 24d below, were treated weekly with SVP-Rapamycin together with Humira from weeks five through 11 and then weekly with Humira alone from weeks 12 to 20.</w:t>
      </w:r>
    </w:p>
    <w:p>
      <w:pPr>
        <w:spacing w:after="0" w:line="151"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We evaluated Humira-specific ADA levels to determine the formation of ADAs to Humira. Levels of Humira in serum, or in the blood, were measured to determine whether the formation of ADAs increased the clearance of Humira in serum. In addition, we measured the arthritis score, based on the level of severity of the disease, each week from weeks 10 through 20, for each of the three groups.</w:t>
      </w:r>
    </w:p>
    <w:p>
      <w:pPr>
        <w:spacing w:after="0" w:line="159" w:lineRule="exact"/>
        <w:rPr>
          <w:sz w:val="20"/>
          <w:szCs w:val="20"/>
          <w:color w:val="auto"/>
        </w:rPr>
      </w:pPr>
    </w:p>
    <w:p>
      <w:pPr>
        <w:ind w:left="7" w:right="40"/>
        <w:spacing w:after="0" w:line="287" w:lineRule="auto"/>
        <w:rPr>
          <w:sz w:val="20"/>
          <w:szCs w:val="20"/>
          <w:color w:val="auto"/>
        </w:rPr>
      </w:pPr>
      <w:r>
        <w:rPr>
          <w:rFonts w:ascii="Arial" w:cs="Arial" w:eastAsia="Arial" w:hAnsi="Arial"/>
          <w:sz w:val="14"/>
          <w:szCs w:val="14"/>
          <w:color w:val="auto"/>
        </w:rPr>
        <w:t>As depicted in Figure 24a below, we observed a reduction in the formation of ADAs to Humira in the SVP-Rapamycin Group as compared to the Humira Group at week 20. Consistent with the observation of the formation of ADAs, as depicted in Figure 24b below, we observed a higher level of Humira in serum in the SVP-Rapamycin Group as compared to the Humira Group at week 19. As expected, mice in the Untreated Group did not show any Humira-specific ADAs or the presence of Humira in serum. As depicted in Figure 24c below, we observed a decrease in arthritis in the SVP-Rapamycin Group as compared to both the Humira Group and Untreated Group. Notably, the inhibition of ADAs and protection from arthritis were observed through the termination of the study at 20 weeks, even though the last treatment with SVP-Rapamycin was at 11 weeks.</w:t>
      </w:r>
    </w:p>
    <w:p>
      <w:pPr>
        <w:spacing w:after="0" w:line="149" w:lineRule="exact"/>
        <w:rPr>
          <w:sz w:val="20"/>
          <w:szCs w:val="20"/>
          <w:color w:val="auto"/>
        </w:rPr>
      </w:pPr>
    </w:p>
    <w:p>
      <w:pPr>
        <w:ind w:left="7" w:right="960"/>
        <w:spacing w:after="0" w:line="282" w:lineRule="auto"/>
        <w:rPr>
          <w:sz w:val="20"/>
          <w:szCs w:val="20"/>
          <w:color w:val="auto"/>
        </w:rPr>
      </w:pPr>
      <w:r>
        <w:rPr>
          <w:rFonts w:ascii="Arial" w:cs="Arial" w:eastAsia="Arial" w:hAnsi="Arial"/>
          <w:sz w:val="15"/>
          <w:szCs w:val="15"/>
          <w:color w:val="auto"/>
        </w:rPr>
        <w:t>Figure 24d below depicts an x-ray at week 20 of a severely eroded ankle joint in an arthritic mouse in the Humira Group compared to the normal ankle joint of a mouse in the Humira + SVP-Rapamycin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4" w:name="page145"/>
    <w:bookmarkEnd w:id="14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Based on these observations, we believe the co-administration of SVP-Rapamycin with Humira results in the formation of less anti-Humira ADAs, which, in turn, increases the therapeutic levels of Humira in serum and improves the efficacy of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100330</wp:posOffset>
            </wp:positionV>
            <wp:extent cx="4500880" cy="39935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500880" cy="399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24a through 24d. Preclinical Study: SVP-Rapamycin Co-Administered with Humira</w:t>
      </w:r>
    </w:p>
    <w:p>
      <w:pPr>
        <w:spacing w:after="0" w:line="177" w:lineRule="exact"/>
        <w:rPr>
          <w:sz w:val="20"/>
          <w:szCs w:val="20"/>
          <w:color w:val="auto"/>
        </w:rPr>
      </w:pPr>
    </w:p>
    <w:p>
      <w:pPr>
        <w:ind w:left="7" w:right="520"/>
        <w:spacing w:after="0" w:line="282" w:lineRule="auto"/>
        <w:rPr>
          <w:sz w:val="20"/>
          <w:szCs w:val="20"/>
          <w:color w:val="auto"/>
        </w:rPr>
      </w:pPr>
      <w:r>
        <w:rPr>
          <w:rFonts w:ascii="Arial" w:cs="Arial" w:eastAsia="Arial" w:hAnsi="Arial"/>
          <w:sz w:val="15"/>
          <w:szCs w:val="15"/>
          <w:color w:val="auto"/>
        </w:rPr>
        <w:t>We also conducted a preclinical study evaluating SVP-Rapamycin co-administered with Advate in mice with hemophilia A, a genetic disorder caused by missing or defective blood coagulation Factor VIII. As depicted in Figures 25a through 25c below, during the first 28 days of the study, or the treatment period:</w:t>
      </w:r>
    </w:p>
    <w:p>
      <w:pPr>
        <w:spacing w:after="0" w:line="162" w:lineRule="exact"/>
        <w:rPr>
          <w:sz w:val="20"/>
          <w:szCs w:val="20"/>
          <w:color w:val="auto"/>
        </w:rPr>
      </w:pPr>
    </w:p>
    <w:p>
      <w:pPr>
        <w:ind w:left="467" w:hanging="467"/>
        <w:spacing w:after="0"/>
        <w:tabs>
          <w:tab w:leader="none" w:pos="46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first group of mice, referred to as the Empty Nanoparticle Group and indicated in blue, received five weekly injections of empty nanoparticle together with Advate; and</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second group of mice, referred to as the SVP-Rapamycin Group and indicated in green, received five weekly doses of SVP-Rapamycin together with Advate.</w:t>
      </w:r>
    </w:p>
    <w:p>
      <w:pPr>
        <w:spacing w:after="0" w:line="198"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All groups were then challenged with five injections of Advate on days 57, 81, 125, 143 and 187 of the study, referred to as the challenge period. We also administered an unrelated antigen, bacteriophage PhiX174 on days 81, 95 and 143, into all mice to evaluate whether SVP-Rapamycin caused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7"/>
          </w:cols>
          <w:pgMar w:left="233" w:top="132" w:right="29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immunosuppression. We evaluated Advate-specific ADA levels to determine the formation of ADAs to Advate. We also evaluated PhiX174-specific ADA levels to determine the specificity of the SVP-Rapamycin and Advate treatment.</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As depicted in Figure 25a below, we observed a reduction in the formation of ADAs to Advate in the SVP-Rapamycin Group as compared to the Empty Nanoparticle Group, which lasted over five months following the last treatment of SVP-Rapamycin. We also observed that when both groups were immunized with a different antigen, PhiX174, the SVP-Rapamycin Group and the Empty Nanoparticle Group showed relatively similar levels of PhiX174-specific ADA levels, suggesting that the SVP-Rapamycin treatment does not induce global immunosuppression, as depicted in Figure 25b below.</w:t>
      </w:r>
    </w:p>
    <w:p>
      <w:pPr>
        <w:spacing w:after="0" w:line="162"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In a separate study, the ability of mice to control bleeding following repeated administration of Factor VIII was evaluated and expressed as the percentage of normalized hemoglobin levels, as depicted in Figure 25c below. A higher percentage of normalized hemoglobin levels indicate an increased ability of the mice to control bleeding. As depicted in Figure 25c below, we observed that mice in the SVP-Rapamycin Group were able to control bleeding at a higher rate than mice in the Empty Nanoparticle Group.</w:t>
      </w:r>
    </w:p>
    <w:p>
      <w:pPr>
        <w:spacing w:after="0" w:line="14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Based on our observations, we believe the co-administration of SVP-Rapamycin with Advate inhibits the formation of anti-Advate ADAs, which, in turn, increases the efficacy of Advate to treat hemophilia A, but does not trigger global immunosuppression.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59569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0910" cy="595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Figures 25a through 25c. Preclinical Study: SVP-Rapamycin Co-Administered with Advate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7" w:name="page148"/>
    <w:bookmarkEnd w:id="14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allergy and autoimmune disease programs</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We are applying our SVP technology to the treatment of allergies and autoimmune diseases. Currently, many autoimmune diseases are treated with immunosuppressive therapies that indiscriminately affect the function of the entire immune system. Our SVP technology, however, is designed to reprogram the immune system to induce tolerance to a specific antigen that is causing the autoimmune disease, without impacting the rest of the immune system. We have established three collaborative programs with Sanofi to research novel SVP products for the treatment of a life-threatening food allergy, celiac disease and type 1 diabetes.</w:t>
      </w:r>
    </w:p>
    <w:p>
      <w:pPr>
        <w:spacing w:after="0" w:line="173" w:lineRule="exact"/>
        <w:rPr>
          <w:sz w:val="20"/>
          <w:szCs w:val="20"/>
          <w:color w:val="auto"/>
        </w:rPr>
      </w:pPr>
    </w:p>
    <w:p>
      <w:pPr>
        <w:ind w:left="467" w:right="340" w:hanging="467"/>
        <w:spacing w:after="0" w:line="270" w:lineRule="auto"/>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Life-Threatening Food Allergy. </w:t>
      </w:r>
      <w:r>
        <w:rPr>
          <w:rFonts w:ascii="Arial" w:cs="Arial" w:eastAsia="Arial" w:hAnsi="Arial"/>
          <w:sz w:val="15"/>
          <w:szCs w:val="15"/>
          <w:color w:val="auto"/>
        </w:rPr>
        <w:t>In November 2012, we entered into an exclusive license agreement with Sanofi for the use of our SVP technology for a life-threatening food</w:t>
      </w:r>
      <w:r>
        <w:rPr>
          <w:rFonts w:ascii="Arial" w:cs="Arial" w:eastAsia="Arial" w:hAnsi="Arial"/>
          <w:sz w:val="15"/>
          <w:szCs w:val="15"/>
          <w:i w:val="1"/>
          <w:iCs w:val="1"/>
          <w:color w:val="auto"/>
        </w:rPr>
        <w:t xml:space="preserve"> </w:t>
      </w:r>
      <w:r>
        <w:rPr>
          <w:rFonts w:ascii="Arial" w:cs="Arial" w:eastAsia="Arial" w:hAnsi="Arial"/>
          <w:sz w:val="15"/>
          <w:szCs w:val="15"/>
          <w:color w:val="auto"/>
        </w:rPr>
        <w:t>allergy. We are evaluating a SVP that encapsulates an immunomodulator together with an allergen provided by Sanofi. Our license agreement with Sanofi contemplates multiple preclinical, clinical, regulatory and sales milestones as well as a multi-tiered royalty structure.</w:t>
      </w:r>
    </w:p>
    <w:p>
      <w:pPr>
        <w:spacing w:after="0" w:line="182" w:lineRule="exact"/>
        <w:rPr>
          <w:rFonts w:ascii="Arial" w:cs="Arial" w:eastAsia="Arial" w:hAnsi="Arial"/>
          <w:sz w:val="15"/>
          <w:szCs w:val="15"/>
          <w:color w:val="auto"/>
        </w:rPr>
      </w:pPr>
    </w:p>
    <w:p>
      <w:pPr>
        <w:ind w:left="467" w:right="260" w:hanging="467"/>
        <w:spacing w:after="0" w:line="270" w:lineRule="auto"/>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Celiac Disease. </w:t>
      </w:r>
      <w:r>
        <w:rPr>
          <w:rFonts w:ascii="Arial" w:cs="Arial" w:eastAsia="Arial" w:hAnsi="Arial"/>
          <w:sz w:val="15"/>
          <w:szCs w:val="15"/>
          <w:color w:val="auto"/>
        </w:rPr>
        <w:t>In November 2014, Sanofi exercised its option to develop a SVP-based therapy to treat celiac disease under similar financial and other terms as the food allergy</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We are evaluating a SVP that encapsulates an immunomodulator together with gluten antigens provided by Sanofi. Our license agreement with Sanofi contemplates multiple preclinical, clinical, regulatory and sales milestones as well as a multi-tiered royalty structure.</w:t>
      </w:r>
    </w:p>
    <w:p>
      <w:pPr>
        <w:spacing w:after="0" w:line="170" w:lineRule="exact"/>
        <w:rPr>
          <w:rFonts w:ascii="Arial" w:cs="Arial" w:eastAsia="Arial" w:hAnsi="Arial"/>
          <w:sz w:val="15"/>
          <w:szCs w:val="15"/>
          <w:color w:val="auto"/>
        </w:rPr>
      </w:pPr>
    </w:p>
    <w:p>
      <w:pPr>
        <w:ind w:left="467" w:right="200" w:hanging="467"/>
        <w:spacing w:after="0" w:line="282" w:lineRule="auto"/>
        <w:tabs>
          <w:tab w:leader="none" w:pos="467"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Type 1 Diabetes. </w:t>
      </w:r>
      <w:r>
        <w:rPr>
          <w:rFonts w:ascii="Arial" w:cs="Arial" w:eastAsia="Arial" w:hAnsi="Arial"/>
          <w:sz w:val="15"/>
          <w:szCs w:val="15"/>
          <w:color w:val="auto"/>
        </w:rPr>
        <w:t>In September 2014, we received a grant from Sanofi, together with the Juvenile Diabetes Research Foundation, for research on SVP formulations encapsulating</w:t>
      </w:r>
      <w:r>
        <w:rPr>
          <w:rFonts w:ascii="Arial" w:cs="Arial" w:eastAsia="Arial" w:hAnsi="Arial"/>
          <w:sz w:val="15"/>
          <w:szCs w:val="15"/>
          <w:i w:val="1"/>
          <w:iCs w:val="1"/>
          <w:color w:val="auto"/>
        </w:rPr>
        <w:t xml:space="preserve"> </w:t>
      </w:r>
      <w:r>
        <w:rPr>
          <w:rFonts w:ascii="Arial" w:cs="Arial" w:eastAsia="Arial" w:hAnsi="Arial"/>
          <w:sz w:val="15"/>
          <w:szCs w:val="15"/>
          <w:color w:val="auto"/>
        </w:rPr>
        <w:t>Rapamycin and insulin or insulin peptides.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OUR IMMUNE STIMULATION PROGRAMS</w:t>
      </w:r>
    </w:p>
    <w:p>
      <w:pPr>
        <w:spacing w:after="0" w:line="195" w:lineRule="exact"/>
        <w:rPr>
          <w:sz w:val="20"/>
          <w:szCs w:val="20"/>
          <w:color w:val="auto"/>
        </w:rPr>
      </w:pPr>
    </w:p>
    <w:p>
      <w:pPr>
        <w:jc w:val="both"/>
        <w:ind w:left="7" w:right="100"/>
        <w:spacing w:after="0" w:line="270" w:lineRule="auto"/>
        <w:rPr>
          <w:sz w:val="20"/>
          <w:szCs w:val="20"/>
          <w:color w:val="auto"/>
        </w:rPr>
      </w:pPr>
      <w:r>
        <w:rPr>
          <w:rFonts w:ascii="Arial" w:cs="Arial" w:eastAsia="Arial" w:hAnsi="Arial"/>
          <w:sz w:val="15"/>
          <w:szCs w:val="15"/>
          <w:color w:val="auto"/>
        </w:rPr>
        <w:t>We believe our SVP technology, by encapsulating antigens and adjuvants, has the potential to be used for therapies that stimulate the immune system to treat cancer, infectious diseases and other diseases. We have early-stage programs for therapeutic treatment of HPV-associated cancers and antibody-based vaccine programs for nicotine addiction and malaria. These programs are primarily funded by grants and are the focus of our Russian operations.</w:t>
      </w:r>
    </w:p>
    <w:p>
      <w:pPr>
        <w:spacing w:after="0" w:line="159"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Our SVP immune stimulation programs are designed to encapsulate an antigen and a toll-like receptor, or TLR, agonist as the immunomodulator. Humans possess ten TLRs, each of which recognizes distinct molecular patterns associated with pathogens. Activation of TLRs alert the immune system that a potential pathogen is present and that the immune system should mount a response. In this regard, we refer to TLR agonists as substances that activate specific TLRs. TLR agonists can be used as supplements, or adjuvants, to vaccines to increase the immune response to the vaccine by activating the TLRs in antigen-presenting cells.</w:t>
      </w:r>
    </w:p>
    <w:p>
      <w:pPr>
        <w:spacing w:after="0" w:line="162" w:lineRule="exact"/>
        <w:rPr>
          <w:sz w:val="20"/>
          <w:szCs w:val="20"/>
          <w:color w:val="auto"/>
        </w:rPr>
      </w:pPr>
    </w:p>
    <w:p>
      <w:pPr>
        <w:ind w:left="7" w:right="200"/>
        <w:spacing w:after="0" w:line="290" w:lineRule="auto"/>
        <w:rPr>
          <w:sz w:val="20"/>
          <w:szCs w:val="20"/>
          <w:color w:val="auto"/>
        </w:rPr>
      </w:pPr>
      <w:r>
        <w:rPr>
          <w:rFonts w:ascii="Arial" w:cs="Arial" w:eastAsia="Arial" w:hAnsi="Arial"/>
          <w:sz w:val="14"/>
          <w:szCs w:val="14"/>
          <w:color w:val="auto"/>
        </w:rPr>
        <w:t>Injecting TLR agonists alone can cause off-target, systemic immune stimulation, leading to the production of secreted factors called cytokines, which can effectively limit the dosage of vaccines by causing inflammation and flu-like symptoms. To address this issue, our stimulatory SVP technology is designed to limit the TLR agonists from creating a systemic immune response by encapsulating the TLR agonists within our biodegradable nanoparticle. When the TLR agonist is encapsulated with SVP, referred to as SVP-TLR agonist, it can be selectively delivered, together with the vaccine target antigen, to the antigen-presenting cells to induce antigen-specific immune stimulation.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48" w:name="page149"/>
    <w:bookmarkEnd w:id="14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Immune stimulation-related preclinical study</w:t>
      </w:r>
    </w:p>
    <w:p>
      <w:pPr>
        <w:spacing w:after="0" w:line="195" w:lineRule="exact"/>
        <w:rPr>
          <w:sz w:val="20"/>
          <w:szCs w:val="20"/>
          <w:color w:val="auto"/>
        </w:rPr>
      </w:pPr>
    </w:p>
    <w:p>
      <w:pPr>
        <w:jc w:val="both"/>
        <w:ind w:left="7" w:right="100"/>
        <w:spacing w:after="0" w:line="362" w:lineRule="auto"/>
        <w:rPr>
          <w:sz w:val="20"/>
          <w:szCs w:val="20"/>
          <w:color w:val="auto"/>
        </w:rPr>
      </w:pPr>
      <w:r>
        <w:rPr>
          <w:rFonts w:ascii="Arial" w:cs="Arial" w:eastAsia="Arial" w:hAnsi="Arial"/>
          <w:sz w:val="13"/>
          <w:szCs w:val="13"/>
          <w:color w:val="auto"/>
        </w:rPr>
        <w:t>We conducted a preclinical study in mice to evaluate the ability of a SVP-TLR agonist containing an antigen to minimize the production of systemic cytokines, which are responsible for an undesired systemic immune-stimulatory response, while increasing the production of local cytokines, which are responsible for a strong and antigen-specific immune-stimulatory response.</w:t>
      </w:r>
    </w:p>
    <w:p>
      <w:pPr>
        <w:spacing w:after="0" w:line="105" w:lineRule="exact"/>
        <w:rPr>
          <w:sz w:val="20"/>
          <w:szCs w:val="20"/>
          <w:color w:val="auto"/>
        </w:rPr>
      </w:pPr>
    </w:p>
    <w:p>
      <w:pPr>
        <w:ind w:left="7" w:right="580"/>
        <w:spacing w:after="0" w:line="282" w:lineRule="auto"/>
        <w:rPr>
          <w:sz w:val="20"/>
          <w:szCs w:val="20"/>
          <w:color w:val="auto"/>
        </w:rPr>
      </w:pPr>
      <w:r>
        <w:rPr>
          <w:rFonts w:ascii="Arial" w:cs="Arial" w:eastAsia="Arial" w:hAnsi="Arial"/>
          <w:sz w:val="15"/>
          <w:szCs w:val="15"/>
          <w:color w:val="auto"/>
        </w:rPr>
        <w:t>In this study, we used a specific agonist of TLR7 and TLR8, referred to as TLR 7/8 agonist, that we either delivered in free form mixed with a nanoparticle containing an antigen or encapsulated with an antigen in a nanoparticle.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Figures 26a through 26d below:</w:t>
      </w:r>
    </w:p>
    <w:p>
      <w:pPr>
        <w:spacing w:after="0" w:line="210" w:lineRule="exact"/>
        <w:rPr>
          <w:sz w:val="20"/>
          <w:szCs w:val="20"/>
          <w:color w:val="auto"/>
        </w:rPr>
      </w:pPr>
    </w:p>
    <w:p>
      <w:pPr>
        <w:ind w:left="467" w:right="220" w:hanging="467"/>
        <w:spacing w:after="0" w:line="282"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first group of mice, referred to as the Encapsulated TLR 7/8 Agonist Group and indicated in green, received a single dose of SVP encapsulating both an antigen and a TLR 7/8 agonist; and</w:t>
      </w:r>
    </w:p>
    <w:p>
      <w:pPr>
        <w:spacing w:after="0" w:line="173" w:lineRule="exact"/>
        <w:rPr>
          <w:rFonts w:ascii="Arial" w:cs="Arial" w:eastAsia="Arial" w:hAnsi="Arial"/>
          <w:sz w:val="15"/>
          <w:szCs w:val="15"/>
          <w:color w:val="auto"/>
        </w:rPr>
      </w:pPr>
    </w:p>
    <w:p>
      <w:pPr>
        <w:ind w:left="467" w:right="80" w:hanging="467"/>
        <w:spacing w:after="0" w:line="282" w:lineRule="auto"/>
        <w:tabs>
          <w:tab w:leader="none" w:pos="467"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second group of mice, referred to as the Free TLR 7/8 Agonist Group and indicated in red, received a single dose of SVP encapsulating antigen alone together with free TLR 7/8 agonist.</w:t>
      </w:r>
    </w:p>
    <w:p>
      <w:pPr>
        <w:spacing w:after="0" w:line="151" w:lineRule="exact"/>
        <w:rPr>
          <w:sz w:val="20"/>
          <w:szCs w:val="20"/>
          <w:color w:val="auto"/>
        </w:rPr>
      </w:pPr>
    </w:p>
    <w:p>
      <w:pPr>
        <w:ind w:left="7" w:right="200"/>
        <w:spacing w:after="0" w:line="266" w:lineRule="auto"/>
        <w:rPr>
          <w:sz w:val="20"/>
          <w:szCs w:val="20"/>
          <w:color w:val="auto"/>
        </w:rPr>
      </w:pPr>
      <w:r>
        <w:rPr>
          <w:rFonts w:ascii="Arial" w:cs="Arial" w:eastAsia="Arial" w:hAnsi="Arial"/>
          <w:sz w:val="15"/>
          <w:szCs w:val="15"/>
          <w:color w:val="auto"/>
        </w:rPr>
        <w:t>We evaluated serum levels of TNF-alpha and interleukin-6, or IL-6, two pro-inflammatory cytokines indicative of an undesired, systemic immune response and associated with flu-like symptoms, to determine the levels of systemic cytokine production, as depicted in Figures 26a and 26b below. We also evaluated the levels of interleukin-12, or IL-12, and interferon-gamma, or IFN, in the draining lymph node to determine the levels of local cytokine production involved in desired T helper cell type 1 immune responses, as depicted in Figures 26c and 26d below.</w:t>
      </w:r>
    </w:p>
    <w:p>
      <w:pPr>
        <w:spacing w:after="0" w:line="162"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As depicted in Figures 26a and 26b below, we observed increased levels of systemic cytokine production in the Free TLR 7/8 Agonist Group in comparison to the Encapsulated TLR 7/8 Agonist Group. As depicted in Figures 26c and 26d below, we observed increased levels of local cytokine production in the draining lymph node in the Encapsulated TLR 7/8 Agonist Group as compared to the Free TLR 7/8 Agonist Group.</w:t>
      </w:r>
    </w:p>
    <w:p>
      <w:pPr>
        <w:spacing w:after="0" w:line="159" w:lineRule="exact"/>
        <w:rPr>
          <w:sz w:val="20"/>
          <w:szCs w:val="20"/>
          <w:color w:val="auto"/>
        </w:rPr>
      </w:pPr>
    </w:p>
    <w:p>
      <w:pPr>
        <w:ind w:left="7" w:right="200"/>
        <w:spacing w:after="0" w:line="282" w:lineRule="auto"/>
        <w:rPr>
          <w:sz w:val="20"/>
          <w:szCs w:val="20"/>
          <w:color w:val="auto"/>
        </w:rPr>
      </w:pPr>
      <w:r>
        <w:rPr>
          <w:rFonts w:ascii="Arial" w:cs="Arial" w:eastAsia="Arial" w:hAnsi="Arial"/>
          <w:sz w:val="15"/>
          <w:szCs w:val="15"/>
          <w:color w:val="auto"/>
        </w:rPr>
        <w:t>Based on these results, we believe that by encapsulating a TLR agonist in SVP, we are able to increase the production of local cytokines without triggering an undesired systemic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149" w:name="page150"/>
    <w:bookmarkEnd w:id="1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40525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0910"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Figures 26a through 26d. Preclinical Study: Minimization of Production of Systemic Cytokines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Cancer immunotherapy</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Cancer immunotherapy leverages the immune system to treat cancer. The main function of the immune system is to discriminate between "self" and "non-self" antigens. Cancer cells thrive, in part, because they are derived from the body's own cells, and thus are recognized by the immune system as self. We believe that cancer vaccines could be an important therapeutic modality to treat cancer by training the immune system to recognize cancer-associated antigens that are mutated or not expressed in normal adult tissues.</w:t>
      </w:r>
    </w:p>
    <w:p>
      <w:pPr>
        <w:spacing w:after="0" w:line="144"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Tumors also evade the immune system by increasing the expression of certain molecules that suppress the immune response against the tumor. This mechanism may be overcome by administering products called immune checkpoint inhibitors, which are designed to block or overcome the immunosuppressive pathways and stimulate the immune system. We believe the efficacy of this approach depends on the existence of pre-existing tumor-specific cytolytic T cells, or CTL, that can be mobilized by checkpoint inhibitors. In some patients, the immune system either does not recognize the tumor or is too weak to mount a response and as a result cannot generate the CTL necessary to kill the tumor. For these patients, a vaccine therapy that stimulates the immune system and could be given in conjunction with a checkpoint inhibitor, may result in better outcomes. We believe that the combination of checkpoint inhibitors and effective cancer vaccines represents the next advance in cancer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0" w:name="page151"/>
    <w:bookmarkEnd w:id="15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HPV-associated cancer</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HPV overview</w:t>
      </w:r>
    </w:p>
    <w:p>
      <w:pPr>
        <w:spacing w:after="0" w:line="195" w:lineRule="exact"/>
        <w:rPr>
          <w:sz w:val="20"/>
          <w:szCs w:val="20"/>
          <w:color w:val="auto"/>
        </w:rPr>
      </w:pPr>
    </w:p>
    <w:p>
      <w:pPr>
        <w:ind w:left="7" w:right="500"/>
        <w:spacing w:after="0" w:line="282" w:lineRule="auto"/>
        <w:rPr>
          <w:sz w:val="20"/>
          <w:szCs w:val="20"/>
          <w:color w:val="auto"/>
        </w:rPr>
      </w:pPr>
      <w:r>
        <w:rPr>
          <w:rFonts w:ascii="Arial" w:cs="Arial" w:eastAsia="Arial" w:hAnsi="Arial"/>
          <w:sz w:val="15"/>
          <w:szCs w:val="15"/>
          <w:color w:val="auto"/>
        </w:rPr>
        <w:t>HPV is a sexually transmitted infection, which can lead to the development of cancer. Cervical HPV infection often clears spontaneously. However, when it persists, it can lead to the development of cervical intraepithelial neoplasia, or CIN, and cervical cancer.</w:t>
      </w:r>
    </w:p>
    <w:p>
      <w:pPr>
        <w:spacing w:after="0" w:line="151"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According to the World Health Organization, HPV infection results in an estimated 530,000 new cases of cervical cancer worldwide, with 270,000 deaths annually. The Centers for Disease Control and Prevention estimates that in the United States there are more than 26,000 cases of HPV-associated cancer per year. HPV is found in approximately 99% of cases of cervical cancer and 72% of cases of oropharyngeal head and neck cancer. The rising incidence of such cancers is thought to be related to the increasing proportion of cancers caused by HPV. In 2011, a study published in the Journal of Clinical Oncology observed that HPV prevalence in oropharyngeal cancers increased from 16.3% during 1984 to 1989 to 71.7% during 2000 to 2004. There are two HPV strains that are responsible for more than 70% of cervical cancer worldwide.</w:t>
      </w:r>
    </w:p>
    <w:p>
      <w:pPr>
        <w:spacing w:after="0" w:line="167"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Gardasil and Cervarix are FDA-approved prophylactic vaccines for HPV-related cancers with aggregate worldwide sales reaching $1.9 billion in 2014. While these vaccines can prevent tumor occurrence, Gardasil and Cervarix have not been approved for treatment of patients with existing HPV-related cancers.</w:t>
      </w:r>
    </w:p>
    <w:p>
      <w:pPr>
        <w:spacing w:after="0" w:line="151" w:lineRule="exact"/>
        <w:rPr>
          <w:sz w:val="20"/>
          <w:szCs w:val="20"/>
          <w:color w:val="auto"/>
        </w:rPr>
      </w:pPr>
    </w:p>
    <w:p>
      <w:pPr>
        <w:ind w:left="7" w:right="320"/>
        <w:spacing w:after="0" w:line="297" w:lineRule="auto"/>
        <w:rPr>
          <w:sz w:val="20"/>
          <w:szCs w:val="20"/>
          <w:color w:val="auto"/>
        </w:rPr>
      </w:pPr>
      <w:r>
        <w:rPr>
          <w:rFonts w:ascii="Arial" w:cs="Arial" w:eastAsia="Arial" w:hAnsi="Arial"/>
          <w:sz w:val="14"/>
          <w:szCs w:val="14"/>
          <w:color w:val="auto"/>
        </w:rPr>
        <w:t>According to the Centers for Disease Control and Prevention, in 2012, only 54% of women between the age of 13 to 17 had received at least one dose of the HPV vaccine and only 33% received a complete series of three, which may serve as a prophylactic if administered prior to exposure. This level of vaccination is well below the 80% rate set as a goal by the U.S. Department of Health and Human Services. As a result, we believe that HPV-associated cancer will be an ongoing medical condition for the foreseeable future.</w:t>
      </w:r>
    </w:p>
    <w:p>
      <w:pPr>
        <w:spacing w:after="0" w:line="135"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Overview of our program for HPV-associated cancer</w:t>
      </w:r>
    </w:p>
    <w:p>
      <w:pPr>
        <w:spacing w:after="0" w:line="195" w:lineRule="exact"/>
        <w:rPr>
          <w:sz w:val="20"/>
          <w:szCs w:val="20"/>
          <w:color w:val="auto"/>
        </w:rPr>
      </w:pPr>
    </w:p>
    <w:p>
      <w:pPr>
        <w:ind w:left="7" w:right="220"/>
        <w:spacing w:after="0" w:line="266" w:lineRule="auto"/>
        <w:rPr>
          <w:sz w:val="20"/>
          <w:szCs w:val="20"/>
          <w:color w:val="auto"/>
        </w:rPr>
      </w:pPr>
      <w:r>
        <w:rPr>
          <w:rFonts w:ascii="Arial" w:cs="Arial" w:eastAsia="Arial" w:hAnsi="Arial"/>
          <w:sz w:val="15"/>
          <w:szCs w:val="15"/>
          <w:color w:val="auto"/>
        </w:rPr>
        <w:t>Our first CTL-activating SVP program in development is designed to treat HPV-associated cancers by stimulating the immune response to the E6 and E7 proteins, which are expressed by HPV-associated tumor cells. The HPV E6 and E7 antigens are oncogenic proteins that promote malignant transformation and tumor growth. Our SVP program for HPV-associated cancer consists of a SVP encapsulating the E6 and E7 proteins, or SVP-E6/E7, co-administered with an SVP adjuvant which contains a TLR agonist. We refer to this co-administration as SVP-HPV.</w:t>
      </w:r>
    </w:p>
    <w:p>
      <w:pPr>
        <w:spacing w:after="0" w:line="162" w:lineRule="exact"/>
        <w:rPr>
          <w:sz w:val="20"/>
          <w:szCs w:val="20"/>
          <w:color w:val="auto"/>
        </w:rPr>
      </w:pPr>
    </w:p>
    <w:p>
      <w:pPr>
        <w:ind w:left="7" w:right="80"/>
        <w:spacing w:after="0" w:line="282" w:lineRule="auto"/>
        <w:rPr>
          <w:sz w:val="20"/>
          <w:szCs w:val="20"/>
          <w:color w:val="auto"/>
        </w:rPr>
      </w:pPr>
      <w:r>
        <w:rPr>
          <w:rFonts w:ascii="Arial" w:cs="Arial" w:eastAsia="Arial" w:hAnsi="Arial"/>
          <w:sz w:val="15"/>
          <w:szCs w:val="15"/>
          <w:color w:val="auto"/>
        </w:rPr>
        <w:t>We were awarded a grant from the Skolkovo Foundation to support our program to develop an SVP immunotherapy to treat HPV-associated cancers. We believe the grant will assist us with advancing the program from preclinical to early clinical evaluation.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Preclinical development</w:t>
      </w:r>
    </w:p>
    <w:p>
      <w:pPr>
        <w:spacing w:after="0" w:line="195" w:lineRule="exact"/>
        <w:rPr>
          <w:sz w:val="20"/>
          <w:szCs w:val="20"/>
          <w:color w:val="auto"/>
        </w:rPr>
      </w:pPr>
    </w:p>
    <w:p>
      <w:pPr>
        <w:ind w:left="7" w:right="20"/>
        <w:spacing w:after="0" w:line="273" w:lineRule="auto"/>
        <w:rPr>
          <w:sz w:val="20"/>
          <w:szCs w:val="20"/>
          <w:color w:val="auto"/>
        </w:rPr>
      </w:pPr>
      <w:r>
        <w:rPr>
          <w:rFonts w:ascii="Arial" w:cs="Arial" w:eastAsia="Arial" w:hAnsi="Arial"/>
          <w:sz w:val="15"/>
          <w:szCs w:val="15"/>
          <w:color w:val="auto"/>
        </w:rPr>
        <w:t>We conducted a preclinical study in which we evaluated the ability of SVP-HPV to reverse tumor growth for HPV-associated cancers. In this study, we delivered SVP-HPV to mice using the TC-1 tumor model, which expresses the HPV E6 and E7 antigens. Mice were treated either 13 days or 14 days after the introduction (inoculation) of TC-1 tumor cells, at which time the average tumor size was approximately 200 mm</w:t>
      </w:r>
      <w:r>
        <w:rPr>
          <w:rFonts w:ascii="Arial" w:cs="Arial" w:eastAsia="Arial" w:hAnsi="Arial"/>
          <w:sz w:val="25"/>
          <w:szCs w:val="25"/>
          <w:color w:val="auto"/>
          <w:vertAlign w:val="superscript"/>
        </w:rPr>
        <w:t>3</w:t>
      </w:r>
      <w:r>
        <w:rPr>
          <w:rFonts w:ascii="Arial" w:cs="Arial" w:eastAsia="Arial" w:hAnsi="Arial"/>
          <w:sz w:val="15"/>
          <w:szCs w:val="15"/>
          <w:color w:val="auto"/>
        </w:rPr>
        <w:t>.</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this study, we administered to:</w:t>
      </w:r>
    </w:p>
    <w:p>
      <w:pPr>
        <w:spacing w:after="0" w:line="210" w:lineRule="exact"/>
        <w:rPr>
          <w:sz w:val="20"/>
          <w:szCs w:val="20"/>
          <w:color w:val="auto"/>
        </w:rPr>
      </w:pPr>
    </w:p>
    <w:p>
      <w:pPr>
        <w:ind w:left="467" w:hanging="467"/>
        <w:spacing w:after="0"/>
        <w:tabs>
          <w:tab w:leader="none" w:pos="467"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first group of mice, referred to as the Empty Nanoparticle Group and indicated in blue in Figures 27a and 27c below, four doses of empty nanoparticles;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5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1" w:name="page152"/>
    <w:bookmarkEnd w:id="15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second group of mice, referred to as the SVP-HPV Group and indicated in green in Figures 27b and 27c below, four doses of SVP-HPV.</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3"/>
          <w:szCs w:val="13"/>
          <w:color w:val="auto"/>
        </w:rPr>
        <w:t>As depicted in Figures 27a and 27b below, we recorded the volumes of the tumors in both the Empty Nanoparticle Group and the SVP-HPV Group to determine the efficacy of the treatment.</w:t>
      </w:r>
    </w:p>
    <w:p>
      <w:pPr>
        <w:spacing w:after="0" w:line="221"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As depicted in Figures 27a and 27b below, we observed that the administration of SVP-HPV reduced the growth of tumors in the SPV-HPV Group in comparison to the Empty Nanoparticle Group, even when administered to mice with palpable tumors. Notably, the tumors in the mice in the SVP-HPV Group continued to grow to an average size of approximately 1,200 mm3 at day 20, before regressing back to baseline.</w:t>
      </w:r>
    </w:p>
    <w:p>
      <w:pPr>
        <w:spacing w:after="0" w:line="159" w:lineRule="exact"/>
        <w:rPr>
          <w:sz w:val="20"/>
          <w:szCs w:val="20"/>
          <w:color w:val="auto"/>
        </w:rPr>
      </w:pPr>
    </w:p>
    <w:p>
      <w:pPr>
        <w:ind w:left="7" w:right="140"/>
        <w:spacing w:after="0" w:line="330" w:lineRule="auto"/>
        <w:rPr>
          <w:sz w:val="20"/>
          <w:szCs w:val="20"/>
          <w:color w:val="auto"/>
        </w:rPr>
      </w:pPr>
      <w:r>
        <w:rPr>
          <w:rFonts w:ascii="Arial" w:cs="Arial" w:eastAsia="Arial" w:hAnsi="Arial"/>
          <w:sz w:val="13"/>
          <w:szCs w:val="13"/>
          <w:color w:val="auto"/>
        </w:rPr>
        <w:t>In a separate experiment, we re-challenged surviving mice on day 154 with a second inoculation of TC-1 tumor cells to test the durability of the immune response and the ability to prevent tumor recurrence. As depicted in Figure 27c below, we observed that immunization with SVP-HPV increases the survival rate of SVP-HPV immunized mice compared to saline treated mice, referred to as the Saline Control Group. The surviving mice withstood a second inoculation of tumors at day 154, indicating the development of long term immunological memory.</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these observations, we believe administration of SVP-HPV can both reduce tumor size and increase survival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130175</wp:posOffset>
            </wp:positionV>
            <wp:extent cx="4993640" cy="39052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93640" cy="390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Figures 27a through 27c. Preclinical Study: Administration of SVP-HPV in TC-1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52" w:name="page153"/>
    <w:bookmarkEnd w:id="15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40"/>
        <w:spacing w:after="0" w:line="282" w:lineRule="auto"/>
        <w:rPr>
          <w:sz w:val="20"/>
          <w:szCs w:val="20"/>
          <w:color w:val="auto"/>
        </w:rPr>
      </w:pPr>
      <w:r>
        <w:rPr>
          <w:rFonts w:ascii="Arial" w:cs="Arial" w:eastAsia="Arial" w:hAnsi="Arial"/>
          <w:sz w:val="15"/>
          <w:szCs w:val="15"/>
          <w:color w:val="auto"/>
        </w:rPr>
        <w:t>We conducted a preclinical study to evaluate the synergistic effects that our SVP technology may have with certain checkpoint inhibitors such as anti-PD-L1 antibodies. In this study, mice were separated into four groups and implanted with B16F10 melanoma tumor cells, which express an endogenous tumor antigen called TRP-2.</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As depicted in Figure 28 below, the:</w:t>
      </w:r>
    </w:p>
    <w:p>
      <w:pPr>
        <w:spacing w:after="0" w:line="210" w:lineRule="exact"/>
        <w:rPr>
          <w:sz w:val="20"/>
          <w:szCs w:val="20"/>
          <w:color w:val="auto"/>
        </w:rPr>
      </w:pPr>
    </w:p>
    <w:p>
      <w:pPr>
        <w:ind w:left="467" w:hanging="467"/>
        <w:spacing w:after="0"/>
        <w:tabs>
          <w:tab w:leader="none" w:pos="467" w:val="left"/>
        </w:tabs>
        <w:numPr>
          <w:ilvl w:val="0"/>
          <w:numId w:val="90"/>
        </w:numPr>
        <w:rPr>
          <w:rFonts w:ascii="Arial" w:cs="Arial" w:eastAsia="Arial" w:hAnsi="Arial"/>
          <w:sz w:val="14"/>
          <w:szCs w:val="14"/>
          <w:color w:val="auto"/>
        </w:rPr>
      </w:pPr>
      <w:r>
        <w:rPr>
          <w:rFonts w:ascii="Arial" w:cs="Arial" w:eastAsia="Arial" w:hAnsi="Arial"/>
          <w:sz w:val="14"/>
          <w:szCs w:val="14"/>
          <w:color w:val="auto"/>
        </w:rPr>
        <w:t>first group of mice, referred to as the Empty Nanoparticle + Control Antibody Group and indicated in black, received empty nanoparticles with an isotype control antibody;</w:t>
      </w:r>
    </w:p>
    <w:p>
      <w:pPr>
        <w:spacing w:after="0" w:line="232" w:lineRule="exact"/>
        <w:rPr>
          <w:rFonts w:ascii="Arial" w:cs="Arial" w:eastAsia="Arial" w:hAnsi="Arial"/>
          <w:sz w:val="14"/>
          <w:szCs w:val="14"/>
          <w:color w:val="auto"/>
        </w:rPr>
      </w:pPr>
    </w:p>
    <w:p>
      <w:pPr>
        <w:ind w:left="467" w:right="120" w:hanging="467"/>
        <w:spacing w:after="0" w:line="282" w:lineRule="auto"/>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second group of mice, referred to as the Empty Nanoparticle + Anti-PD-L1 Antibody Group and indicated in blue, received empty nanoparticles with a PD-L1-specific monoclonal antibody;</w:t>
      </w:r>
    </w:p>
    <w:p>
      <w:pPr>
        <w:spacing w:after="0" w:line="162" w:lineRule="exact"/>
        <w:rPr>
          <w:rFonts w:ascii="Arial" w:cs="Arial" w:eastAsia="Arial" w:hAnsi="Arial"/>
          <w:sz w:val="15"/>
          <w:szCs w:val="15"/>
          <w:color w:val="auto"/>
        </w:rPr>
      </w:pPr>
    </w:p>
    <w:p>
      <w:pPr>
        <w:ind w:left="467" w:right="60" w:hanging="467"/>
        <w:spacing w:after="0" w:line="282" w:lineRule="auto"/>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third group of mice, referred to as the SVP-TRP-2 + Control Antibody Group and indicated in green, received SVP encapsulating the TRP-2 peptide antigen and a TLR agonist with an isotype control antibody; and</w:t>
      </w:r>
    </w:p>
    <w:p>
      <w:pPr>
        <w:spacing w:after="0" w:line="162" w:lineRule="exact"/>
        <w:rPr>
          <w:rFonts w:ascii="Arial" w:cs="Arial" w:eastAsia="Arial" w:hAnsi="Arial"/>
          <w:sz w:val="15"/>
          <w:szCs w:val="15"/>
          <w:color w:val="auto"/>
        </w:rPr>
      </w:pPr>
    </w:p>
    <w:p>
      <w:pPr>
        <w:ind w:left="467" w:right="160" w:hanging="467"/>
        <w:spacing w:after="0" w:line="282" w:lineRule="auto"/>
        <w:tabs>
          <w:tab w:leader="none" w:pos="467" w:val="left"/>
        </w:tabs>
        <w:numPr>
          <w:ilvl w:val="0"/>
          <w:numId w:val="90"/>
        </w:numPr>
        <w:rPr>
          <w:rFonts w:ascii="Arial" w:cs="Arial" w:eastAsia="Arial" w:hAnsi="Arial"/>
          <w:sz w:val="15"/>
          <w:szCs w:val="15"/>
          <w:color w:val="auto"/>
        </w:rPr>
      </w:pPr>
      <w:r>
        <w:rPr>
          <w:rFonts w:ascii="Arial" w:cs="Arial" w:eastAsia="Arial" w:hAnsi="Arial"/>
          <w:sz w:val="15"/>
          <w:szCs w:val="15"/>
          <w:color w:val="auto"/>
        </w:rPr>
        <w:t>fourth group of mice, referred to as the SVP-TRP-2 + Anti-PD-L1 Antibody Group and indicated in red, received SVP encapsulating the TRP-2 peptide antigen and a TLR agonist with a PD-L1-specific monoclonal antibody.</w:t>
      </w:r>
    </w:p>
    <w:p>
      <w:pPr>
        <w:spacing w:after="0" w:line="151"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We evaluated the presence of tumors over time in the mice to determine the efficacy of treatment. We observed that more mice in the SVP-TRP-2 + Control Antibody Group remained tumor-free and over a longer period of time than that of the Empty Nanoparticle + Control Antibody and the Empty Nanoparticle + Anti-PD-L1 Antibody Groups. The SVP-TRP-2 + Anti-PD-L1 Group showed even better efficacy, with approximately 66% of mice remaining tumor free at day 76, compared to approximately 25% of mice in the SVP-TRP-2 + Control Antibody Group and 0% of mice in each of the Empty Nanoparticle + Control Antibody and the Empty Nanoparticle + Anti-PD-L1 Antibody Groups.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color w:val="auto"/>
        </w:rPr>
        <w:t>Based on our observations, we believe our SVP technology may have synergistic effects with certain checkpoint inhibitors to treat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130175</wp:posOffset>
            </wp:positionV>
            <wp:extent cx="4412615" cy="27578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412615" cy="275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Figure 28. Preclinical Study: Administration of SVP Encapsulating the TRP-2 Peptide Antigen and TLR Agonist in B16F1-Melanoma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6630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7"/>
          </w:cols>
          <w:pgMar w:left="233" w:top="132" w:right="25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OTHER PROGRAMS</w:t>
      </w:r>
    </w:p>
    <w:p>
      <w:pPr>
        <w:spacing w:after="0" w:line="195"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Our other immune stimulation programs are a prophylactic malaria vaccine, funded by a grant from The Bill and Melinda Gates Foundation, and a therapeutic vaccine for smoking cessation and relapse prevention, funded by a grant from the NIDA part of the National Institutes of Health.</w:t>
      </w:r>
    </w:p>
    <w:p>
      <w:pPr>
        <w:spacing w:after="0" w:line="151"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malaria program is designed to be a dual action, immune-stimulating SVP nanoparticle vaccine that we believe may offer the potential to protect against malaria by preventing infection and transmission. This program is in the discovery phase.</w:t>
      </w:r>
    </w:p>
    <w:p>
      <w:pPr>
        <w:spacing w:after="0" w:line="151"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The smoking cessation and relapse prevention program aims to stimulate the immune system to produce nicotine-specific antibodies in smokers. We believe such antibodies have the potential to bind to the inhaled nicotine and prevent the inhaled nicotine from reaching the brain thereby reducing levels of nicotine in the brain to support smoking cessation and relapse prevention. The SVP-nicotine program, SEL-070, is in preclinical development. We had a prior SVP-nicotine product candidate that was partly sponsored by a grant from NIDA, which entered clinical development. Results from a Phase 1 clinical trial conducted in smokers and non-smokers with this prior product candidate showed that it was well tolerated and that nicotine-specific antibodies were induced, but at sub-therapeutic levels. On the basis of the data from this Phase 1 trial, we obtained a new grant from NIDA to further optimize our SVP-nicotine product candidate. We are currently conducting GLP toxicology studies for our optimized smoking cessation candidate.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We manufacture SVP using a readily-scalable, self-assembly nanoemulsion process with well-defined, robust commercial pharmaceutical unit operations. This proprietary, highly specialized and precisely controlled manufacturing process enables us to reproducibly manufacture SVP across many production scales, from milligram-scale at the laboratory bench, to tens of grams to support investigational new drug application-enabling toxicology studies and early phase clinical studies, to hundreds of grams to multi-kilogram scale for commercial production. This well-defined process has been produced at multiple scales. We have also developed and executed the required detailed analytic characterization of our products. We have completed and released multiple cGMP batches of nanoparticles at the 50 gram scale for our SVP-Rapamycin program and at the 10 and 20 gram scale for our nicotine program.</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For the SEL-212 program, we have scaled-up the SVP-Rapamycin production to a 50 gram scale and have initiated development at the 200 gram scale, which, at the current projected clinical dose, we believe would be suitable for commercial launch. The process is designed such that this same equipment is capable of potentially producing up to a one kilogram batch size scale. As our nanoparticle manufacturing process is compact, and therefore also portable, our strategy is to transfer our custom designed process skids to our contract manufacturing organization, or CMO, and have the CMO produce the nanoparticles, under our direction. This is the strategy we use for production of clinical supplies for clinical trials and would be the expected strategy for commercial production.</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pegsiticase enzyme is produced by fermentation in E. Coli and is sourced from 3SBio in China. 3SBio is a Chinese pharmaceutical company that produces multiple approved products in China and also has product sales in other countries around the world. 3SBio supplies the pegsiticase used in the current clinical trials of SEL-212 in the United States. Through a licensing arrangement, we own exclusive worldwide rights to pegsiticase outside of China, with co-ownership of rights in Japan and with 3SBio owning all rights in China. Under this arrangement, 3SBio has agreed to supply us with pegsiticase. We are in the process of evaluating a back-up supplier for pegsiticase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Institute of Technology</w:t>
      </w:r>
    </w:p>
    <w:p>
      <w:pPr>
        <w:spacing w:after="0" w:line="195"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In November 2008, we entered into a license agreement with MIT, which we refer to as the MIT License. We amended the MIT License in January 2010, November 2012 and August 2013. Under the MIT License, we acquired an exclusive worldwide license, with the right to grant sublicenses, to develop, make, sell, use and import certain licensed products that are therapeutic or prophylactic vaccines and use certain licensed processes in the exercise of rights to the licensed products, the manufacture, sale and practice of which are covered by patent rights owned or controlled by MIT, including patents jointly owned with Brigham, the President and Fellows of Harvard College, and the Children's Medical Center Corporation and its subsidiary, the Children's Hospital Corporation (formerly, the Immune Disease Institute). Our exclusivity is subject to certain retained rights of these institutions and other third parties.</w:t>
      </w:r>
    </w:p>
    <w:p>
      <w:pPr>
        <w:spacing w:after="0" w:line="13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MIT License, we are required to use diligent efforts to develop and commercialize one or more licensed products or licensed processes, and to thereafter make such products and processes reasonably available to the public, which include annual minimum spending on research, development and commercialization by us or our sublicensees. Upon our entry into the MIT License, we paid MIT a non-refundable license issue fee, reimbursed certain of MIT's costs and issued shares of our common stock to MIT and the other institutional patent owners which were subject to certain anti-dilution, registration and other protective rights. We are obligated to pay MIT annual maintenance fees, which may be credited against the low-single-digit running royalty on annual net sales that we are also obligated to pay. Additionally, we are required to pay MIT (i) developmental milestones up to an aggregate of $1,450,000, (ii) a mid-single digit percentage of income received in consideration of practice of patent rights or development of the products or processes in collaboration with or on behalf of a non-sublicensee corporate partner, (iii) a specified percentage of income received from sublicensees in the low thirties prior to November 25, 2009 and, after that, between 10% and 20%, and (iv) certain fees and costs. Pursuant to the MIT License, we are required to use diligent efforts to develop and commercialize one or more licensed products or licensed processes, and to thereafter make such products and processes reasonably available to the public, which include annual minimum spending of a specified amount in the low-to-mid-six figures in 2008 and 2009 and, thereafter, in the low seven figures, on research, development and commercialization by or our sublicensees.</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may terminate the MIT License at any time upon six months written notice. MIT has the right to terminate the MIT License immediately upon written notice to us if we cease to carry on our business related to the MIT License, fail to maintain insurance as required under the MIT License, file for bankruptcy, fail to pay amounts due under the MIT License, challenge or assist others in bringing a challenge to MIT's patents or fail to cure material breach within 60 days' written notice thereof. Absent early termination, the MIT License will continue until the expiration or abandonment of the last to expire patent right subject to the MIT License.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Sanofi</w:t>
      </w:r>
    </w:p>
    <w:p>
      <w:pPr>
        <w:spacing w:after="0" w:line="19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November 2012, we entered into a license and research collaboration agreement with Sanofi, which we refer to as the Sanofi Agreement. Under the terms of the Sanofi Agreement, we granted Sanofi an exclusive, worldwide license to certain intellectual property rights and technologies owned by or licensed exclusively to us, including a sublicense under the MIT License, for the research, development and commercialization of one or more treatments for food allergies. The Sanofi Agreement contains an option to extend the license grant for two additional allergy indications, including celiac disease but excluding house dust mite allergies. In November 2014, Sanofi exercised the option to include celiac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disease as an additional indication and the Sanofi Agreement was amended to add terms specific to the celiac disease indication and to terminate Sanofi's right to exercise its option for any additional indications in May 2015. Except as authorized by Sanofi or permitted under the Sanofi Agreement, during the term of the Sanofi Agreement, our exclusivity obligations prevent us from researching, developing, or commercializing products in these indications or granting third party licenses under the intellectual property rights and technologies licensed to Sanofi for use in these indications.</w:t>
      </w:r>
    </w:p>
    <w:p>
      <w:pPr>
        <w:spacing w:after="0" w:line="162"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Under the terms of the research collaboration portion of the Sanofi Agreement, we are required to use commercially reasonable efforts to perform the activities set out for us in the research and development plans created and overseen by a joint research committee. We are responsible for manufacturing all vaccines required for research, development and commercialization of licensed products.</w:t>
      </w:r>
    </w:p>
    <w:p>
      <w:pPr>
        <w:spacing w:after="0" w:line="159"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research term for the first indication expired on the third anniversary of the Sanofi Agreement (November 27, 2015). We completed our research obligations within the initial three year period and are not obligated to perform any further research on the specific indication under the Sanofi Agreement. A vaccine candidate for development and commercialization was not selected by Sanofi by the end of the research plan. However, we are in discussions with Sanofi to extend the research term for the first indication by one year (until November 27, 2016).</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The research term for the second indication (celiac disease) will expire upon the earlier of (a) the nomination of a development candidate for the second indication and (b) May 7, 2019. In the event that we are unable to complete our research obligations by May 7, 2019, our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our scope of work, such costs will be reimbursed by Sanofi based on an agreed upon budget. Once a development candidate is nominated, all development activities will be under the direction of Sanofi pursuant to a development plan to be negotiated and agreed to at that time and Sanofi will pay us for expenses incurred within certain approved limits.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Pursuant to the Sanofi Agreement, Sanofi paid us an initial payment of $2,000,000 for the initial indication and an additional $2,000,000 for the second indication (celiac disease). Sanofi is obligated to make additional payments to us during preclinical research totaling up to $3,000,000 for each indication, which has been achieved for the food allergy indication. For each indication, we are also eligible for (i) a $5,000,000 development candidate milestone payable to us at the start of preclinical development, (ii) further development milestones up to an aggregate of $127,000,000,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trial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$170,000,000, and (iv) tiered royalties on annual net sales of licensed products at percentages ranging from mid-single to low double-digits.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These royalty rates are subject to certain reductions. If no vaccine candidates are nominated for development for any indication by 2019, the Sanofi Agreement will expire in its entirety in 2021 and all rights granted thereunder will terminate. If licensed products have been developed pursuant to this agreement, the term will continue until the expiration of all royalty payment obligations, after which time Sanofi will have a royalty-free, perpetual license. In certain circumstances, following termination of the Sanofi Agreement, we may elect to continue developing product candidates or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our own, and if we choose to do so, we will be required to pay Sanofi low-single digit royalties on net sales and a percentage of licensing revenue ranging from mid-single to low-double digits.</w:t>
      </w:r>
    </w:p>
    <w:p>
      <w:pPr>
        <w:spacing w:after="0" w:line="151"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Sanofi may terminate the Sanofi Agreement in the event of our uncured material breach, or may terminate for any reason on 6 months' written notice. In case of our uncured material breach, Sanofi may elect, instead of terminating, to continue the Sanofi Agreement and offset any damages incurred due to the default against Sanofi's payments due to us thereunder. We may terminate the Sanofi Agreement in the event of Sanofi's uncured material breach or Sanofi's challenge or assistance of others in challenging our or MIT's licensed patents.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Shenyang Sunshine Pharmaceutical Co., Ltd.</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In May 2014, we entered into a license agreement with 3SBio, which we refer to as the 3SBio License. Pursuant to the 3SBio License, we were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We are also granted a worldwide (except for Greater China) exclusive license to develop, commercialize and manufacture or have manufactured products combining our proprietary SVP technology with pegsiticase or related compounds supplied by 3SBio (or otherwise supplied if our rights to manufacture are in effect) for human therapeutic, diagnostic and prophylactic use. We were also granted a co-exclusive license to manufacture and have manufactured pegsiticase and related compounds for our preclinical and clinical use or, if the 3SBio License is terminated for 3SBio's material breach, for any use under the 3SBio License. Otherwise, we are obligated to obtain all of our supply of such compounds for Phase 3 clinical trials and commercial use from 3SBio under the terms of supply agreements to be negotiated.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3SBio License, we are required to use our commercially reasonable efforts to develop and commercialize a product containing pegsiticase or a related compound. If we do</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not commercialize any such product in a particular country in Asia, Africa or South America within 48 months after approval of any such product in the U.S. or a major European country,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then 3SBio will have the right to do so, but only until we commercialize a product combining our SVP technology with any such compound in such country. We have paid to 3SBio an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aggregate of $1,000,000 in upfront and milestone-based payments under the 3SBio License. We are required to make future payments to 3SBio contingent upon the occurrence of events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related to the achievement of clinical and regulatory approval milestones of up to an aggregate of $21,000,000 for products containing our SVP technology, and up to an aggregate of</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$41,500,000 for products without our SVP technology. We are also required to pay 3SBio tiered royalties on annual worldwide net sales (on a country-by-country and product-by-product</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basis) related to the pegsiticase component of products at percentages ranging from the low-to-mid single digits for products containing our SVP technology, and a range of no more than ten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percentage points from the mid-single digits to low double-digits for products without our SVP technology. We will pay these royalties to 3SBio, subject to specified reductions, on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country-by-country and product-by-product basis until the later of (i) the date that all of the patent rights for that product have expired in that country, or (ii) a specified number of years from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first commercial sale of such product in such country.</w:t>
      </w:r>
    </w:p>
    <w:p>
      <w:pPr>
        <w:spacing w:after="0" w:line="193"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The 3SBio License expires on the date of expiration of all of our royalty payment obligations unless earlier terminated by either party for an uncured material default or for the other party's bankruptcy. Any such termination by 3SBio for our material default may be on a country-by country or product-by-product basis in certain circumstances. We may also terminate the 3SBio License on a country-by-country or product-by-product basis for any reason effective upon 60 days'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57" w:name="page158"/>
    <w:bookmarkEnd w:id="1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notice to 3SBio or, with respect to a given product, immediately upon written notice to 3SBio if we identify a safety or efficacy concern related to such product.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BIND</w:t>
      </w:r>
    </w:p>
    <w:p>
      <w:pPr>
        <w:spacing w:after="0" w:line="195"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In December 2008, we entered into a cross-license agreement with BIND Therapeutics, Inc. (formerly BIND Biosciences, Inc.), or BIND, which we refer to as the BIND Agreement. Pursuant to the BIND Agreement, BIND granted us a perpetual, irrevocable, royalty-free worldwide non-exclusive license under certain of BIND's existing and future patent rights to make, have made, use, sell, offer for sale and import products and services covered by such patents and patent applications in the field of certain prophylactic and therapeutic vaccines. The time period for adding new patent rights, not included in the families of previously licensed patent rights, to our license grant from BIND has expired. Pursuant to the BIND Agreement, we granted BIND a perpetual, irrevocable, royalty-free, worldwide non-exclusive license under certain of our current and future patent rights to make, have made, use, sell, offer for sale and import products and services covered by such patents and patent applications in all other fields, in each case, excluding certain future patent rights of each party related to novel targeting agents. The time period for adding new patent rights, not included in the families of previously licensed patent rights, to BIND's license grant from us has expired.</w:t>
      </w:r>
    </w:p>
    <w:p>
      <w:pPr>
        <w:spacing w:after="0" w:line="13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We have paid BIND an upfront license issuance fee and reimbursed certain of BIND's fees in connection with the entry into the BIND Agreement. No royalties or other payments are due to or by either party. The BIND Agreement expires upon expiration of the last patent right covered by the BIND Agreement. Neither party may unilaterally terminate the BIND Agreement for any reason. If either party materially breaches the BIND Agreement, fails to expend a specified amount in research and development activities related to the BIND Agreement, undergoes bankruptcy or insolvency, or undergoes a change of control, the future patent rights to be included in the license grant to the party breaching, failing to expend such amounts or undergoing such event under the BIND Agreement will no longer be granted to the breaching party.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Massachusetts Eye and Ear Infirmary</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May 2016, we entered into a license agreement with the Massachusetts Eye and Ear Infirmary and The Schepens Eye Research Institute, Inc., or, collectively, MEE, which we refer to as the MEE License. Under the MEE License, we were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4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MEE also granted us exclusive options to exclusively license certain of their intellectual property rights relating to several additional target sequences and variations thereof each linked to a specified disease. During a defined option period, we may exercise this right for up to a designated number of target sequences. If we exercise our options, under certain circumstances, we may substitute alternative target sequences for previously selected target sequences.</w:t>
      </w:r>
    </w:p>
    <w:p>
      <w:pPr>
        <w:spacing w:after="0" w:line="159"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We agreed to use commercially reasonable efforts to develop and commercialize licensed products pursuant to a development plan, and to market and sell at least one product for each target sequence for which we exercised our option as soon as reasonably practicable. Subject to certain exceptions, following commercial launch we must use commercially reasonable efforts to market, sell, and maintain public availability of licensed products in a certain number of specified 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Pursuant to the MEE Agreement, we agreed to pay MEE a license fee in the low six figures, annual license maintenance fees ranging from the mid-twenty thousands to mid-seventy thousands and an option maintenance fee in the low five figures for each exercisable option. We also agreed to reimburse MEE for a specified percentage of the past patent expenses for the patents licensed to us. We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we receive from sublicensing our rights granted thereunder, subject to certain reductions and exclusions. Upon exercise of each option, we agreed to pay MEE an option exercise fee ranging from low-six figures to mid-six figures, depending on the prevalence of the targeted disease.</w:t>
      </w:r>
    </w:p>
    <w:p>
      <w:pPr>
        <w:spacing w:after="0" w:line="167" w:lineRule="exact"/>
        <w:rPr>
          <w:sz w:val="20"/>
          <w:szCs w:val="20"/>
          <w:color w:val="auto"/>
        </w:rPr>
      </w:pPr>
    </w:p>
    <w:p>
      <w:pPr>
        <w:ind w:right="40"/>
        <w:spacing w:after="0" w:line="313" w:lineRule="auto"/>
        <w:rPr>
          <w:sz w:val="20"/>
          <w:szCs w:val="20"/>
          <w:color w:val="auto"/>
        </w:rPr>
      </w:pPr>
      <w:r>
        <w:rPr>
          <w:rFonts w:ascii="Arial" w:cs="Arial" w:eastAsia="Arial" w:hAnsi="Arial"/>
          <w:sz w:val="13"/>
          <w:szCs w:val="13"/>
          <w:color w:val="auto"/>
        </w:rPr>
        <w:t>The MEE License will continue until the expiration of the last to expire of the patent rights licensed thereunder. We may terminate the MEE License in whole or in part upon prior written notice. MEE may terminate the MEE License on a target sequence-by-target sequence basis if we fail to make any scheduled payments in respect of such target sequence or if we materially breach a diligence obligation in respect of such target sequence, in each case if we fail to cure within a specified time period. MEE may terminate the MEE License in its entirety if we materially breach certain of our obligations related to diligence, representations and warranties, and maintenance of insurance; if we challenge the validity or enforceability of any patents licensed thereunder; if any of our executive officers are convicted of a felony relating to manufacture, use, sale or importation of licensed products; or upon our insolvency or bankruptcy.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right="100"/>
        <w:spacing w:after="0" w:line="306" w:lineRule="auto"/>
        <w:rPr>
          <w:sz w:val="20"/>
          <w:szCs w:val="20"/>
          <w:color w:val="auto"/>
        </w:rPr>
      </w:pPr>
      <w:r>
        <w:rPr>
          <w:rFonts w:ascii="Arial" w:cs="Arial" w:eastAsia="Arial" w:hAnsi="Arial"/>
          <w:sz w:val="13"/>
          <w:szCs w:val="13"/>
          <w:color w:val="auto"/>
        </w:rPr>
        <w:t>We endeavor to protect our SVP based immunotherapy program technology, which we consider fundamental to our business, by seeking, maintaining and defending patent rights, whether developed internally or licensed from third parties, relating to our program, product candidates, their methods of use and the processes for their manufacture. Our practice is to strive to protect our intellectual property by, among other methods, pursuing and obtaining patent protection in the United States and in jurisdictions outside of the United States related to our proprietary technology, inventions, improvements, programs and product candidates that are commercially important to the operation and growth of our business. We also rely on trade secrets and know-how relating to our proprietary technology, programs and product candidates, continuing innovation and in-licensing opportunities to maintain, advance and fortify our proprietary position in our SVP-based immunotherapy program and product candidates. Our commercial success will depend in part on our ability to obtain and maintain patent and other proprietary protection for our program technology, inventions and improvements; to preserve the confidentiality of our trade secrets; to maintain our licenses to use intellectual property owned or controlled by third parties; to defend and enforce our proprietary rights, including our patents; and to operate without infringing the patents and proprietary rights of third parties.</w:t>
      </w:r>
    </w:p>
    <w:p>
      <w:pPr>
        <w:spacing w:after="0" w:line="143"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We have developed and in-licensed numerous patents and patent applications and possess substantial know-how and trade secrets relating to our SVP-based immunotherapy technology, program and product candidates. Our patent portfolio contains nine issued patents in the United States and seven foreign issued patents, in all cases, owned solely by us. We also have 50 pending patent applications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159" w:name="page160"/>
    <w:bookmarkEnd w:id="15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United States as well as 307 foreign pending patent applications, in all cases, owned solely by us. These patents and patent applications include claims directed to:</w:t>
      </w:r>
    </w:p>
    <w:p>
      <w:pPr>
        <w:spacing w:after="0" w:line="210" w:lineRule="exact"/>
        <w:rPr>
          <w:sz w:val="20"/>
          <w:szCs w:val="20"/>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tolerance and cancer immunotherapy programs;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other immune stimulation programs;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tolerance applications, including:</w:t>
      </w:r>
    </w:p>
    <w:p>
      <w:pPr>
        <w:spacing w:after="0" w:line="395" w:lineRule="exact"/>
        <w:rPr>
          <w:rFonts w:ascii="Arial" w:cs="Arial" w:eastAsia="Arial" w:hAnsi="Arial"/>
          <w:sz w:val="15"/>
          <w:szCs w:val="15"/>
          <w:color w:val="auto"/>
        </w:rPr>
      </w:pPr>
    </w:p>
    <w:p>
      <w:pPr>
        <w:ind w:left="1387" w:hanging="461"/>
        <w:spacing w:after="0"/>
        <w:tabs>
          <w:tab w:leader="none" w:pos="1387" w:val="left"/>
        </w:tabs>
        <w:numPr>
          <w:ilvl w:val="1"/>
          <w:numId w:val="91"/>
        </w:numPr>
        <w:rPr>
          <w:rFonts w:ascii="Arial" w:cs="Arial" w:eastAsia="Arial" w:hAnsi="Arial"/>
          <w:sz w:val="15"/>
          <w:szCs w:val="15"/>
          <w:color w:val="auto"/>
        </w:rPr>
      </w:pPr>
      <w:r>
        <w:rPr>
          <w:rFonts w:ascii="Arial" w:cs="Arial" w:eastAsia="Arial" w:hAnsi="Arial"/>
          <w:sz w:val="15"/>
          <w:szCs w:val="15"/>
          <w:color w:val="auto"/>
        </w:rPr>
        <w:t>mitigating or treating anti-drug antibodies association with protein drugs (such as SEL-212), and</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91"/>
        </w:numPr>
        <w:rPr>
          <w:rFonts w:ascii="Arial" w:cs="Arial" w:eastAsia="Arial" w:hAnsi="Arial"/>
          <w:sz w:val="15"/>
          <w:szCs w:val="15"/>
          <w:color w:val="auto"/>
        </w:rPr>
      </w:pPr>
      <w:r>
        <w:rPr>
          <w:rFonts w:ascii="Arial" w:cs="Arial" w:eastAsia="Arial" w:hAnsi="Arial"/>
          <w:sz w:val="15"/>
          <w:szCs w:val="15"/>
          <w:color w:val="auto"/>
        </w:rPr>
        <w:t>genetic therapies (such as viral delivery of genes);</w:t>
      </w:r>
    </w:p>
    <w:p>
      <w:pPr>
        <w:spacing w:after="0" w:line="395" w:lineRule="exact"/>
        <w:rPr>
          <w:rFonts w:ascii="Arial" w:cs="Arial" w:eastAsia="Arial" w:hAnsi="Arial"/>
          <w:sz w:val="15"/>
          <w:szCs w:val="15"/>
          <w:color w:val="auto"/>
        </w:rPr>
      </w:pPr>
    </w:p>
    <w:p>
      <w:pPr>
        <w:ind w:left="467" w:right="480" w:hanging="467"/>
        <w:spacing w:after="0" w:line="282" w:lineRule="auto"/>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development and commercialization of SEL-212, including both composition of matter and method of treatment claims (there are three patent families that cover the SEL-212 product, one of which is a licensed, issued U.S. patent that covers the SEL-212 product, which expires in 2021); and</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91"/>
        </w:numPr>
        <w:rPr>
          <w:rFonts w:ascii="Arial" w:cs="Arial" w:eastAsia="Arial" w:hAnsi="Arial"/>
          <w:sz w:val="15"/>
          <w:szCs w:val="15"/>
          <w:color w:val="auto"/>
        </w:rPr>
      </w:pPr>
      <w:r>
        <w:rPr>
          <w:rFonts w:ascii="Arial" w:cs="Arial" w:eastAsia="Arial" w:hAnsi="Arial"/>
          <w:sz w:val="15"/>
          <w:szCs w:val="15"/>
          <w:color w:val="auto"/>
        </w:rPr>
        <w:t>methods and compositions incorporating our proprietary SVP nanoparticle in a variety of cancer immunotherapy applications, including:</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91"/>
        </w:numPr>
        <w:rPr>
          <w:rFonts w:ascii="Arial" w:cs="Arial" w:eastAsia="Arial" w:hAnsi="Arial"/>
          <w:sz w:val="15"/>
          <w:szCs w:val="15"/>
          <w:color w:val="auto"/>
        </w:rPr>
      </w:pPr>
      <w:r>
        <w:rPr>
          <w:rFonts w:ascii="Arial" w:cs="Arial" w:eastAsia="Arial" w:hAnsi="Arial"/>
          <w:sz w:val="15"/>
          <w:szCs w:val="15"/>
          <w:color w:val="auto"/>
        </w:rPr>
        <w:t>creating various cancer vaccines, and</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91"/>
        </w:numPr>
        <w:rPr>
          <w:rFonts w:ascii="Arial" w:cs="Arial" w:eastAsia="Arial" w:hAnsi="Arial"/>
          <w:sz w:val="15"/>
          <w:szCs w:val="15"/>
          <w:color w:val="auto"/>
        </w:rPr>
      </w:pPr>
      <w:r>
        <w:rPr>
          <w:rFonts w:ascii="Arial" w:cs="Arial" w:eastAsia="Arial" w:hAnsi="Arial"/>
          <w:sz w:val="15"/>
          <w:szCs w:val="15"/>
          <w:color w:val="auto"/>
        </w:rPr>
        <w:t>combination treatments, including co-treatment with PD-1/PDL-1 checkpoint inhibitors.</w:t>
      </w:r>
    </w:p>
    <w:p>
      <w:pPr>
        <w:spacing w:after="0" w:line="19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Set forth below is a table indicating the expiration dates for our owned patent families, or expected expiration dates in the case of our owned patent application families, corresponding to each of our programs.</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jc w:val="right"/>
              <w:ind w:right="407"/>
              <w:spacing w:after="0"/>
              <w:rPr>
                <w:sz w:val="20"/>
                <w:szCs w:val="20"/>
                <w:color w:val="auto"/>
              </w:rPr>
            </w:pPr>
            <w:r>
              <w:rPr>
                <w:rFonts w:ascii="Arial" w:cs="Arial" w:eastAsia="Arial" w:hAnsi="Arial"/>
                <w:sz w:val="12"/>
                <w:szCs w:val="12"/>
                <w:b w:val="1"/>
                <w:bCs w:val="1"/>
                <w:color w:val="auto"/>
              </w:rPr>
              <w:t>Patent</w:t>
            </w:r>
          </w:p>
        </w:tc>
        <w:tc>
          <w:tcPr>
            <w:tcW w:w="1740" w:type="dxa"/>
            <w:vAlign w:val="bottom"/>
          </w:tcPr>
          <w:p>
            <w:pPr>
              <w:spacing w:after="0"/>
              <w:rPr>
                <w:sz w:val="12"/>
                <w:szCs w:val="12"/>
                <w:color w:val="auto"/>
              </w:rPr>
            </w:pPr>
          </w:p>
        </w:tc>
      </w:tr>
      <w:tr>
        <w:trPr>
          <w:trHeight w:val="149"/>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Program</w:t>
            </w:r>
          </w:p>
        </w:tc>
        <w:tc>
          <w:tcPr>
            <w:tcW w:w="4320" w:type="dxa"/>
            <w:vAlign w:val="bottom"/>
            <w:tcBorders>
              <w:bottom w:val="single" w:sz="8" w:color="auto"/>
            </w:tcBorders>
          </w:tcPr>
          <w:p>
            <w:pPr>
              <w:ind w:left="2340"/>
              <w:spacing w:after="0"/>
              <w:rPr>
                <w:sz w:val="20"/>
                <w:szCs w:val="20"/>
                <w:color w:val="auto"/>
              </w:rPr>
            </w:pPr>
            <w:r>
              <w:rPr>
                <w:rFonts w:ascii="Arial" w:cs="Arial" w:eastAsia="Arial" w:hAnsi="Arial"/>
                <w:sz w:val="12"/>
                <w:szCs w:val="12"/>
                <w:b w:val="1"/>
                <w:bCs w:val="1"/>
                <w:color w:val="auto"/>
              </w:rPr>
              <w:t>Description</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Family(1)</w:t>
            </w:r>
          </w:p>
        </w:tc>
        <w:tc>
          <w:tcPr>
            <w:tcW w:w="1740" w:type="dxa"/>
            <w:vAlign w:val="bottom"/>
            <w:tcBorders>
              <w:bottom w:val="single" w:sz="8" w:color="auto"/>
            </w:tcBorders>
          </w:tcPr>
          <w:p>
            <w:pPr>
              <w:jc w:val="center"/>
              <w:ind w:right="186"/>
              <w:spacing w:after="0"/>
              <w:rPr>
                <w:sz w:val="20"/>
                <w:szCs w:val="20"/>
                <w:color w:val="auto"/>
              </w:rPr>
            </w:pPr>
            <w:r>
              <w:rPr>
                <w:rFonts w:ascii="Arial" w:cs="Arial" w:eastAsia="Arial" w:hAnsi="Arial"/>
                <w:sz w:val="12"/>
                <w:szCs w:val="12"/>
                <w:b w:val="1"/>
                <w:bCs w:val="1"/>
                <w:color w:val="auto"/>
              </w:rPr>
              <w:t>Expiration(2)</w:t>
            </w:r>
          </w:p>
        </w:tc>
      </w:tr>
      <w:tr>
        <w:trPr>
          <w:trHeight w:val="182"/>
        </w:trPr>
        <w:tc>
          <w:tcPr>
            <w:tcW w:w="3780" w:type="dxa"/>
            <w:vAlign w:val="bottom"/>
            <w:gridSpan w:val="2"/>
          </w:tcPr>
          <w:p>
            <w:pPr>
              <w:spacing w:after="0"/>
              <w:rPr>
                <w:sz w:val="20"/>
                <w:szCs w:val="20"/>
                <w:color w:val="auto"/>
              </w:rPr>
            </w:pPr>
            <w:r>
              <w:rPr>
                <w:rFonts w:ascii="Arial" w:cs="Arial" w:eastAsia="Arial" w:hAnsi="Arial"/>
                <w:sz w:val="15"/>
                <w:szCs w:val="15"/>
                <w:color w:val="auto"/>
              </w:rPr>
              <w:t>Refractory and chronic tophaceous gout (SEL-212)</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pegsiticase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87"/>
        </w:trPr>
        <w:tc>
          <w:tcPr>
            <w:tcW w:w="3780" w:type="dxa"/>
            <w:vAlign w:val="bottom"/>
            <w:gridSpan w:val="2"/>
          </w:tcPr>
          <w:p>
            <w:pPr>
              <w:spacing w:after="0"/>
              <w:rPr>
                <w:sz w:val="20"/>
                <w:szCs w:val="20"/>
                <w:color w:val="auto"/>
              </w:rPr>
            </w:pPr>
            <w:r>
              <w:rPr>
                <w:rFonts w:ascii="Arial" w:cs="Arial" w:eastAsia="Arial" w:hAnsi="Arial"/>
                <w:sz w:val="15"/>
                <w:szCs w:val="15"/>
                <w:color w:val="auto"/>
              </w:rPr>
              <w:t>Gene therapy</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co-administered with AAV vector</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19</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Food allergy</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SVP-food allergen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Celiac disease</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SVP-gluten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13</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Type 1 diabetes</w:t>
            </w:r>
          </w:p>
        </w:tc>
        <w:tc>
          <w:tcPr>
            <w:tcW w:w="4320" w:type="dxa"/>
            <w:vAlign w:val="bottom"/>
          </w:tcPr>
          <w:p>
            <w:pPr>
              <w:ind w:left="580"/>
              <w:spacing w:after="0"/>
              <w:rPr>
                <w:sz w:val="20"/>
                <w:szCs w:val="20"/>
                <w:color w:val="auto"/>
              </w:rPr>
            </w:pPr>
            <w:r>
              <w:rPr>
                <w:rFonts w:ascii="Arial" w:cs="Arial" w:eastAsia="Arial" w:hAnsi="Arial"/>
                <w:sz w:val="15"/>
                <w:szCs w:val="15"/>
                <w:color w:val="auto"/>
              </w:rPr>
              <w:t>SVP-Rapamycin and SVP-insulin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15</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2032-2035</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Smoking cessation and relapse prevention (SEL-070)</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SVP-nicotine</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HPV-associated cancer (SEL-701)</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SVP-HPV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394"/>
        </w:trPr>
        <w:tc>
          <w:tcPr>
            <w:tcW w:w="3780" w:type="dxa"/>
            <w:vAlign w:val="bottom"/>
            <w:gridSpan w:val="2"/>
          </w:tcPr>
          <w:p>
            <w:pPr>
              <w:spacing w:after="0"/>
              <w:rPr>
                <w:sz w:val="20"/>
                <w:szCs w:val="20"/>
                <w:color w:val="auto"/>
              </w:rPr>
            </w:pPr>
            <w:r>
              <w:rPr>
                <w:rFonts w:ascii="Arial" w:cs="Arial" w:eastAsia="Arial" w:hAnsi="Arial"/>
                <w:sz w:val="15"/>
                <w:szCs w:val="15"/>
                <w:color w:val="auto"/>
              </w:rPr>
              <w:t>Malaria</w:t>
            </w:r>
          </w:p>
        </w:tc>
        <w:tc>
          <w:tcPr>
            <w:tcW w:w="4320" w:type="dxa"/>
            <w:vAlign w:val="bottom"/>
          </w:tcPr>
          <w:p>
            <w:pPr>
              <w:ind w:left="580"/>
              <w:spacing w:after="0"/>
              <w:rPr>
                <w:sz w:val="20"/>
                <w:szCs w:val="20"/>
                <w:color w:val="auto"/>
              </w:rPr>
            </w:pPr>
            <w:r>
              <w:rPr>
                <w:rFonts w:ascii="Arial" w:cs="Arial" w:eastAsia="Arial" w:hAnsi="Arial"/>
                <w:sz w:val="15"/>
                <w:szCs w:val="15"/>
                <w:color w:val="auto"/>
              </w:rPr>
              <w:t>SVP-adjuvant and SVP-malaria antigen</w:t>
            </w:r>
          </w:p>
        </w:tc>
        <w:tc>
          <w:tcPr>
            <w:tcW w:w="1600" w:type="dxa"/>
            <w:vAlign w:val="bottom"/>
          </w:tcPr>
          <w:p>
            <w:pPr>
              <w:jc w:val="right"/>
              <w:ind w:right="287"/>
              <w:spacing w:after="0"/>
              <w:rPr>
                <w:sz w:val="20"/>
                <w:szCs w:val="20"/>
                <w:color w:val="auto"/>
              </w:rPr>
            </w:pPr>
            <w:r>
              <w:rPr>
                <w:rFonts w:ascii="Arial" w:cs="Arial" w:eastAsia="Arial" w:hAnsi="Arial"/>
                <w:sz w:val="15"/>
                <w:szCs w:val="15"/>
                <w:color w:val="auto"/>
              </w:rPr>
              <w:t>6</w:t>
            </w:r>
          </w:p>
        </w:tc>
        <w:tc>
          <w:tcPr>
            <w:tcW w:w="1740" w:type="dxa"/>
            <w:vAlign w:val="bottom"/>
          </w:tcPr>
          <w:p>
            <w:pPr>
              <w:jc w:val="center"/>
              <w:ind w:right="146"/>
              <w:spacing w:after="0"/>
              <w:rPr>
                <w:sz w:val="20"/>
                <w:szCs w:val="20"/>
                <w:color w:val="auto"/>
              </w:rPr>
            </w:pPr>
            <w:r>
              <w:rPr>
                <w:rFonts w:ascii="Arial" w:cs="Arial" w:eastAsia="Arial" w:hAnsi="Arial"/>
                <w:sz w:val="15"/>
                <w:szCs w:val="15"/>
                <w:color w:val="auto"/>
                <w:w w:val="89"/>
              </w:rPr>
              <w:t>2030-2032</w:t>
            </w:r>
          </w:p>
        </w:tc>
      </w:tr>
      <w:tr>
        <w:trPr>
          <w:trHeight w:val="95"/>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165" w:lineRule="exact"/>
        <w:rPr>
          <w:sz w:val="20"/>
          <w:szCs w:val="20"/>
          <w:color w:val="auto"/>
        </w:rPr>
      </w:pPr>
    </w:p>
    <w:p>
      <w:pPr>
        <w:ind w:left="467" w:hanging="467"/>
        <w:spacing w:after="0"/>
        <w:tabs>
          <w:tab w:leader="none" w:pos="467"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Reflects number of relevant patent and patent application families.</w:t>
      </w:r>
    </w:p>
    <w:p>
      <w:pPr>
        <w:spacing w:after="0" w:line="105" w:lineRule="exact"/>
        <w:rPr>
          <w:rFonts w:ascii="Arial" w:cs="Arial" w:eastAsia="Arial" w:hAnsi="Arial"/>
          <w:sz w:val="12"/>
          <w:szCs w:val="12"/>
          <w:color w:val="auto"/>
        </w:rPr>
      </w:pPr>
    </w:p>
    <w:p>
      <w:pPr>
        <w:ind w:left="467" w:hanging="467"/>
        <w:spacing w:after="0"/>
        <w:tabs>
          <w:tab w:leader="none" w:pos="467"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Reflects expiration date and estimated expiration date ranges of issued patents and patent applications, respectively.</w:t>
      </w:r>
    </w:p>
    <w:p>
      <w:pPr>
        <w:spacing w:after="0" w:line="177" w:lineRule="exact"/>
        <w:rPr>
          <w:sz w:val="20"/>
          <w:szCs w:val="20"/>
          <w:color w:val="auto"/>
        </w:rPr>
      </w:pPr>
    </w:p>
    <w:p>
      <w:pPr>
        <w:ind w:left="7" w:right="120"/>
        <w:spacing w:after="0" w:line="282" w:lineRule="auto"/>
        <w:rPr>
          <w:sz w:val="20"/>
          <w:szCs w:val="20"/>
          <w:color w:val="auto"/>
        </w:rPr>
      </w:pPr>
      <w:r>
        <w:rPr>
          <w:rFonts w:ascii="Arial" w:cs="Arial" w:eastAsia="Arial" w:hAnsi="Arial"/>
          <w:sz w:val="15"/>
          <w:szCs w:val="15"/>
          <w:color w:val="auto"/>
        </w:rPr>
        <w:t>In addition, we have exclusively or non-exclusively licensed intellectual property, including the following patent portfolio: 18 U.S. issued patents; 16 foreign issued patents; 9 U.S. pending patent applications; and 56 foreign pending applications. The licensed patents and patent applications 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0" w:name="page161"/>
    <w:bookmarkEnd w:id="1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various aspects of the technology being developed by us, including claims directed to compositions of matter and methods of use, and have been filed in various countries worldwide including in North America, Europe and Asia, with material expiration dates varying from 2021 to, if claims are issued, 2028.</w:t>
      </w:r>
    </w:p>
    <w:p>
      <w:pPr>
        <w:spacing w:after="0" w:line="151" w:lineRule="exact"/>
        <w:rPr>
          <w:sz w:val="20"/>
          <w:szCs w:val="20"/>
          <w:color w:val="auto"/>
        </w:rPr>
      </w:pPr>
    </w:p>
    <w:p>
      <w:pPr>
        <w:ind w:right="20"/>
        <w:spacing w:after="0" w:line="313" w:lineRule="auto"/>
        <w:rPr>
          <w:sz w:val="20"/>
          <w:szCs w:val="20"/>
          <w:color w:val="auto"/>
        </w:rPr>
      </w:pPr>
      <w:r>
        <w:rPr>
          <w:rFonts w:ascii="Arial" w:cs="Arial" w:eastAsia="Arial" w:hAnsi="Arial"/>
          <w:sz w:val="13"/>
          <w:szCs w:val="13"/>
          <w:color w:val="auto"/>
        </w:rPr>
        <w:t>As we continue to develop the SVP-based immunotherapy program technology, we intend to pursue, when possible, patent protection for product candidates, methods of use and processes for manufacture. We continually evaluate and enhance our intellectual property strategy as we develop new program technologies and product candidates. To that end, we are prepared to file additional patent applications if our intellectual property strategy requires such filings, or where we seek to adapt to competition or seize business opportunities. In addition to filing and prosecuting patent applications in the United States, we often file analogous patent applications in the European Union and in additional foreign countries where we believe such filing is likely to be beneficial, including but not limited to Australia, Brazil, China, Eurasia, including the Russian Federation, Europe, South Korea, Mexico, India, Israel and Japan.</w:t>
      </w:r>
    </w:p>
    <w:p>
      <w:pPr>
        <w:spacing w:after="0" w:line="13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patent's term depends upon the laws of the countries in which they are obtained. The patent term in most countries in which we file is 20 years from the earliest date of filing of a non-provisional patent application. Notably, the term of U.S. patents may be extended due to delays incurred due to compliance with FDA or by delays encountered during prosecution that are caused by the USPTO. For example, the Hatch-Waxman Act permits a patent term extension for FDA-approved drugs of up to five years beyond the expiration of the patent, depending upon the length of time the drug is under regulatory review. There is a limit to the amount of time a patent may be extended in the United States; no patent extension can extend the remaining term of a patent beyond a total of 14 years from the date of product approval and only one patent applicable to an approved drug may be extended. Similar patent term extensions are available in Europe and other jurisdictions for patents that cover regulatory-approved drugs. We intend to apply for patent term extensions on patents covering our product candidates if and when they receive FDA approval. We expect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 Currently, we own or license patents with material expiration dates ranging from 2021 to 2032. If patents are issued on pending patent applications that we own or license, the resulting patents are expected to have material expiration dates ranging from 2027 to 2035. However, the actual patent protection period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55" w:lineRule="exact"/>
        <w:rPr>
          <w:sz w:val="20"/>
          <w:szCs w:val="20"/>
          <w:color w:val="auto"/>
        </w:rPr>
      </w:pPr>
    </w:p>
    <w:p>
      <w:pPr>
        <w:ind w:right="40"/>
        <w:spacing w:after="0" w:line="310" w:lineRule="auto"/>
        <w:rPr>
          <w:sz w:val="20"/>
          <w:szCs w:val="20"/>
          <w:color w:val="auto"/>
        </w:rPr>
      </w:pPr>
      <w:r>
        <w:rPr>
          <w:rFonts w:ascii="Arial" w:cs="Arial" w:eastAsia="Arial" w:hAnsi="Arial"/>
          <w:sz w:val="13"/>
          <w:szCs w:val="13"/>
          <w:color w:val="auto"/>
        </w:rPr>
        <w:t>Generally, the patent positions of companies similar to ours are uncertain and encompass complex legal and factual questions. There has been no consistent policy regarding the scope of claims allowable in patents in the field of immunotherapy in the United States The foreign patent situation is even more uncertain. Changes in the patent laws and rules, either by legislation, judicial decisions, or regulatory interpretation in the United States and other countries may lessen our ability to protect our intellectual property and enforce our proprietary rights, and more generally could affect the value of our intellectual property. Specifically, our ability to stop third parties from making, using, selling, offering to sell, or importing any of our patented inventions, either directly or indirectly, will depend in part on our success in obtaining and enforcing patent claims that cover our program technology, inventions and improvements. With respect to both company-owned and in-licensed intellectual property, we cannot be certain that patents will be granted with respect to any of our pending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1" w:name="page162"/>
    <w:bookmarkEnd w:id="1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applications or with respect to any patent applications filed by us in the future, nor can we be sure that any of our existing patents or any patents that may be granted to us in the future will be commercially beneficial in protecting our programs and product candidates and the methods used to manufacture those programs and product candidates. Moreover, even our issued patents do not guarantee us the right to practice our technology in relation to the commercialization of our programs or product candidates. The field of patent and other intellectual property rights in biotechnology is an evolving one with many risks and uncertainties, and third parties may have blocking patents that could be used to prevent us from commercializing our patented immunotherapy technology, programs and product candidates and practicing our proprietary technology. Our issued patents and those that may issue in the future may be challenged, invalidated, or circumvented, which could inhibit our ability to stop competitors from marketing related programs or product candidates or limit the length of the term of patent protection that we may have for our immunotherapy technology, programs and product candidates. Additionally, the rights granted under any issued patents may not provide us with protection or competitive advantages against competitors with similar technology. Furthermore, our competitors may independently develop similar technologies. Consequently, we may have competition for our immunotherapy technology, programs and product candidates. Moreover, because of the extensive time required for development, testing and regulatory review of a potential product, it is possible that, before any particular product candidate can be commercialized, any related patent may expire or remain in force for only a short period following commercialization, thereby reducing any economic advantage of the patent. For this and more comprehensive risks related to our proprietary technology, inventions, improvements, programs and product candidates, please see the section entitled "Risk factors—Risks related to our intellectual property."</w:t>
      </w:r>
    </w:p>
    <w:p>
      <w:pPr>
        <w:spacing w:after="0" w:line="155"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We currently have three trademark registrations, one in the United States, one in Europe and one in Russia. We intend to file applications for trademark registrations in connection with our product candidates in various jurisdictions, including the United States.</w:t>
      </w:r>
    </w:p>
    <w:p>
      <w:pPr>
        <w:spacing w:after="0" w:line="151"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We may also rely on trade secrets to protect our confidential and proprietary information. However, trade secrets are difficult to protect. Although we seek to protect our program technology and product candidates as trade secrets, in part, by entering into confidentiality agreements with those who have access to our confidential information, including our employees, contractors, consultants, collaborators and advisors, third parties may independently discover substantially equivalent trade secrets or otherwise gain access to our trade secrets or disclose our technology. It is our policy to require our employees, contractors, consultants, collaborators and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 To the extent that our employees, contractors, consultants, collaborators, and advisors use intellectual property owned by others in their work for us, disputes may arise as to the rights in related or resulting know-how and inventions.</w:t>
      </w:r>
    </w:p>
    <w:p>
      <w:pPr>
        <w:spacing w:after="0" w:line="158"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We also seek to protect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products. While we believe that our SVP technology, our expertise in triggering antigen-specific immune responses, integrated research, clinical and manufacturing capabilities, development experience, scientific knowledge and portfolio strategy provide us with competitive advantages, we face potential competition from many different sources, including pharmaceutical and biotechnology companies, academic institutions and governmental agencies and public and private research institutions. Product candidates that we successfully develop and commercialize may compete with existing therapies and new therapies that may become available in the future.</w:t>
      </w:r>
    </w:p>
    <w:p>
      <w:pPr>
        <w:spacing w:after="0" w:line="167"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key competitive factors affecting the success of SEL-212, and any other tolerance or immune stimulation product candidates that we develop, if approved, are likely to be their efficacy, safety, convenience, price, the level of generic competition and the availability of reimbursement from government and other third-party payors.</w:t>
      </w:r>
    </w:p>
    <w:p>
      <w:pPr>
        <w:spacing w:after="0" w:line="15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 SEL-212 may compete with others in the gout market, including Krystexxa, which contains a pegylated uricase similar to the Pegsiticase component of SEL-212 and is indicated for the treatment of refractory gout. Horizon Pharma plc, whose affiliates recently acquired Krystexxa, may find other approaches to eliminate undesired immunogenicity to Krystexxa. Long-term treatment with global immunosuppressive products may increase the susceptibility to contract infections, tumors and may lead to organ failure. Large companies with active research to prevent the formation of ADAs and treat allergies or autoimmune diseases include Sanofi, Pfizer Inc., or Pfizer, and Merck &amp; Co., Inc., or Merck. Small, early-stage biopharmaceutical companies active in the research for new technologies to induce antigen-specific tolerance include Anokion SA, Cour Pharmaceutical Development Company, Inc., Apitope International NV, Evotec AG and Dendright International, Inc. We believe that desensitization strategies are restricted to allergies, take more time to achieve a therapeutic effect than therapies that use an immuno-modulator and are more restricted in breadth of efficacy and applications than SVP products.</w:t>
      </w:r>
    </w:p>
    <w:p>
      <w:pPr>
        <w:spacing w:after="0" w:line="153"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Our immunostimulatory therapies are also subject to intense competition. In cancer therapy, the most common methods of treating patients are surgery, radiation and drug therapy, including chemotherapy and immunotherapy. Large pharmaceutical companies, including AstraZeneca PLC, or AstraZeneca, Roche Holding AG, Pfizer, Merck, Bristol-Myers Squibb Company, and Amgen Inc., as well as smaller biopharmaceutical companies including Immune Design Corp. are active in the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3" w:name="page164"/>
    <w:bookmarkEnd w:id="16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80"/>
        <w:spacing w:after="0" w:line="263" w:lineRule="auto"/>
        <w:rPr>
          <w:sz w:val="20"/>
          <w:szCs w:val="20"/>
          <w:color w:val="auto"/>
        </w:rPr>
      </w:pPr>
      <w:r>
        <w:rPr>
          <w:rFonts w:ascii="Arial" w:cs="Arial" w:eastAsia="Arial" w:hAnsi="Arial"/>
          <w:sz w:val="15"/>
          <w:szCs w:val="15"/>
          <w:color w:val="auto"/>
        </w:rPr>
        <w:t>development of cancer vaccines. There are a variety of vaccine approaches to treat HPV-associated cancer including the use of DNA vaccines, novel adjuvants, novel antigens and novel delivery vectors for the antigen. Clinical-stage companies with these approaches include, among others, Inovio Pharmaceuticals, Inc., in Phase 2 clinical development with VGX3100, ISA Pharmaceuticals, B.V., in Phase 2 clinical development with ISA-101, Genticel, in Phase 2 clinical development with GTL001, and AstraZeneca, in Phase 1 clinical development with INO-3112, which it licensed from Inovio Pharmaceuticals, Inc. We believe that our approach shares the safety of approved vaccine technologies that use antigens and adjuvants and could be synergistic with the use of checkpoint inhibitors such as PD-1 and PD-L1 inhibitors.</w:t>
      </w:r>
    </w:p>
    <w:p>
      <w:pPr>
        <w:spacing w:after="0" w:line="167" w:lineRule="exact"/>
        <w:rPr>
          <w:sz w:val="20"/>
          <w:szCs w:val="20"/>
          <w:color w:val="auto"/>
        </w:rPr>
      </w:pPr>
    </w:p>
    <w:p>
      <w:pPr>
        <w:ind w:left="7" w:right="560"/>
        <w:spacing w:after="0" w:line="282" w:lineRule="auto"/>
        <w:rPr>
          <w:sz w:val="20"/>
          <w:szCs w:val="20"/>
          <w:color w:val="auto"/>
        </w:rPr>
      </w:pPr>
      <w:r>
        <w:rPr>
          <w:rFonts w:ascii="Arial" w:cs="Arial" w:eastAsia="Arial" w:hAnsi="Arial"/>
          <w:sz w:val="15"/>
          <w:szCs w:val="15"/>
          <w:color w:val="auto"/>
        </w:rPr>
        <w:t>We are also competing in the development of new prophylactic vaccines with large pharmaceutical companies such as Sanofi, Pfizer, Merck, GlaxoSmithKline Pharmaceuticals Ltd, Johnson &amp; Johnson, and AstraZeneca and smaller biopharmaceutical companies such as Genocea Biosciences, Inc. and Novavax Inc.</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7" w:right="120"/>
        <w:spacing w:after="0" w:line="281"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Our most advanced product candidate, SEL-212, is subject to regulation in the United States as a combination product. If marketed individually, each component would be subject to different regulatory pathways and would require approval of independent marketing applications by the FDA. A combination product, however, is assigned to a Center that will have primary jurisdiction over its regulation based on a determination of the combination product's primary mode of action, which is the single mode of action that provides the most important therapeutic action. In the case of our SEL-212, we believe that the primary mode of action is attributable to the biologic component of the product. In the case of SEL-212, which we believe will be regulated as a therapeutic biologic, the FDA's Center for Drug Evaluation and Research, or CDER, will have primary jurisdiction over premarket development. The CDER currently has regulatory responsibility, including premarket review and continuing oversight, over certain therapeutic biologic products that were previously regulated by the Center for Biologics Evaluation and Research, or CBER. We expect to seek approval of SEL-212 through a single Biologics License Application, or BLA, reviewed by CDER, and we do not expect that the FDA will require a separate marketing authorization for each constituent of SEL-212.</w:t>
      </w:r>
    </w:p>
    <w:p>
      <w:pPr>
        <w:spacing w:after="0" w:line="153" w:lineRule="exact"/>
        <w:rPr>
          <w:sz w:val="20"/>
          <w:szCs w:val="20"/>
          <w:color w:val="auto"/>
        </w:rPr>
      </w:pPr>
    </w:p>
    <w:p>
      <w:pPr>
        <w:ind w:left="7" w:right="100"/>
        <w:spacing w:after="0" w:line="270" w:lineRule="auto"/>
        <w:rPr>
          <w:sz w:val="20"/>
          <w:szCs w:val="20"/>
          <w:color w:val="auto"/>
        </w:rPr>
      </w:pPr>
      <w:r>
        <w:rPr>
          <w:rFonts w:ascii="Arial" w:cs="Arial" w:eastAsia="Arial" w:hAnsi="Arial"/>
          <w:sz w:val="15"/>
          <w:szCs w:val="15"/>
          <w:color w:val="auto"/>
        </w:rPr>
        <w:t>Biological products are subject to regulation under the Federal Food, Drug, and Cosmetic Act, or FD&amp;C Act, and the Public Health Service Act, or PHS Act, and other federal, state, local and foreign statutes and regulations. SEL-212 and any other product candidates that we develop must be approved by the FDA before they may be legally marketed in the United States and by the appropriate foreign regulatory agency before they may be legally marketed in foreign countries.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U.S. biological products development process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process required by the FDA before a biologic, including a gene therapy, may be marketed in the United States generally involves the following:</w:t>
      </w:r>
    </w:p>
    <w:p>
      <w:pPr>
        <w:spacing w:after="0" w:line="210" w:lineRule="exact"/>
        <w:rPr>
          <w:sz w:val="20"/>
          <w:szCs w:val="20"/>
          <w:color w:val="auto"/>
        </w:rPr>
      </w:pPr>
    </w:p>
    <w:p>
      <w:pPr>
        <w:ind w:left="467" w:hanging="467"/>
        <w:spacing w:after="0" w:line="282" w:lineRule="auto"/>
        <w:tabs>
          <w:tab w:leader="none" w:pos="467"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completion of extensive nonclinical testing, sometimes referred to as preclinical testing, including laboratory tests, animal trials and formulation studies in accordance with applicable regulations, including good laboratory practices, or GLPs, and applicable requirements for humane use of laboratory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64" w:name="page165"/>
    <w:bookmarkEnd w:id="16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submission to the FDA of an investigational new drug, or IND, application, which must become effective before human clinical trials may begin;</w:t>
      </w:r>
    </w:p>
    <w:p>
      <w:pPr>
        <w:spacing w:after="0" w:line="221" w:lineRule="exact"/>
        <w:rPr>
          <w:rFonts w:ascii="Arial" w:cs="Arial" w:eastAsia="Arial" w:hAnsi="Arial"/>
          <w:sz w:val="15"/>
          <w:szCs w:val="15"/>
          <w:color w:val="auto"/>
        </w:rPr>
      </w:pPr>
    </w:p>
    <w:p>
      <w:pPr>
        <w:ind w:left="467" w:hanging="467"/>
        <w:spacing w:after="0" w:line="270"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the FDA's regulations commonly referred to as good clinical practice, or GCP, regulations and any additional requirements for the protection of human research subjects and their health information, to establish the safety, purity and potency of the proposed biological product for its intended use;</w:t>
      </w:r>
    </w:p>
    <w:p>
      <w:pPr>
        <w:spacing w:after="0" w:line="170"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submission to the FDA of a BLA for marketing approval that includes substantive evidence of safety, purity, and potency from results of nonclinical testing and clinical trials;</w:t>
      </w:r>
    </w:p>
    <w:p>
      <w:pPr>
        <w:spacing w:after="0" w:line="221" w:lineRule="exact"/>
        <w:rPr>
          <w:rFonts w:ascii="Arial" w:cs="Arial" w:eastAsia="Arial" w:hAnsi="Arial"/>
          <w:sz w:val="14"/>
          <w:szCs w:val="14"/>
          <w:color w:val="auto"/>
        </w:rPr>
      </w:pPr>
    </w:p>
    <w:p>
      <w:pPr>
        <w:ind w:left="467" w:right="400" w:hanging="467"/>
        <w:spacing w:after="0" w:line="270" w:lineRule="auto"/>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 or cGMP, requirements to assure that the facilities, methods and controls are adequate to preserve the biological product's identity, strength, quality and purity;</w:t>
      </w:r>
    </w:p>
    <w:p>
      <w:pPr>
        <w:spacing w:after="0" w:line="182"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potential FDA audit of the nonclinical and clinical study sites that generated the data in support of the BLA;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FDA review and approval, or licensure, of the BLA.</w:t>
      </w:r>
    </w:p>
    <w:p>
      <w:pPr>
        <w:spacing w:after="0" w:line="198" w:lineRule="exact"/>
        <w:rPr>
          <w:sz w:val="20"/>
          <w:szCs w:val="20"/>
          <w:color w:val="auto"/>
        </w:rPr>
      </w:pPr>
    </w:p>
    <w:p>
      <w:pPr>
        <w:ind w:left="7" w:right="520"/>
        <w:spacing w:after="0" w:line="270" w:lineRule="auto"/>
        <w:rPr>
          <w:sz w:val="20"/>
          <w:szCs w:val="20"/>
          <w:color w:val="auto"/>
        </w:rPr>
      </w:pPr>
      <w:r>
        <w:rPr>
          <w:rFonts w:ascii="Arial" w:cs="Arial" w:eastAsia="Arial" w:hAnsi="Arial"/>
          <w:sz w:val="15"/>
          <w:szCs w:val="15"/>
          <w:color w:val="auto"/>
        </w:rPr>
        <w:t>Before testing any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9" w:lineRule="exact"/>
        <w:rPr>
          <w:sz w:val="20"/>
          <w:szCs w:val="20"/>
          <w:color w:val="auto"/>
        </w:rPr>
      </w:pPr>
    </w:p>
    <w:p>
      <w:pPr>
        <w:ind w:left="7" w:right="220"/>
        <w:spacing w:after="0" w:line="287" w:lineRule="auto"/>
        <w:rPr>
          <w:sz w:val="20"/>
          <w:szCs w:val="20"/>
          <w:color w:val="auto"/>
        </w:rPr>
      </w:pPr>
      <w:r>
        <w:rPr>
          <w:rFonts w:ascii="Arial" w:cs="Arial" w:eastAsia="Arial" w:hAnsi="Arial"/>
          <w:sz w:val="14"/>
          <w:szCs w:val="14"/>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49" w:lineRule="exact"/>
        <w:rPr>
          <w:sz w:val="20"/>
          <w:szCs w:val="20"/>
          <w:color w:val="auto"/>
        </w:rPr>
      </w:pPr>
    </w:p>
    <w:p>
      <w:pPr>
        <w:ind w:left="7" w:right="100"/>
        <w:spacing w:after="0" w:line="260" w:lineRule="auto"/>
        <w:rPr>
          <w:sz w:val="20"/>
          <w:szCs w:val="20"/>
          <w:color w:val="auto"/>
        </w:rPr>
      </w:pPr>
      <w:r>
        <w:rPr>
          <w:rFonts w:ascii="Arial" w:cs="Arial" w:eastAsia="Arial" w:hAnsi="Arial"/>
          <w:sz w:val="15"/>
          <w:szCs w:val="15"/>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expected benefits. The IRB also approves the form and content of the informed consent that must be signed by each clinical study subject or his or her legal representative and must monitor the clinical study until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6630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65" w:name="page166"/>
    <w:bookmarkEnd w:id="16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210" w:lineRule="exact"/>
        <w:rPr>
          <w:sz w:val="20"/>
          <w:szCs w:val="20"/>
          <w:color w:val="auto"/>
        </w:rPr>
      </w:pPr>
    </w:p>
    <w:p>
      <w:pPr>
        <w:ind w:left="467" w:right="500" w:hanging="467"/>
        <w:spacing w:after="0" w:line="362" w:lineRule="auto"/>
        <w:tabs>
          <w:tab w:leader="none" w:pos="467"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Phase I</w:t>
      </w:r>
      <w:r>
        <w:rPr>
          <w:rFonts w:ascii="Arial" w:cs="Arial" w:eastAsia="Arial" w:hAnsi="Arial"/>
          <w:sz w:val="13"/>
          <w:szCs w:val="13"/>
          <w:color w:val="auto"/>
        </w:rPr>
        <w:t>. The biological product candidate is initially introduced into healthy human subjects and tested for safety. In the case of some products for severe or life-threatening</w:t>
      </w:r>
      <w:r>
        <w:rPr>
          <w:rFonts w:ascii="Arial" w:cs="Arial" w:eastAsia="Arial" w:hAnsi="Arial"/>
          <w:sz w:val="13"/>
          <w:szCs w:val="13"/>
          <w:i w:val="1"/>
          <w:iCs w:val="1"/>
          <w:color w:val="auto"/>
        </w:rPr>
        <w:t xml:space="preserve"> </w:t>
      </w:r>
      <w:r>
        <w:rPr>
          <w:rFonts w:ascii="Arial" w:cs="Arial" w:eastAsia="Arial" w:hAnsi="Arial"/>
          <w:sz w:val="13"/>
          <w:szCs w:val="13"/>
          <w:color w:val="auto"/>
        </w:rPr>
        <w:t>diseases, especially when the product may be too inherently toxic to ethically administer to healthy volunteers, the initial human testing is often conducted in patients.</w:t>
      </w:r>
    </w:p>
    <w:p>
      <w:pPr>
        <w:spacing w:after="0" w:line="128" w:lineRule="exact"/>
        <w:rPr>
          <w:rFonts w:ascii="Arial" w:cs="Arial" w:eastAsia="Arial" w:hAnsi="Arial"/>
          <w:sz w:val="13"/>
          <w:szCs w:val="13"/>
          <w:color w:val="auto"/>
        </w:rPr>
      </w:pPr>
    </w:p>
    <w:p>
      <w:pPr>
        <w:ind w:left="467" w:right="140" w:hanging="467"/>
        <w:spacing w:after="0" w:line="282" w:lineRule="auto"/>
        <w:tabs>
          <w:tab w:leader="none" w:pos="467"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Phase II</w:t>
      </w:r>
      <w:r>
        <w:rPr>
          <w:rFonts w:ascii="Arial" w:cs="Arial" w:eastAsia="Arial" w:hAnsi="Arial"/>
          <w:sz w:val="15"/>
          <w:szCs w:val="15"/>
          <w:color w:val="auto"/>
        </w:rPr>
        <w:t>. The biological product candidate is evaluated in a limited patient population to identify possible adverse effects and safety risks, to preliminarily evaluate the efficacy of</w:t>
      </w:r>
      <w:r>
        <w:rPr>
          <w:rFonts w:ascii="Arial" w:cs="Arial" w:eastAsia="Arial" w:hAnsi="Arial"/>
          <w:sz w:val="15"/>
          <w:szCs w:val="15"/>
          <w:i w:val="1"/>
          <w:iCs w:val="1"/>
          <w:color w:val="auto"/>
        </w:rPr>
        <w:t xml:space="preserve"> </w:t>
      </w:r>
      <w:r>
        <w:rPr>
          <w:rFonts w:ascii="Arial" w:cs="Arial" w:eastAsia="Arial" w:hAnsi="Arial"/>
          <w:sz w:val="15"/>
          <w:szCs w:val="15"/>
          <w:color w:val="auto"/>
        </w:rPr>
        <w:t>the product for specific targeted diseases and to determine dosage tolerance, optimal dosage and dosing schedule.</w:t>
      </w:r>
    </w:p>
    <w:p>
      <w:pPr>
        <w:spacing w:after="0" w:line="162" w:lineRule="exact"/>
        <w:rPr>
          <w:rFonts w:ascii="Arial" w:cs="Arial" w:eastAsia="Arial" w:hAnsi="Arial"/>
          <w:sz w:val="15"/>
          <w:szCs w:val="15"/>
          <w:color w:val="auto"/>
        </w:rPr>
      </w:pPr>
    </w:p>
    <w:p>
      <w:pPr>
        <w:ind w:left="467" w:right="40" w:hanging="467"/>
        <w:spacing w:after="0" w:line="319" w:lineRule="auto"/>
        <w:tabs>
          <w:tab w:leader="none" w:pos="467" w:val="left"/>
        </w:tabs>
        <w:numPr>
          <w:ilvl w:val="0"/>
          <w:numId w:val="95"/>
        </w:numPr>
        <w:rPr>
          <w:rFonts w:ascii="Arial" w:cs="Arial" w:eastAsia="Arial" w:hAnsi="Arial"/>
          <w:sz w:val="14"/>
          <w:szCs w:val="14"/>
          <w:color w:val="auto"/>
        </w:rPr>
      </w:pPr>
      <w:r>
        <w:rPr>
          <w:rFonts w:ascii="Arial" w:cs="Arial" w:eastAsia="Arial" w:hAnsi="Arial"/>
          <w:sz w:val="14"/>
          <w:szCs w:val="14"/>
          <w:i w:val="1"/>
          <w:iCs w:val="1"/>
          <w:color w:val="auto"/>
        </w:rPr>
        <w:t>Phase III</w:t>
      </w:r>
      <w:r>
        <w:rPr>
          <w:rFonts w:ascii="Arial" w:cs="Arial" w:eastAsia="Arial" w:hAnsi="Arial"/>
          <w:sz w:val="14"/>
          <w:szCs w:val="14"/>
          <w:color w:val="auto"/>
        </w:rPr>
        <w:t>. Clinical trials are undertaken to further evaluate dosage, clinical efficacy, potency, and safety in an expanded patient population at geographically dispersed clinical study</w:t>
      </w:r>
      <w:r>
        <w:rPr>
          <w:rFonts w:ascii="Arial" w:cs="Arial" w:eastAsia="Arial" w:hAnsi="Arial"/>
          <w:sz w:val="14"/>
          <w:szCs w:val="14"/>
          <w:i w:val="1"/>
          <w:iCs w:val="1"/>
          <w:color w:val="auto"/>
        </w:rPr>
        <w:t xml:space="preserve"> </w:t>
      </w:r>
      <w:r>
        <w:rPr>
          <w:rFonts w:ascii="Arial" w:cs="Arial" w:eastAsia="Arial" w:hAnsi="Arial"/>
          <w:sz w:val="14"/>
          <w:szCs w:val="14"/>
          <w:color w:val="auto"/>
        </w:rPr>
        <w:t>sites. These clinical trials are intended to establish the overall risk/benefit ratio of the product and provide an adequate basis for product labelling.</w:t>
      </w:r>
    </w:p>
    <w:p>
      <w:pPr>
        <w:spacing w:after="0" w:line="128"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Post-approval clinical trials, sometimes referred to as Phase IV clinical trials, may be conducted after initial marketing approval. These clinical trials are used to gain additional experience from the treatment of patients in the intended therapeutic indication, particularly for long-term safety follow-up.</w:t>
      </w:r>
    </w:p>
    <w:p>
      <w:pPr>
        <w:spacing w:after="0" w:line="151" w:lineRule="exact"/>
        <w:rPr>
          <w:sz w:val="20"/>
          <w:szCs w:val="20"/>
          <w:color w:val="auto"/>
        </w:rPr>
      </w:pPr>
    </w:p>
    <w:p>
      <w:pPr>
        <w:ind w:left="7" w:right="80"/>
        <w:spacing w:after="0" w:line="260" w:lineRule="auto"/>
        <w:rPr>
          <w:sz w:val="20"/>
          <w:szCs w:val="20"/>
          <w:color w:val="auto"/>
        </w:rPr>
      </w:pPr>
      <w:r>
        <w:rPr>
          <w:rFonts w:ascii="Arial" w:cs="Arial" w:eastAsia="Arial" w:hAnsi="Arial"/>
          <w:sz w:val="15"/>
          <w:szCs w:val="15"/>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w:t>
      </w:r>
    </w:p>
    <w:p>
      <w:pPr>
        <w:spacing w:after="0" w:line="171" w:lineRule="exact"/>
        <w:rPr>
          <w:sz w:val="20"/>
          <w:szCs w:val="20"/>
          <w:color w:val="auto"/>
        </w:rPr>
      </w:pPr>
    </w:p>
    <w:p>
      <w:pPr>
        <w:ind w:left="7" w:right="40"/>
        <w:spacing w:after="0" w:line="319" w:lineRule="auto"/>
        <w:rPr>
          <w:sz w:val="20"/>
          <w:szCs w:val="20"/>
          <w:color w:val="auto"/>
        </w:rPr>
      </w:pPr>
      <w:r>
        <w:rPr>
          <w:rFonts w:ascii="Arial" w:cs="Arial" w:eastAsia="Arial" w:hAnsi="Arial"/>
          <w:sz w:val="13"/>
          <w:szCs w:val="13"/>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2" w:lineRule="exact"/>
        <w:rPr>
          <w:sz w:val="20"/>
          <w:szCs w:val="20"/>
          <w:color w:val="auto"/>
        </w:rPr>
      </w:pPr>
    </w:p>
    <w:p>
      <w:pPr>
        <w:ind w:left="7" w:right="120"/>
        <w:spacing w:after="0" w:line="270" w:lineRule="auto"/>
        <w:rPr>
          <w:sz w:val="20"/>
          <w:szCs w:val="20"/>
          <w:color w:val="auto"/>
        </w:rPr>
      </w:pPr>
      <w:r>
        <w:rPr>
          <w:rFonts w:ascii="Arial" w:cs="Arial" w:eastAsia="Arial" w:hAnsi="Arial"/>
          <w:sz w:val="15"/>
          <w:szCs w:val="15"/>
          <w:color w:val="auto"/>
        </w:rPr>
        <w:t>Concurrent with clinical trials, companies usually complete additional animal trials and must also develop additional information about the physical characteristics of the biological product candidate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66" w:name="page167"/>
    <w:bookmarkEnd w:id="16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20"/>
        <w:spacing w:after="0" w:line="297" w:lineRule="auto"/>
        <w:rPr>
          <w:sz w:val="20"/>
          <w:szCs w:val="20"/>
          <w:color w:val="auto"/>
        </w:rPr>
      </w:pPr>
      <w:r>
        <w:rPr>
          <w:rFonts w:ascii="Arial" w:cs="Arial" w:eastAsia="Arial" w:hAnsi="Arial"/>
          <w:sz w:val="14"/>
          <w:szCs w:val="14"/>
          <w:color w:val="auto"/>
        </w:rPr>
        <w:t>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review and approval processes</w:t>
      </w:r>
    </w:p>
    <w:p>
      <w:pPr>
        <w:spacing w:after="0" w:line="195"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67"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Under the Prescription Drug User Fee Act, or PDUFA, as amended, each BLA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7" w:name="page168"/>
    <w:bookmarkEnd w:id="1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330" w:lineRule="auto"/>
        <w:rPr>
          <w:sz w:val="20"/>
          <w:szCs w:val="20"/>
          <w:color w:val="auto"/>
        </w:rPr>
      </w:pPr>
      <w:r>
        <w:rPr>
          <w:rFonts w:ascii="Arial" w:cs="Arial" w:eastAsia="Arial" w:hAnsi="Arial"/>
          <w:sz w:val="13"/>
          <w:szCs w:val="13"/>
          <w:color w:val="auto"/>
        </w:rPr>
        <w:t>Before approving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w:t>
      </w:r>
    </w:p>
    <w:p>
      <w:pPr>
        <w:spacing w:after="0" w:line="125"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applicant interprets the same data. If the FDA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trials, sometimes referred to as Phase IV clinical trials, designed to further assess a biological product's safety and effectiveness, and testing and surveillance programs to monitor the safety of approved products that have been commercialized.</w:t>
      </w:r>
    </w:p>
    <w:p>
      <w:pPr>
        <w:spacing w:after="0" w:line="16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One of the performance goals agreed to by the FDA under the PDUFA is to review 90% of standard BLAs in 10 months from the filing date and 90% of priority BLAs in six months from the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Orphan designation</w:t>
      </w:r>
    </w:p>
    <w:p>
      <w:pPr>
        <w:spacing w:after="0" w:line="195" w:lineRule="exact"/>
        <w:rPr>
          <w:sz w:val="20"/>
          <w:szCs w:val="20"/>
          <w:color w:val="auto"/>
        </w:rPr>
      </w:pPr>
    </w:p>
    <w:p>
      <w:pPr>
        <w:ind w:right="60"/>
        <w:spacing w:after="0" w:line="319" w:lineRule="auto"/>
        <w:rPr>
          <w:sz w:val="20"/>
          <w:szCs w:val="20"/>
          <w:color w:val="auto"/>
        </w:rPr>
      </w:pPr>
      <w:r>
        <w:rPr>
          <w:rFonts w:ascii="Arial" w:cs="Arial" w:eastAsia="Arial" w:hAnsi="Arial"/>
          <w:sz w:val="13"/>
          <w:szCs w:val="13"/>
          <w:color w:val="auto"/>
        </w:rPr>
        <w:t>The FDA may grant orphan designation to drugs or biologics intended to treat a rare disease or condition that affects fewer than 200,000 individuals in the United States, or if it affects more than 200,000 individuals in the United States, there is no reasonable expectation that the cost of developing and marketing the product for this type of disease or condition will be recovered from sales in the United States.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2" w:lineRule="exact"/>
        <w:rPr>
          <w:sz w:val="20"/>
          <w:szCs w:val="20"/>
          <w:color w:val="auto"/>
        </w:rPr>
      </w:pPr>
    </w:p>
    <w:p>
      <w:pPr>
        <w:jc w:val="both"/>
        <w:ind w:right="300"/>
        <w:spacing w:after="0" w:line="270" w:lineRule="auto"/>
        <w:rPr>
          <w:sz w:val="20"/>
          <w:szCs w:val="20"/>
          <w:color w:val="auto"/>
        </w:rPr>
      </w:pPr>
      <w:r>
        <w:rPr>
          <w:rFonts w:ascii="Arial" w:cs="Arial" w:eastAsia="Arial" w:hAnsi="Arial"/>
          <w:sz w:val="15"/>
          <w:szCs w:val="15"/>
          <w:color w:val="auto"/>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68" w:name="page169"/>
    <w:bookmarkEnd w:id="1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to market the same product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designated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154"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have not requested orphan designation for our product candidates, but depending on the proposed indication for which we intend to develop our future products, we may in the future request such designation.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Expedited development and review programs</w:t>
      </w:r>
    </w:p>
    <w:p>
      <w:pPr>
        <w:spacing w:after="0" w:line="195" w:lineRule="exact"/>
        <w:rPr>
          <w:sz w:val="20"/>
          <w:szCs w:val="20"/>
          <w:color w:val="auto"/>
        </w:rPr>
      </w:pPr>
    </w:p>
    <w:p>
      <w:pPr>
        <w:spacing w:after="0" w:line="310" w:lineRule="auto"/>
        <w:rPr>
          <w:sz w:val="20"/>
          <w:szCs w:val="20"/>
          <w:color w:val="auto"/>
        </w:rPr>
      </w:pPr>
      <w:r>
        <w:rPr>
          <w:rFonts w:ascii="Arial" w:cs="Arial" w:eastAsia="Arial" w:hAnsi="Arial"/>
          <w:sz w:val="13"/>
          <w:szCs w:val="13"/>
          <w:color w:val="auto"/>
        </w:rPr>
        <w:t>The FDA has a Fast Track program that is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3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biological product designated for priority review in an effort to facilitate the review. Additionally, a product may be eligible for accelerated approval. Biological products studied for their safety and effectiveness in treating serious or life-threatening illnesses and that provide meaningful therapeutic benefit over existing treatments may be eligible for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In addition, the FDA currently requires as a condition for accelerated approval pre-approval of promotional materials, which could adversely impact the timing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commercial launch of the product. Fast Track designation, priority review and accelerated approval do not change the standards for approval but may expedite the development or approval process.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In addition, under the provisions of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The Breakthrough Therapy Designation is a distinct status from both accelerated approval and priority review, but these can also be granted to the same product candidate if the relevant criteria are met. The FDA must take certain actions, such as holding timely meetings and providing advice, intended to expedite the development and review of an application for approval of a breakthrough therapy. Requests for breakthrough therapy designation will be reviewed within 60 days of receipt, and FDA will either grant or deny the request.</w:t>
      </w:r>
    </w:p>
    <w:p>
      <w:pPr>
        <w:spacing w:after="0" w:line="16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Fast Track designation, priority review, accelerated approval and breakthrough therapy designation do not change the standards for approval but may expedite the development or approval process. Even if we receive one of these designations for our product candidates, the FDA may later decide that our product candidates no longer meet the conditions for qualification. In addition, these designations may not provide us with a material commercial advantage.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 therapy products</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3"/>
          <w:szCs w:val="13"/>
          <w:color w:val="auto"/>
        </w:rPr>
        <w:t>With respect to any gene therapy products we may develop, the FDA works closely with the NIH and its Recombinant DNA Advisory Committee, or RAC, a federal advisory committee that discusses protocols that raise novel or particularly important scientific, safety or ethical considerations at one of its quarterly public meetings. 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FDA also has published guidance documents related to, among other things, gene therapy products in general, their preclinical assessment, observing subjects involved in gene therapy clinical trials for delayed adverse events, potency testing, and chemistry, manufacturing and control information in gene therapy INDs.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The OBA will notify the FDA of the RAC's decision regarding the necessity for full public review of a gene therapy protocol. RAC proceedings and reports are posted to the OBA web site and may be accessed by the public.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44" w:lineRule="exact"/>
        <w:rPr>
          <w:sz w:val="20"/>
          <w:szCs w:val="20"/>
          <w:color w:val="auto"/>
        </w:rPr>
      </w:pPr>
    </w:p>
    <w:p>
      <w:pPr>
        <w:ind w:right="420"/>
        <w:spacing w:after="0" w:line="282" w:lineRule="auto"/>
        <w:rPr>
          <w:sz w:val="20"/>
          <w:szCs w:val="20"/>
          <w:color w:val="auto"/>
        </w:rPr>
      </w:pPr>
      <w:r>
        <w:rPr>
          <w:rFonts w:ascii="Arial" w:cs="Arial" w:eastAsia="Arial" w:hAnsi="Arial"/>
          <w:sz w:val="15"/>
          <w:szCs w:val="15"/>
          <w:color w:val="auto"/>
        </w:rPr>
        <w:t>In addition, there is a publicly accessible database, the Genetic Modification Clinical Research Information System, which includes information on gene transfer trials and serves as an electronic tool to facilitate the reporting and analysis of adverse events in these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Post-approval requirements</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GMP compliance.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Biosimilars and exclusivity</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Patient Protection and Affordable Care Act, or Affordable Care Act, signed into law on March 23, 2010, includes a subtitle called the Biologics Price Competition and Innovation Act of 2009, or BPCIA, which created an abbreviated approval pathway for biological products that are biosimilar to or interchangeable with an FDA-licensed reference biological product. To date, only one biosimilar has been licensed under the BPCIA, although numerous biosimilars have been approved in Europe. The FDA has issued several guidance documents outlining an approach to review and approval of biosimilars.</w:t>
      </w:r>
    </w:p>
    <w:p>
      <w:pPr>
        <w:spacing w:after="0" w:line="16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48"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certain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BPCIA is complex and only beginning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outside of the United States</w:t>
      </w:r>
    </w:p>
    <w:p>
      <w:pPr>
        <w:spacing w:after="0" w:line="195"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authorization, or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67" w:lineRule="exact"/>
        <w:rPr>
          <w:sz w:val="20"/>
          <w:szCs w:val="20"/>
          <w:color w:val="auto"/>
        </w:rPr>
      </w:pPr>
    </w:p>
    <w:p>
      <w:pPr>
        <w:ind w:right="420"/>
        <w:spacing w:after="0" w:line="319" w:lineRule="auto"/>
        <w:rPr>
          <w:sz w:val="20"/>
          <w:szCs w:val="20"/>
          <w:color w:val="auto"/>
        </w:rPr>
      </w:pPr>
      <w:r>
        <w:rPr>
          <w:rFonts w:ascii="Arial" w:cs="Arial" w:eastAsia="Arial" w:hAnsi="Arial"/>
          <w:sz w:val="14"/>
          <w:szCs w:val="14"/>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2" w:name="page173"/>
    <w:bookmarkEnd w:id="17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In the European Economic Area, or EEA, which is composed of the 28 Member States of the European Union plus Norway, Iceland and Liechtenstein, medicinal products can only be commercialized after obtaining a Marketing Authorization, or MA.</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There are two types of MAs.</w:t>
      </w:r>
    </w:p>
    <w:p>
      <w:pPr>
        <w:spacing w:after="0" w:line="210" w:lineRule="exact"/>
        <w:rPr>
          <w:sz w:val="20"/>
          <w:szCs w:val="20"/>
          <w:color w:val="auto"/>
        </w:rPr>
      </w:pPr>
    </w:p>
    <w:p>
      <w:pPr>
        <w:ind w:left="467" w:right="20" w:hanging="467"/>
        <w:spacing w:after="0" w:line="260" w:lineRule="auto"/>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 days review period is reduced to 150 days.</w:t>
      </w:r>
    </w:p>
    <w:p>
      <w:pPr>
        <w:spacing w:after="0" w:line="194" w:lineRule="exact"/>
        <w:rPr>
          <w:rFonts w:ascii="Arial" w:cs="Arial" w:eastAsia="Arial" w:hAnsi="Arial"/>
          <w:sz w:val="15"/>
          <w:szCs w:val="15"/>
          <w:color w:val="auto"/>
        </w:rPr>
      </w:pPr>
    </w:p>
    <w:p>
      <w:pPr>
        <w:ind w:left="467" w:right="60" w:hanging="467"/>
        <w:spacing w:after="0" w:line="266" w:lineRule="auto"/>
        <w:tabs>
          <w:tab w:leader="none" w:pos="467" w:val="left"/>
        </w:tabs>
        <w:numPr>
          <w:ilvl w:val="0"/>
          <w:numId w:val="96"/>
        </w:numPr>
        <w:rPr>
          <w:rFonts w:ascii="Arial" w:cs="Arial" w:eastAsia="Arial" w:hAnsi="Arial"/>
          <w:sz w:val="15"/>
          <w:szCs w:val="15"/>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62" w:lineRule="exact"/>
        <w:rPr>
          <w:sz w:val="20"/>
          <w:szCs w:val="20"/>
          <w:color w:val="auto"/>
        </w:rPr>
      </w:pPr>
    </w:p>
    <w:p>
      <w:pPr>
        <w:ind w:left="7"/>
        <w:spacing w:after="0" w:line="260" w:lineRule="auto"/>
        <w:rPr>
          <w:sz w:val="20"/>
          <w:szCs w:val="20"/>
          <w:color w:val="auto"/>
        </w:rPr>
      </w:pPr>
      <w:r>
        <w:rPr>
          <w:rFonts w:ascii="Arial" w:cs="Arial" w:eastAsia="Arial" w:hAnsi="Arial"/>
          <w:sz w:val="15"/>
          <w:szCs w:val="15"/>
          <w:color w:val="auto"/>
        </w:rPr>
        <w:t>To obtain regulatory approval of an investigational biological product under European Union regulatory systems, we must submit a marketing authorization application, which is similar to the U.S. BLA. 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European Union's regulatory authorities to be a new chemical entity,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71"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3" w:name="page174"/>
    <w:bookmarkEnd w:id="17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4"/>
          <w:szCs w:val="14"/>
          <w:color w:val="auto"/>
        </w:rPr>
        <w:t>a life-threatening or chronically debilitating condition; (2) either (a) such condition affects no more than five in 10,000 persons in the European Union when the application is made, or</w:t>
      </w:r>
    </w:p>
    <w:p>
      <w:pPr>
        <w:spacing w:after="0" w:line="29" w:lineRule="exact"/>
        <w:rPr>
          <w:sz w:val="20"/>
          <w:szCs w:val="20"/>
          <w:color w:val="auto"/>
        </w:rPr>
      </w:pPr>
    </w:p>
    <w:p>
      <w:pPr>
        <w:ind w:left="7" w:right="60" w:hanging="7"/>
        <w:spacing w:after="0" w:line="260" w:lineRule="auto"/>
        <w:tabs>
          <w:tab w:leader="none" w:pos="221"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0" w:lineRule="exact"/>
        <w:rPr>
          <w:sz w:val="20"/>
          <w:szCs w:val="20"/>
          <w:color w:val="auto"/>
        </w:rPr>
      </w:pPr>
    </w:p>
    <w:p>
      <w:pPr>
        <w:jc w:val="both"/>
        <w:ind w:left="7" w:right="20"/>
        <w:spacing w:after="0" w:line="270" w:lineRule="auto"/>
        <w:rPr>
          <w:sz w:val="20"/>
          <w:szCs w:val="20"/>
          <w:color w:val="auto"/>
        </w:rPr>
      </w:pPr>
      <w:r>
        <w:rPr>
          <w:rFonts w:ascii="Arial" w:cs="Arial" w:eastAsia="Arial" w:hAnsi="Arial"/>
          <w:sz w:val="15"/>
          <w:szCs w:val="15"/>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w:t>
      </w:r>
    </w:p>
    <w:p>
      <w:pPr>
        <w:spacing w:after="0" w:line="171" w:lineRule="exact"/>
        <w:rPr>
          <w:sz w:val="20"/>
          <w:szCs w:val="20"/>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second applicant can establish that its product, although similar, is safer, more effective or otherwise clinically superior;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applicant consents to a second orphan medicinal product application; or</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98"/>
        </w:numPr>
        <w:rPr>
          <w:rFonts w:ascii="Arial" w:cs="Arial" w:eastAsia="Arial" w:hAnsi="Arial"/>
          <w:sz w:val="15"/>
          <w:szCs w:val="15"/>
          <w:color w:val="auto"/>
        </w:rPr>
      </w:pPr>
      <w:r>
        <w:rPr>
          <w:rFonts w:ascii="Arial" w:cs="Arial" w:eastAsia="Arial" w:hAnsi="Arial"/>
          <w:sz w:val="15"/>
          <w:szCs w:val="15"/>
          <w:color w:val="auto"/>
        </w:rPr>
        <w:t>applicant cannot supply enough orphan medicinal product.</w:t>
      </w:r>
    </w:p>
    <w:p>
      <w:pPr>
        <w:spacing w:after="0" w:line="19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9" w:lineRule="exact"/>
        <w:rPr>
          <w:sz w:val="20"/>
          <w:szCs w:val="20"/>
          <w:color w:val="auto"/>
        </w:rPr>
      </w:pPr>
    </w:p>
    <w:p>
      <w:pPr>
        <w:ind w:left="7" w:right="320"/>
        <w:spacing w:after="0" w:line="282"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Other healthcare laws</w:t>
      </w:r>
    </w:p>
    <w:p>
      <w:pPr>
        <w:spacing w:after="0" w:line="195" w:lineRule="exact"/>
        <w:rPr>
          <w:sz w:val="20"/>
          <w:szCs w:val="20"/>
          <w:color w:val="auto"/>
        </w:rPr>
      </w:pPr>
    </w:p>
    <w:p>
      <w:pPr>
        <w:ind w:left="7" w:right="640"/>
        <w:spacing w:after="0" w:line="362" w:lineRule="auto"/>
        <w:rPr>
          <w:sz w:val="20"/>
          <w:szCs w:val="20"/>
          <w:color w:val="auto"/>
        </w:rPr>
      </w:pPr>
      <w:r>
        <w:rPr>
          <w:rFonts w:ascii="Arial" w:cs="Arial" w:eastAsia="Arial" w:hAnsi="Arial"/>
          <w:sz w:val="13"/>
          <w:szCs w:val="13"/>
          <w:color w:val="auto"/>
        </w:rPr>
        <w:t>In addition to FDA restrictions on marketing of pharmaceutical and biological products, other U.S. federal and state healthcare regulatory laws restrict business practices in the biopharmaceutical industry, which include, but are not limited to, state and federal anti-kickback, false claims, data privacy and security, and physician payment transparency laws.</w:t>
      </w:r>
    </w:p>
    <w:p>
      <w:pPr>
        <w:spacing w:after="0" w:line="105" w:lineRule="exact"/>
        <w:rPr>
          <w:sz w:val="20"/>
          <w:szCs w:val="20"/>
          <w:color w:val="auto"/>
        </w:rPr>
      </w:pPr>
    </w:p>
    <w:p>
      <w:pPr>
        <w:ind w:left="7" w:right="200"/>
        <w:spacing w:after="0" w:line="263" w:lineRule="auto"/>
        <w:rPr>
          <w:sz w:val="20"/>
          <w:szCs w:val="20"/>
          <w:color w:val="auto"/>
        </w:rPr>
      </w:pPr>
      <w:r>
        <w:rPr>
          <w:rFonts w:ascii="Arial" w:cs="Arial" w:eastAsia="Arial" w:hAnsi="Arial"/>
          <w:sz w:val="15"/>
          <w:szCs w:val="15"/>
          <w:color w:val="auto"/>
        </w:rPr>
        <w:t>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and formulary managers on the other. Although there are a number of statutory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color w:val="auto"/>
        </w:rPr>
        <w:t>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67" w:lineRule="exact"/>
        <w:rPr>
          <w:sz w:val="20"/>
          <w:szCs w:val="20"/>
          <w:color w:val="auto"/>
        </w:rPr>
      </w:pPr>
    </w:p>
    <w:p>
      <w:pPr>
        <w:jc w:val="both"/>
        <w:ind w:right="160"/>
        <w:spacing w:after="0" w:line="290" w:lineRule="auto"/>
        <w:rPr>
          <w:sz w:val="20"/>
          <w:szCs w:val="20"/>
          <w:color w:val="auto"/>
        </w:rPr>
      </w:pPr>
      <w:r>
        <w:rPr>
          <w:rFonts w:ascii="Arial" w:cs="Arial" w:eastAsia="Arial" w:hAnsi="Arial"/>
          <w:sz w:val="14"/>
          <w:szCs w:val="14"/>
          <w:color w:val="auto"/>
        </w:rPr>
        <w:t>Additionally, the intent standard under the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4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(e.g.,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 person or entity does not need to have actual knowledge of the statute or specific intent to violate it in order to have committed a violation.</w:t>
      </w:r>
    </w:p>
    <w:p>
      <w:pPr>
        <w:spacing w:after="0" w:line="198"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6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If our operations are found to be in violation of any of such laws or any other governmental regulations that apply to us, we may be subject to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individual imprisonment, any of which could adversely affect our ability to operate our business and our financial results.</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Coverage and reimbursement</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4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Healthcare reform</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imposed an annual excise tax of 2.3% on any entity that manufactures or imports medical devices, which was suspended from January 1, 2016, to December 31, 2017, by the Consolidated Appropriations Act of 2016, but will be reinstated starting January 1, 2018, absent further action.</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Additionally, on August 2, 2011, the Budget Control Act of 2011 created measures for spending reductions by Congress. A Joint Select Committee on Deficit Reduction, tasked with recommending a targeted deficit reduction of at least $1.2 trillion for the fiscal years 2012 through 2021, was unable to reach required goals, thereby triggering the legislation's automatic reduction to several government programs. This included aggregate reductions of Medicare payments to providers of up to 2% per fiscal year, which went into effect on April 1, 2013 and, due to the Bipartisan Budget Act of 2015, will stay in effect through 2025 unless additional Congressional action is taken. On January 2, 2013, the American Taxpayer Relief Act was signed into law, which, among other things, further reduced Medicare payments to several providers, including hospitals and imaging centers.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Our headquarters are located in Watertown, Massachusetts, where we occupy 27,833 square feet of office and laboratory space. The term of the lease expires on March 31, 2017. We also lease approximately 2,500 square feet of office and laboratory space in Moscow, Russia on a month to month basis.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As of March 31, 2016, we had 54 full-time employees, 44 of whom were primarily engaged in research and development activities. A total of 25 employees have an M.D. or Ph.D. degree.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None of our employees is represented by a labor union and we consider our employee relations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KEY EMPLOYEE, DIRECTORS AND DIRECTOR NOMINEE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name, age and position of each of our executive officers, key employee, directors and director nominee as of June 8,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640" w:type="dxa"/>
            <w:vAlign w:val="bottom"/>
          </w:tcPr>
          <w:p>
            <w:pPr>
              <w:jc w:val="right"/>
              <w:ind w:right="185"/>
              <w:spacing w:after="0"/>
              <w:rPr>
                <w:sz w:val="20"/>
                <w:szCs w:val="20"/>
                <w:color w:val="auto"/>
              </w:rPr>
            </w:pPr>
            <w:r>
              <w:rPr>
                <w:rFonts w:ascii="Arial" w:cs="Arial" w:eastAsia="Arial" w:hAnsi="Arial"/>
                <w:sz w:val="12"/>
                <w:szCs w:val="12"/>
                <w:b w:val="1"/>
                <w:bCs w:val="1"/>
                <w:color w:val="auto"/>
              </w:rPr>
              <w:t>Age</w:t>
            </w:r>
          </w:p>
        </w:tc>
        <w:tc>
          <w:tcPr>
            <w:tcW w:w="4220" w:type="dxa"/>
            <w:vAlign w:val="bottom"/>
          </w:tcPr>
          <w:p>
            <w:pPr>
              <w:ind w:left="1920"/>
              <w:spacing w:after="0"/>
              <w:rPr>
                <w:sz w:val="20"/>
                <w:szCs w:val="20"/>
                <w:color w:val="auto"/>
              </w:rPr>
            </w:pPr>
            <w:r>
              <w:rPr>
                <w:rFonts w:ascii="Arial" w:cs="Arial" w:eastAsia="Arial" w:hAnsi="Arial"/>
                <w:sz w:val="12"/>
                <w:szCs w:val="12"/>
                <w:b w:val="1"/>
                <w:bCs w:val="1"/>
                <w:color w:val="auto"/>
              </w:rPr>
              <w:t>Position</w:t>
            </w:r>
          </w:p>
        </w:tc>
      </w:tr>
      <w:tr>
        <w:trPr>
          <w:trHeight w:val="177"/>
        </w:trPr>
        <w:tc>
          <w:tcPr>
            <w:tcW w:w="20" w:type="dxa"/>
            <w:vAlign w:val="bottom"/>
          </w:tcPr>
          <w:p>
            <w:pPr>
              <w:spacing w:after="0"/>
              <w:rPr>
                <w:sz w:val="15"/>
                <w:szCs w:val="15"/>
                <w:color w:val="auto"/>
              </w:rPr>
            </w:pPr>
          </w:p>
        </w:tc>
        <w:tc>
          <w:tcPr>
            <w:tcW w:w="3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Executive Officers</w:t>
            </w:r>
          </w:p>
        </w:tc>
        <w:tc>
          <w:tcPr>
            <w:tcW w:w="1640" w:type="dxa"/>
            <w:vAlign w:val="bottom"/>
            <w:tcBorders>
              <w:top w:val="single" w:sz="8" w:color="auto"/>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Werner Cautreels,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63</w:t>
            </w:r>
          </w:p>
        </w:tc>
        <w:tc>
          <w:tcPr>
            <w:tcW w:w="4220" w:type="dxa"/>
            <w:vAlign w:val="bottom"/>
          </w:tcPr>
          <w:p>
            <w:pPr>
              <w:ind w:left="120"/>
              <w:spacing w:after="0"/>
              <w:rPr>
                <w:sz w:val="20"/>
                <w:szCs w:val="20"/>
                <w:color w:val="auto"/>
              </w:rPr>
            </w:pPr>
            <w:r>
              <w:rPr>
                <w:rFonts w:ascii="Arial" w:cs="Arial" w:eastAsia="Arial" w:hAnsi="Arial"/>
                <w:sz w:val="15"/>
                <w:szCs w:val="15"/>
                <w:color w:val="auto"/>
              </w:rPr>
              <w:t>President and Chief Executive Officer and Director</w:t>
            </w:r>
          </w:p>
        </w:tc>
      </w:tr>
      <w:tr>
        <w:trPr>
          <w:trHeight w:val="178"/>
        </w:trPr>
        <w:tc>
          <w:tcPr>
            <w:tcW w:w="20" w:type="dxa"/>
            <w:vAlign w:val="bottom"/>
          </w:tcPr>
          <w:p>
            <w:pPr>
              <w:spacing w:after="0"/>
              <w:rPr>
                <w:sz w:val="15"/>
                <w:szCs w:val="15"/>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Lloyd Johnston, Ph.D.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Chief Operating Officer and Senior Vice President, Research and</w:t>
            </w:r>
          </w:p>
        </w:tc>
      </w:tr>
      <w:tr>
        <w:trPr>
          <w:trHeight w:val="192"/>
        </w:trPr>
        <w:tc>
          <w:tcPr>
            <w:tcW w:w="20" w:type="dxa"/>
            <w:vAlign w:val="bottom"/>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Development</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Takashi Kei Kishimoto,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56</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Scientific Officer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Keller, M.Sci.</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45</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Business Officer</w:t>
            </w:r>
          </w:p>
        </w:tc>
      </w:tr>
      <w:tr>
        <w:trPr>
          <w:trHeight w:val="178"/>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Abraham, J.D.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50</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Compliance Officer, General Counsel and Corporate</w:t>
            </w:r>
          </w:p>
        </w:tc>
      </w:t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Arial" w:cs="Arial" w:eastAsia="Arial" w:hAnsi="Arial"/>
                <w:sz w:val="15"/>
                <w:szCs w:val="15"/>
                <w:color w:val="auto"/>
              </w:rPr>
              <w:t>Secretary</w:t>
            </w:r>
          </w:p>
        </w:tc>
      </w:tr>
      <w:tr>
        <w:trPr>
          <w:trHeight w:val="188"/>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Chief Medical Officer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David Siewers, CPA</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62</w:t>
            </w:r>
          </w:p>
        </w:tc>
        <w:tc>
          <w:tcPr>
            <w:tcW w:w="4220" w:type="dxa"/>
            <w:vAlign w:val="bottom"/>
          </w:tcPr>
          <w:p>
            <w:pPr>
              <w:ind w:left="120"/>
              <w:spacing w:after="0"/>
              <w:rPr>
                <w:sz w:val="20"/>
                <w:szCs w:val="20"/>
                <w:color w:val="auto"/>
              </w:rPr>
            </w:pPr>
            <w:r>
              <w:rPr>
                <w:rFonts w:ascii="Arial" w:cs="Arial" w:eastAsia="Arial" w:hAnsi="Arial"/>
                <w:sz w:val="15"/>
                <w:szCs w:val="15"/>
                <w:color w:val="auto"/>
              </w:rPr>
              <w:t>Chief Financial Officer</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Other Key Employee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Dmitry Ovchinnikov, Ph.D.</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38</w:t>
            </w:r>
          </w:p>
        </w:tc>
        <w:tc>
          <w:tcPr>
            <w:tcW w:w="4220" w:type="dxa"/>
            <w:vAlign w:val="bottom"/>
          </w:tcPr>
          <w:p>
            <w:pPr>
              <w:ind w:left="120"/>
              <w:spacing w:after="0"/>
              <w:rPr>
                <w:sz w:val="20"/>
                <w:szCs w:val="20"/>
                <w:color w:val="auto"/>
              </w:rPr>
            </w:pPr>
            <w:r>
              <w:rPr>
                <w:rFonts w:ascii="Arial" w:cs="Arial" w:eastAsia="Arial" w:hAnsi="Arial"/>
                <w:sz w:val="15"/>
                <w:szCs w:val="15"/>
                <w:color w:val="auto"/>
              </w:rPr>
              <w:t>General Director, Selecta RUS</w:t>
            </w:r>
          </w:p>
        </w:tc>
      </w:tr>
      <w:tr>
        <w:trPr>
          <w:trHeight w:val="371"/>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Directors and Director Nominee</w:t>
            </w:r>
          </w:p>
        </w:tc>
        <w:tc>
          <w:tcPr>
            <w:tcW w:w="16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Omid Farokhzad, M.D.(3)</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Ph.D.(1)</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51</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Peter Barton Hutt, LL.B., LL.M.(2)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81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Kania(1)(2)</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Robert Langer, Sc.D.(4)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67</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Sc.D.(1)(3)</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Aymeric Sallin, M.S.(2)</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42</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M.D.(4)</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37</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5"/>
                <w:szCs w:val="15"/>
                <w:color w:val="auto"/>
              </w:rPr>
              <w:t>George Siber, M.D.(4)</w:t>
            </w:r>
          </w:p>
        </w:tc>
        <w:tc>
          <w:tcPr>
            <w:tcW w:w="1640" w:type="dxa"/>
            <w:vAlign w:val="bottom"/>
          </w:tcPr>
          <w:p>
            <w:pPr>
              <w:jc w:val="right"/>
              <w:ind w:right="25"/>
              <w:spacing w:after="0"/>
              <w:rPr>
                <w:sz w:val="20"/>
                <w:szCs w:val="20"/>
                <w:color w:val="auto"/>
              </w:rPr>
            </w:pPr>
            <w:r>
              <w:rPr>
                <w:rFonts w:ascii="Arial" w:cs="Arial" w:eastAsia="Arial" w:hAnsi="Arial"/>
                <w:sz w:val="15"/>
                <w:szCs w:val="15"/>
                <w:color w:val="auto"/>
              </w:rPr>
              <w:t>71</w:t>
            </w:r>
          </w:p>
        </w:tc>
        <w:tc>
          <w:tcPr>
            <w:tcW w:w="4220" w:type="dxa"/>
            <w:vAlign w:val="bottom"/>
          </w:tcPr>
          <w:p>
            <w:pPr>
              <w:ind w:left="120"/>
              <w:spacing w:after="0"/>
              <w:rPr>
                <w:sz w:val="20"/>
                <w:szCs w:val="20"/>
                <w:color w:val="auto"/>
              </w:rPr>
            </w:pPr>
            <w:r>
              <w:rPr>
                <w:rFonts w:ascii="Arial" w:cs="Arial" w:eastAsia="Arial" w:hAnsi="Arial"/>
                <w:sz w:val="15"/>
                <w:szCs w:val="15"/>
                <w:color w:val="auto"/>
              </w:rPr>
              <w:t>Director</w:t>
            </w:r>
          </w:p>
        </w:tc>
      </w:tr>
      <w:tr>
        <w:trPr>
          <w:trHeight w:val="185"/>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Ph.D.(3)(5)</w:t>
            </w:r>
          </w:p>
        </w:tc>
        <w:tc>
          <w:tcPr>
            <w:tcW w:w="16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68</w:t>
            </w:r>
          </w:p>
        </w:tc>
        <w:tc>
          <w:tcPr>
            <w:tcW w:w="4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Director Nominee</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05" w:lineRule="exact"/>
        <w:rPr>
          <w:rFonts w:ascii="Arial" w:cs="Arial" w:eastAsia="Arial" w:hAnsi="Arial"/>
          <w:sz w:val="12"/>
          <w:szCs w:val="12"/>
          <w:color w:val="auto"/>
        </w:rPr>
      </w:pPr>
    </w:p>
    <w:p>
      <w:pPr>
        <w:ind w:left="1600" w:hanging="463"/>
        <w:spacing w:after="0" w:line="238" w:lineRule="auto"/>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Each of 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Dr. Springer will be elected to our board of directors contingent upon, and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AND KEY EMPLOYEES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Werner Cautreels, Ph.D. </w:t>
      </w:r>
      <w:r>
        <w:rPr>
          <w:rFonts w:ascii="Arial" w:cs="Arial" w:eastAsia="Arial" w:hAnsi="Arial"/>
          <w:sz w:val="15"/>
          <w:szCs w:val="15"/>
          <w:color w:val="auto"/>
        </w:rPr>
        <w:t>has served as our President, Chief Executive Officer and member of our board of directors since July 2010. Prior to joining Selecta, Dr. Cautreels was Chief</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 of Solvay Pharmaceuticals, the pharmaceuticals division of the Solvay Group, in Brussels, Belgium, from 2005 until Solvay Pharmaceuticals was acquired by Abbott Laboratories in February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160"/>
          </w:cols>
          <w:pgMar w:left="240" w:top="132" w:right="499" w:bottom="1440" w:gutter="0" w:footer="0" w:header="0"/>
        </w:sectPr>
      </w:pPr>
    </w:p>
    <w:bookmarkStart w:id="179" w:name="page180"/>
    <w:bookmarkEnd w:id="17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currently serves as a director of Seres Therapeutics, Inc. and Galapagos NV, in Mechelen, Belgium. He was the President of the Belgian-Luxemburg Chamber of Commerce for Russia and Belarus until June 2010. Dr. Cautreels received his Ph.D. in Chemistry, specializing in Mass Spectrometry, from the University of Antwerp (Antwerp, Belgium), and his financial and business training from the Advanced Management Program at Harvard Business School.</w:t>
      </w:r>
    </w:p>
    <w:p>
      <w:pPr>
        <w:spacing w:after="0" w:line="137"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i w:val="1"/>
          <w:iCs w:val="1"/>
          <w:color w:val="auto"/>
        </w:rPr>
        <w:t xml:space="preserve">Lloyd Johnston, Ph.D. </w:t>
      </w:r>
      <w:r>
        <w:rPr>
          <w:rFonts w:ascii="Arial" w:cs="Arial" w:eastAsia="Arial" w:hAnsi="Arial"/>
          <w:sz w:val="14"/>
          <w:szCs w:val="14"/>
          <w:color w:val="auto"/>
        </w:rPr>
        <w:t>has served as our Chief Operating Officer and Senior Vice President, Research and Development since January 2014. Dr. Johnston served as Selecta's Senior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5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Takashi Kei Kishimoto, Ph.D. </w:t>
      </w:r>
      <w:r>
        <w:rPr>
          <w:rFonts w:ascii="Arial" w:cs="Arial" w:eastAsia="Arial" w:hAnsi="Arial"/>
          <w:sz w:val="15"/>
          <w:szCs w:val="15"/>
          <w:color w:val="auto"/>
        </w:rPr>
        <w:t>has served as our Chief Scientific Officer since June 2011. Prior to joining Selecta, Dr. Kishimoto was Vice President of Discovery Research at Momenta</w:t>
      </w:r>
      <w:r>
        <w:rPr>
          <w:rFonts w:ascii="Arial" w:cs="Arial" w:eastAsia="Arial" w:hAnsi="Arial"/>
          <w:sz w:val="15"/>
          <w:szCs w:val="15"/>
          <w:i w:val="1"/>
          <w:iCs w:val="1"/>
          <w:color w:val="auto"/>
        </w:rPr>
        <w:t xml:space="preserve"> </w:t>
      </w:r>
      <w:r>
        <w:rPr>
          <w:rFonts w:ascii="Arial" w:cs="Arial" w:eastAsia="Arial" w:hAnsi="Arial"/>
          <w:sz w:val="15"/>
          <w:szCs w:val="15"/>
          <w:color w:val="auto"/>
        </w:rPr>
        <w:t>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6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i w:val="1"/>
          <w:iCs w:val="1"/>
          <w:color w:val="auto"/>
        </w:rPr>
        <w:t xml:space="preserve">Peter Keller, M.Sci. </w:t>
      </w:r>
      <w:r>
        <w:rPr>
          <w:rFonts w:ascii="Arial" w:cs="Arial" w:eastAsia="Arial" w:hAnsi="Arial"/>
          <w:sz w:val="15"/>
          <w:szCs w:val="15"/>
          <w:color w:val="auto"/>
        </w:rPr>
        <w:t>has served as our Chief Business Officer since he joined Selecta from Abbott Laboratories in February 2011. After the acquisition of Solvay Pharmaceuticals in February</w:t>
      </w:r>
      <w:r>
        <w:rPr>
          <w:rFonts w:ascii="Arial" w:cs="Arial" w:eastAsia="Arial" w:hAnsi="Arial"/>
          <w:sz w:val="15"/>
          <w:szCs w:val="15"/>
          <w:i w:val="1"/>
          <w:iCs w:val="1"/>
          <w:color w:val="auto"/>
        </w:rPr>
        <w:t xml:space="preserve"> </w:t>
      </w:r>
      <w:r>
        <w:rPr>
          <w:rFonts w:ascii="Arial" w:cs="Arial" w:eastAsia="Arial" w:hAnsi="Arial"/>
          <w:sz w:val="15"/>
          <w:szCs w:val="15"/>
          <w:color w:val="auto"/>
        </w:rPr>
        <w:t>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1998 to September 2000. Mr. Keller received his M.Sci. in Industrial Engineering and Management from the Technical University of Karlsruhe in Karlsruhe, Germany.</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i w:val="1"/>
          <w:iCs w:val="1"/>
          <w:color w:val="auto"/>
        </w:rPr>
        <w:t xml:space="preserve">David Abraham, J.D. </w:t>
      </w:r>
      <w:r>
        <w:rPr>
          <w:rFonts w:ascii="Arial" w:cs="Arial" w:eastAsia="Arial" w:hAnsi="Arial"/>
          <w:sz w:val="15"/>
          <w:szCs w:val="15"/>
          <w:color w:val="auto"/>
        </w:rPr>
        <w:t>has served as our General Counsel and Corporate Secretary since he joined Selecta in May 2011. From January 2009 to April 2011, Mr. Abraham was a member of</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67"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i w:val="1"/>
          <w:iCs w:val="1"/>
          <w:color w:val="auto"/>
        </w:rPr>
        <w:t xml:space="preserve">Earl Sands, M.D. </w:t>
      </w:r>
      <w:r>
        <w:rPr>
          <w:rFonts w:ascii="Arial" w:cs="Arial" w:eastAsia="Arial" w:hAnsi="Arial"/>
          <w:sz w:val="13"/>
          <w:szCs w:val="13"/>
          <w:color w:val="auto"/>
        </w:rPr>
        <w:t>has served as our Chief Medical Officer since July 2015. From July 2014 to May 2015, Dr. Sands served as the Chief Medical Officer of Targacept, Inc., now part of</w:t>
      </w:r>
      <w:r>
        <w:rPr>
          <w:rFonts w:ascii="Arial" w:cs="Arial" w:eastAsia="Arial" w:hAnsi="Arial"/>
          <w:sz w:val="13"/>
          <w:szCs w:val="13"/>
          <w:i w:val="1"/>
          <w:iCs w:val="1"/>
          <w:color w:val="auto"/>
        </w:rPr>
        <w:t xml:space="preserve"> </w:t>
      </w:r>
      <w:r>
        <w:rPr>
          <w:rFonts w:ascii="Arial" w:cs="Arial" w:eastAsia="Arial" w:hAnsi="Arial"/>
          <w:sz w:val="13"/>
          <w:szCs w:val="13"/>
          <w:color w:val="auto"/>
        </w:rPr>
        <w:t>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5"/>
          <w:szCs w:val="15"/>
          <w:i w:val="1"/>
          <w:iCs w:val="1"/>
          <w:color w:val="auto"/>
        </w:rPr>
        <w:t xml:space="preserve">David Siewers </w:t>
      </w:r>
      <w:r>
        <w:rPr>
          <w:rFonts w:ascii="Arial" w:cs="Arial" w:eastAsia="Arial" w:hAnsi="Arial"/>
          <w:sz w:val="15"/>
          <w:szCs w:val="15"/>
          <w:color w:val="auto"/>
        </w:rPr>
        <w:t>has served as our Chief Financial Officer since September 2009. Mr. Siewers has 30 years of experience in financial management, financial systems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KEY EMPLOYEES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i w:val="1"/>
          <w:iCs w:val="1"/>
          <w:color w:val="auto"/>
        </w:rPr>
        <w:t xml:space="preserve">Dmitry Ovchinnikov, Ph.D. </w:t>
      </w:r>
      <w:r>
        <w:rPr>
          <w:rFonts w:ascii="Arial" w:cs="Arial" w:eastAsia="Arial" w:hAnsi="Arial"/>
          <w:sz w:val="15"/>
          <w:szCs w:val="15"/>
          <w:color w:val="auto"/>
        </w:rPr>
        <w:t>has served as the General Director of our Russian operations since August 2013, and served as General Deputy Director from May 2012 to August 2013. Prior to</w:t>
      </w:r>
      <w:r>
        <w:rPr>
          <w:rFonts w:ascii="Arial" w:cs="Arial" w:eastAsia="Arial" w:hAnsi="Arial"/>
          <w:sz w:val="15"/>
          <w:szCs w:val="15"/>
          <w:i w:val="1"/>
          <w:iCs w:val="1"/>
          <w:color w:val="auto"/>
        </w:rPr>
        <w:t xml:space="preserve"> </w:t>
      </w:r>
      <w:r>
        <w:rPr>
          <w:rFonts w:ascii="Arial" w:cs="Arial" w:eastAsia="Arial" w:hAnsi="Arial"/>
          <w:sz w:val="15"/>
          <w:szCs w:val="15"/>
          <w:color w:val="auto"/>
        </w:rPr>
        <w:t>joining Selecta, Dr. Ovchinnikov was a medical director for ZAO Sandoz (Russia), a Novartis company, from December 2010 to May 2012, and was responsible for medical support and compliance, clinical trials and pharmacovigilance. Dr. Ovchinnikov was also a member of the Russia executive committee at Sandoz and took part in the elaboration of development strategy for the Russian branch.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40"/>
        <w:spacing w:after="0" w:line="297" w:lineRule="auto"/>
        <w:rPr>
          <w:sz w:val="20"/>
          <w:szCs w:val="20"/>
          <w:color w:val="auto"/>
        </w:rPr>
      </w:pPr>
      <w:r>
        <w:rPr>
          <w:rFonts w:ascii="Arial" w:cs="Arial" w:eastAsia="Arial" w:hAnsi="Arial"/>
          <w:sz w:val="14"/>
          <w:szCs w:val="14"/>
          <w:color w:val="auto"/>
        </w:rPr>
        <w:t>November 2006 to December 2010, Dr. Ovchinnikov worked at Janssen-Cilag, a Johnson &amp; Johnson company, as a medical manager for Russia and the Commonwealth of Independent States, and from December 2004 to November 2006 he served as a clinical research associate for PAREXEL RUS LLC, a life sciences consulting firm and a division of PAREXEL International. Dr. Ovchinnikov received his M.S. and Ph.D. in Biochemistry/Oncology/Virology from Lomonosov Moscow State University in Moscow, Russia.</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19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i w:val="1"/>
          <w:iCs w:val="1"/>
          <w:color w:val="auto"/>
        </w:rPr>
        <w:t xml:space="preserve">Omid Farokhzad, M.D. </w:t>
      </w:r>
      <w:r>
        <w:rPr>
          <w:rFonts w:ascii="Arial" w:cs="Arial" w:eastAsia="Arial" w:hAnsi="Arial"/>
          <w:sz w:val="14"/>
          <w:szCs w:val="14"/>
          <w:color w:val="auto"/>
        </w:rPr>
        <w:t>is one of our co-founders and has served as a member of our board of directors since 2007. Dr. Farokhzad is an Associate Professor at Harvard Medical School, or</w:t>
      </w:r>
      <w:r>
        <w:rPr>
          <w:rFonts w:ascii="Arial" w:cs="Arial" w:eastAsia="Arial" w:hAnsi="Arial"/>
          <w:sz w:val="14"/>
          <w:szCs w:val="14"/>
          <w:i w:val="1"/>
          <w:iCs w:val="1"/>
          <w:color w:val="auto"/>
        </w:rPr>
        <w:t xml:space="preserve"> </w:t>
      </w:r>
      <w:r>
        <w:rPr>
          <w:rFonts w:ascii="Arial" w:cs="Arial" w:eastAsia="Arial" w:hAnsi="Arial"/>
          <w:sz w:val="14"/>
          <w:szCs w:val="14"/>
          <w:color w:val="auto"/>
        </w:rPr>
        <w:t>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the laboratory of Dr. Langer. He is the recipient of the 2013 RUSNANOPRIZE. Dr. Farokhzad has been directly involved in the launch and development of four biotechnology companies and, on occasion, has assumed additional roles in support of management.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4"/>
          <w:szCs w:val="14"/>
          <w:i w:val="1"/>
          <w:iCs w:val="1"/>
          <w:color w:val="auto"/>
        </w:rPr>
        <w:t xml:space="preserve">Carl Gordon, Ph.D. </w:t>
      </w:r>
      <w:r>
        <w:rPr>
          <w:rFonts w:ascii="Arial" w:cs="Arial" w:eastAsia="Arial" w:hAnsi="Arial"/>
          <w:sz w:val="14"/>
          <w:szCs w:val="14"/>
          <w:color w:val="auto"/>
        </w:rPr>
        <w:t>has served as a member of our board of directors since 2010. Dr. Gordon serves as General Partner and Co-Head of Private Equity of OrbiMed Advisors LLC, which he</w:t>
      </w:r>
      <w:r>
        <w:rPr>
          <w:rFonts w:ascii="Arial" w:cs="Arial" w:eastAsia="Arial" w:hAnsi="Arial"/>
          <w:sz w:val="14"/>
          <w:szCs w:val="14"/>
          <w:i w:val="1"/>
          <w:iCs w:val="1"/>
          <w:color w:val="auto"/>
        </w:rPr>
        <w:t xml:space="preserve"> </w:t>
      </w:r>
      <w:r>
        <w:rPr>
          <w:rFonts w:ascii="Arial" w:cs="Arial" w:eastAsia="Arial" w:hAnsi="Arial"/>
          <w:sz w:val="14"/>
          <w:szCs w:val="14"/>
          <w:color w:val="auto"/>
        </w:rPr>
        <w:t>co-founded in 1998. From 1995 to 1997 he was a senior biotechnology analyst at Mehta and Isaly, and from 1993 to 1995 he was a Fellow at The Rockefeller University. Dr. Gordon currently serves on the board of directors of numerous private companies. Previously, Dr. Gordon had served on the board of directors of Acceleron Pharma Inc., Amarin Corporation plc and Pacira Pharmaceuticals, Inc. Dr. Gordon received his B.S. in Chemistry from Harvard College and his Ph.D. in Molecular Biology from MIT. Dr. Gordon's venture capital experience, expertise in the scientific field of molecular biology and financial credentials contributed to our board of directors' conclusion that he should serve as a director of our company.</w:t>
      </w:r>
    </w:p>
    <w:p>
      <w:pPr>
        <w:spacing w:after="0" w:line="14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i w:val="1"/>
          <w:iCs w:val="1"/>
          <w:color w:val="auto"/>
        </w:rPr>
        <w:t xml:space="preserve">Peter Barton Hutt, LL.B., LL.M. </w:t>
      </w:r>
      <w:r>
        <w:rPr>
          <w:rFonts w:ascii="Arial" w:cs="Arial" w:eastAsia="Arial" w:hAnsi="Arial"/>
          <w:sz w:val="14"/>
          <w:szCs w:val="14"/>
          <w:color w:val="auto"/>
        </w:rPr>
        <w:t>has served as a member of our board of directors since 2010. Mr. Hutt is a senior counsel in the Washington, D.C. law firm of Covington &amp; Burling</w:t>
      </w:r>
      <w:r>
        <w:rPr>
          <w:rFonts w:ascii="Arial" w:cs="Arial" w:eastAsia="Arial" w:hAnsi="Arial"/>
          <w:sz w:val="14"/>
          <w:szCs w:val="14"/>
          <w:i w:val="1"/>
          <w:iCs w:val="1"/>
          <w:color w:val="auto"/>
        </w:rPr>
        <w:t xml:space="preserve"> </w:t>
      </w:r>
      <w:r>
        <w:rPr>
          <w:rFonts w:ascii="Arial" w:cs="Arial" w:eastAsia="Arial" w:hAnsi="Arial"/>
          <w:sz w:val="14"/>
          <w:szCs w:val="14"/>
          <w:color w:val="auto"/>
        </w:rPr>
        <w:t>specializing in food and drug law. Mr. Hutt began his law practice with the firm in 1960 and, except for his four years in the government, has continued at the firm ever since. Mr. Hutt served as Chief Counsel for the FDA during 1971 to 1975. Since 1994 he has taught a course on Food and Drug Law at Harvard Law School. Mr. Hutt serves on the board of directors of Seres Therapeutics, Inc., Xoma Corp., BIND Therapeutics, Inc., Concert Pharmaceuticals, Inc., Flex Pharma, Inc. and Q Therapeutics, Inc. From 2009 to 2015, Mr. Hutt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Edwin M. Kania </w:t>
      </w:r>
      <w:r>
        <w:rPr>
          <w:rFonts w:ascii="Arial" w:cs="Arial" w:eastAsia="Arial" w:hAnsi="Arial"/>
          <w:sz w:val="13"/>
          <w:szCs w:val="13"/>
          <w:color w:val="auto"/>
        </w:rPr>
        <w:t>has served as a member of our board of directors since 2013. Mr. Kania is Co-Founder of Flagship Ventures, a Boston-based venture capital firm, and serves as a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26630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Partner for several of its funds. He served as Chairman of Flagship Ventures between 2001 and 2014. Prior to co-founding Flagship Ventures in 2000, Mr. Kania was a General Partner at OneLiberty Ventures and its predecessor firm, Morgan Holland Ventures. His direct investment experience covers over 100 companies. Since 2004, he has served on the board of directors of Acceleron Pharma Inc., a clinical stage biopharmaceutical company that focuses on regulating cellular growth. Mr. Kania has also served on the boards of Aspect Medical, EXACT Sciences and other public and private companies. Mr. Kania received his B.S. in Physics from Dartmouth College and his M.B.A. from Harvard Business School. Mr. Kania's extensive investment experience in the biotechnology sector contributed to our board of directors' conclusion that he should serve as a director of our company.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Robert Langer, Sc.D. </w:t>
      </w:r>
      <w:r>
        <w:rPr>
          <w:rFonts w:ascii="Arial" w:cs="Arial" w:eastAsia="Arial" w:hAnsi="Arial"/>
          <w:sz w:val="14"/>
          <w:szCs w:val="14"/>
          <w:color w:val="auto"/>
        </w:rPr>
        <w:t>is one of our co-founders and has served as a member of our board of directors since 2007. Dr. Langer also serves as Chairman of our scientific advisory board.</w:t>
      </w:r>
    </w:p>
    <w:p>
      <w:pPr>
        <w:spacing w:after="0" w:line="2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Dr. Langer has been an Institute Professor at MIT since 2005, and prior to that was an Assistant Professor, Associate Professor and then Professor at MIT starting in 1977. Dr. Langer has received the National Medal of Science, National Medal of Technology and Innovation, Wolf Prize in Chemistry, Charles Stark Draper Prize, Albany Medical Center Prize in Medicine and Biomedical Research and the Lemelson-MIT Prize for Invention and Innovation. Dr. Langer is one of the very few individuals ever elected to the American Institute of Medical and Biological Engineering, the National Academy of Engineering and the National Academy of Sciences. He currently serves on the board of directors of Ocata Therapeutics, BIND Therapeutics, Inc. and PureTech Health PLC, and previously served as a director of Momenta Pharmaceuticals from 2001 to 2009, Wyeth from 2004 to 2009, Fibrocell Science, Inc. from 2010 to 2012 and Millipore Corp from 2009 to 2010. Dr. Langer received his B.S. from Cornell University and his Sc.D. from MIT, both in Chemical Engineering. Dr. Langer's pioneering academic work in nanotechnology and drug delivery contributed to our board of directors' conclusion that he should serve as a director of our company. Dr. Langer will resign from our board of directors contingent upon, and effective immediately prior to, the effectiveness of the registration statement of which this prospectus forms a part.</w:t>
      </w:r>
    </w:p>
    <w:p>
      <w:pPr>
        <w:spacing w:after="0" w:line="155"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i w:val="1"/>
          <w:iCs w:val="1"/>
          <w:color w:val="auto"/>
        </w:rPr>
        <w:t xml:space="preserve">Amir Nashat, Sc.D. </w:t>
      </w:r>
      <w:r>
        <w:rPr>
          <w:rFonts w:ascii="Arial" w:cs="Arial" w:eastAsia="Arial" w:hAnsi="Arial"/>
          <w:sz w:val="14"/>
          <w:szCs w:val="14"/>
          <w:color w:val="auto"/>
        </w:rPr>
        <w:t>has served as a member of our board of directors since 2008. Dr. Nashat has been a Managing General Partner at Polaris Venture Partners, a venture capital firm, since</w:t>
      </w:r>
      <w:r>
        <w:rPr>
          <w:rFonts w:ascii="Arial" w:cs="Arial" w:eastAsia="Arial" w:hAnsi="Arial"/>
          <w:sz w:val="14"/>
          <w:szCs w:val="14"/>
          <w:i w:val="1"/>
          <w:iCs w:val="1"/>
          <w:color w:val="auto"/>
        </w:rPr>
        <w:t xml:space="preserve"> </w:t>
      </w:r>
      <w:r>
        <w:rPr>
          <w:rFonts w:ascii="Arial" w:cs="Arial" w:eastAsia="Arial" w:hAnsi="Arial"/>
          <w:sz w:val="14"/>
          <w:szCs w:val="14"/>
          <w:color w:val="auto"/>
        </w:rPr>
        <w:t>2009 and focuses on investments in the life sciences. He currently serves on the board of directors of Fate Therapeutics, Inc., BIND Therapeutics, Inc., aTyr Pharma, Inc. and several private companies. Dr. Nashat has also served as a director of Receptos, Inc., Adnexus Therapeutics, Inc. (acquired by Bristol-Myers Squibb Company) and other private companies. Dr. Nashat completed his Sc.D. as a Hertz Fellow in Chemical Engineering at MIT with a minor in biology under the guidance of Dr. Langer.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154" w:lineRule="exact"/>
        <w:rPr>
          <w:sz w:val="20"/>
          <w:szCs w:val="20"/>
          <w:color w:val="auto"/>
        </w:rPr>
      </w:pPr>
    </w:p>
    <w:p>
      <w:pPr>
        <w:ind w:right="40"/>
        <w:spacing w:after="0" w:line="300" w:lineRule="auto"/>
        <w:rPr>
          <w:sz w:val="20"/>
          <w:szCs w:val="20"/>
          <w:color w:val="auto"/>
        </w:rPr>
      </w:pPr>
      <w:r>
        <w:rPr>
          <w:rFonts w:ascii="Arial" w:cs="Arial" w:eastAsia="Arial" w:hAnsi="Arial"/>
          <w:sz w:val="13"/>
          <w:szCs w:val="13"/>
          <w:i w:val="1"/>
          <w:iCs w:val="1"/>
          <w:color w:val="auto"/>
        </w:rPr>
        <w:t xml:space="preserve">Aymeric Sallin, M.S. </w:t>
      </w:r>
      <w:r>
        <w:rPr>
          <w:rFonts w:ascii="Arial" w:cs="Arial" w:eastAsia="Arial" w:hAnsi="Arial"/>
          <w:sz w:val="13"/>
          <w:szCs w:val="13"/>
          <w:color w:val="auto"/>
        </w:rPr>
        <w:t>has served as a member of our board of directors since 2008. Mr. Sallin has served as the Chief Executive Officer of NanoDimension, a venture capital firm, since 2002</w:t>
      </w:r>
      <w:r>
        <w:rPr>
          <w:rFonts w:ascii="Arial" w:cs="Arial" w:eastAsia="Arial" w:hAnsi="Arial"/>
          <w:sz w:val="13"/>
          <w:szCs w:val="13"/>
          <w:i w:val="1"/>
          <w:iCs w:val="1"/>
          <w:color w:val="auto"/>
        </w:rPr>
        <w:t xml:space="preserve"> </w:t>
      </w:r>
      <w:r>
        <w:rPr>
          <w:rFonts w:ascii="Arial" w:cs="Arial" w:eastAsia="Arial" w:hAnsi="Arial"/>
          <w:sz w:val="13"/>
          <w:szCs w:val="13"/>
          <w:color w:val="auto"/>
        </w:rPr>
        <w:t>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w:t>
      </w:r>
    </w:p>
    <w:p>
      <w:pPr>
        <w:ind w:right="140"/>
        <w:spacing w:after="0" w:line="266" w:lineRule="auto"/>
        <w:rPr>
          <w:sz w:val="20"/>
          <w:szCs w:val="20"/>
          <w:color w:val="auto"/>
        </w:rPr>
      </w:pPr>
      <w:r>
        <w:rPr>
          <w:rFonts w:ascii="Arial" w:cs="Arial" w:eastAsia="Arial" w:hAnsi="Arial"/>
          <w:sz w:val="15"/>
          <w:szCs w:val="15"/>
          <w:color w:val="auto"/>
        </w:rPr>
        <w:t>Mr. Sallin has worked to generate and close investments of hundreds of millions of dollars into several of NanoDimension's portfolio companies. He currently serves as a board member of View, Inc., CROCUS Technology and Tarveda Therapeutics. Mr. Sallin is also a member of the Swiss Academy of Technical Sciences. Mr. Sallin received his Masters in Physical Engineering from EPFL in Lausanne, Switzerland. Mr. Sallin's extensive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26630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of our business and the nanomedicine field contributed to our board of directors' conclusion that he should serve as a director of our company.</w:t>
      </w:r>
    </w:p>
    <w:p>
      <w:pPr>
        <w:spacing w:after="0" w:line="19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i w:val="1"/>
          <w:iCs w:val="1"/>
          <w:color w:val="auto"/>
        </w:rPr>
        <w:t xml:space="preserve">Leysan Shaydullina, M.D. </w:t>
      </w:r>
      <w:r>
        <w:rPr>
          <w:rFonts w:ascii="Arial" w:cs="Arial" w:eastAsia="Arial" w:hAnsi="Arial"/>
          <w:sz w:val="14"/>
          <w:szCs w:val="14"/>
          <w:color w:val="auto"/>
        </w:rPr>
        <w:t>has served as a member of our board of directors since April 2015. Since October 2014, Dr. Shaydullina has served as Managing Director of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RUSNANO LLC. From April 2009 to October 2014, she served as Investment Director of JSC RUSNANO Management Company and then of RUSNANO management company. She also served as an associate at JSC RUSNANO from 2008 to 2009. In 2008, Dr. Shaydullina served as a senior consultant with Regionatistica LLC, a Russian-based consulting company. From 2004 to 2008, she was head of the investment department and manager of innovative projects at Innovative Technopark IDEA, or Technopark, a Russian-based business incubator. Prior to Technopark, in 2004, Dr. Shaydullina served as a senior health insurance expert at ROSNO, now part of Allianz Insurance, a Russian insurance provider, and served as a surgeon for the Children's Republican Clinical Hospital of the Ministry of Health in Russia from 2001 to 2003. Dr. Shaydullina received her M.B.A. from the Academy of National Economy under the Government of the Russian Federation, and her M.D. from Kazan State Medical University in Kazan, Russia. Dr. Shaydullina's experience in business strategy, managing investments and the life sciences industry contributed to our board of directors' conclusion that she should serve as a director of our company. Dr. Shaydullina will resign from our board of directors contingent upon, and effective immediately prior to, the closing of this offering.</w:t>
      </w:r>
    </w:p>
    <w:p>
      <w:pPr>
        <w:spacing w:after="0" w:line="157"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i w:val="1"/>
          <w:iCs w:val="1"/>
          <w:color w:val="auto"/>
        </w:rPr>
        <w:t xml:space="preserve">George Siber, M.D. </w:t>
      </w:r>
      <w:r>
        <w:rPr>
          <w:rFonts w:ascii="Arial" w:cs="Arial" w:eastAsia="Arial" w:hAnsi="Arial"/>
          <w:sz w:val="14"/>
          <w:szCs w:val="14"/>
          <w:color w:val="auto"/>
        </w:rPr>
        <w:t>has served as a member of our board of directors since 2009. Since 2008, Dr. Siber has served as an Adjunct Professor at John Hopkins University in the School of</w:t>
      </w:r>
      <w:r>
        <w:rPr>
          <w:rFonts w:ascii="Arial" w:cs="Arial" w:eastAsia="Arial" w:hAnsi="Arial"/>
          <w:sz w:val="14"/>
          <w:szCs w:val="14"/>
          <w:i w:val="1"/>
          <w:iCs w:val="1"/>
          <w:color w:val="auto"/>
        </w:rPr>
        <w:t xml:space="preserve"> </w:t>
      </w:r>
      <w:r>
        <w:rPr>
          <w:rFonts w:ascii="Arial" w:cs="Arial" w:eastAsia="Arial" w:hAnsi="Arial"/>
          <w:sz w:val="14"/>
          <w:szCs w:val="14"/>
          <w:color w:val="auto"/>
        </w:rPr>
        <w:t>Public Health. From 1996 to 2006, Dr. Siber served in various capacities at Wyeth Lederle Vaccines and Wyeth Vaccines Research, including Executive Vice President and Chief Scientific Officer. While at Wyeth, Dr. Siber oversaw the development and approval of multiple widely-used childhood vaccines, including Prevnar, a pneumococcal vaccine which has achieved multibillion dollar revenues, Acel-Imune, an acellular pertussis vaccine, and Meningitec, a meningococcal meningitis vaccine. Prior to Wyeth, Dr. Siber was Director of the Massachusetts Public Health Biologic Laboratories and a Harvard Medical School Associate Professor of Medicine at Dana Farber Cancer Institute. During this time, Dr. Siber led the research and manufacturing of multiple vaccines and immune globulins including Respigam, a human immune globulin against respiratory syncytial virus. Dr. Siber has served as executive director and scientific advisory board chairman of Genocea Biosciences, Inc. since 2013, and served as executive chairman from 2007 to 2013. Dr. Siber received his B.Sc. from Bishop's University in Quebec, Canada, and received his M.D.C.M. from McGill University in Quebec, Canada. He completed his post-doctoral training in internal medicine at Rush-Presbyterian-St. Luke's Medical Center in Chicago and Beth Israel Deaconess Medical Center in Boston, and his post-doctoral training in infectious disease and vaccinology at Children's Hospital and Beth Israel, in affiliation with Harvard Medical School in Boston. We believe that Dr. Siber's experience in life sciences and vaccine industries and his experience overseeing the development of multiple vaccines qualified him to serve as a member of our board of directors. Dr. Siber will resign from our board of directors contingent upon, and effective immediately prior to, the effectiveness of the registration statement of which this prospectus forms a part.</w:t>
      </w:r>
    </w:p>
    <w:p>
      <w:pPr>
        <w:spacing w:after="0" w:line="15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Timothy A. Springer, Ph.D. </w:t>
      </w:r>
      <w:r>
        <w:rPr>
          <w:rFonts w:ascii="Arial" w:cs="Arial" w:eastAsia="Arial" w:hAnsi="Arial"/>
          <w:sz w:val="14"/>
          <w:szCs w:val="14"/>
          <w:color w:val="auto"/>
        </w:rPr>
        <w:t>will serve as a member of our board of directors contingent upon, and effective upon, the effectiveness of the registration statement of which this prospectus</w:t>
      </w:r>
      <w:r>
        <w:rPr>
          <w:rFonts w:ascii="Arial" w:cs="Arial" w:eastAsia="Arial" w:hAnsi="Arial"/>
          <w:sz w:val="14"/>
          <w:szCs w:val="14"/>
          <w:i w:val="1"/>
          <w:iCs w:val="1"/>
          <w:color w:val="auto"/>
        </w:rPr>
        <w:t xml:space="preserve"> </w:t>
      </w:r>
      <w:r>
        <w:rPr>
          <w:rFonts w:ascii="Arial" w:cs="Arial" w:eastAsia="Arial" w:hAnsi="Arial"/>
          <w:sz w:val="14"/>
          <w:szCs w:val="14"/>
          <w:color w:val="auto"/>
        </w:rPr>
        <w:t>forms a part. Dr. Springer has served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84" w:name="page185"/>
    <w:bookmarkEnd w:id="18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Founder of LeukoSite, a biotechnology company acquired by Millennium Pharmaceuticals in 1999.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COMPOSITION AND ELECTION OF DIRECTORS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7" w:right="40"/>
        <w:spacing w:after="0" w:line="283" w:lineRule="auto"/>
        <w:rPr>
          <w:sz w:val="20"/>
          <w:szCs w:val="20"/>
          <w:color w:val="auto"/>
        </w:rPr>
      </w:pPr>
      <w:r>
        <w:rPr>
          <w:rFonts w:ascii="Arial" w:cs="Arial" w:eastAsia="Arial" w:hAnsi="Arial"/>
          <w:sz w:val="14"/>
          <w:szCs w:val="14"/>
          <w:color w:val="auto"/>
        </w:rPr>
        <w:t>Our board of directors currently consists of ten members. However, 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 In addition, Dr. Springer will be elected to our board of directors contingent upon, and effective upon, the effectiveness of the registration statement of which this prospectus forms a part. Accordingly, upon the completion of this offering, our board of directors will consist of eight members. Our board of directors has determined that, of these eight directors, Carl Gordon, Peter Barton Hutt, Edwin Kania, Amir Nashat, Aymeric Sallin and Timothy Springer do not have a relationship that would interfere with the exercise of independent judgment in carrying out the responsibilities of a director and that each of these directors is "independent" as that term is defined under the rules of The NASDAQ Stock Market LLC, or NASDAQ. There are no family relationships among any of our directors or executive officers.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left="7" w:right="200"/>
        <w:spacing w:after="0" w:line="297" w:lineRule="auto"/>
        <w:rPr>
          <w:sz w:val="20"/>
          <w:szCs w:val="20"/>
          <w:color w:val="auto"/>
        </w:rPr>
      </w:pPr>
      <w:r>
        <w:rPr>
          <w:rFonts w:ascii="Arial" w:cs="Arial" w:eastAsia="Arial" w:hAnsi="Arial"/>
          <w:sz w:val="14"/>
          <w:szCs w:val="14"/>
          <w:color w:val="auto"/>
        </w:rPr>
        <w:t>In accordance with our restated certificate of incorporation that will go into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our directors will be divided among the three classes as follows:</w:t>
      </w:r>
    </w:p>
    <w:p>
      <w:pPr>
        <w:spacing w:after="0" w:line="155" w:lineRule="exact"/>
        <w:rPr>
          <w:sz w:val="20"/>
          <w:szCs w:val="20"/>
          <w:color w:val="auto"/>
        </w:rPr>
      </w:pPr>
    </w:p>
    <w:p>
      <w:pPr>
        <w:ind w:left="467" w:hanging="467"/>
        <w:spacing w:after="0"/>
        <w:tabs>
          <w:tab w:leader="none" w:pos="46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Class I directors will be Carl Gordon, Edwin Kania and Timothy Springer, and their terms will expire at our first annual meeting of stockholders following this offering;</w:t>
      </w:r>
    </w:p>
    <w:p>
      <w:pPr>
        <w:spacing w:after="0" w:line="232" w:lineRule="exact"/>
        <w:rPr>
          <w:rFonts w:ascii="Arial" w:cs="Arial" w:eastAsia="Arial" w:hAnsi="Arial"/>
          <w:sz w:val="14"/>
          <w:szCs w:val="14"/>
          <w:color w:val="auto"/>
        </w:rPr>
      </w:pPr>
    </w:p>
    <w:p>
      <w:pPr>
        <w:ind w:left="467" w:hanging="467"/>
        <w:spacing w:after="0"/>
        <w:tabs>
          <w:tab w:leader="none" w:pos="467"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Class II directors will be Omid Farokhzad, Amir Nashat and Aymeric Sallin, and their terms will expire at our second annual meeting of stockholders following this offering; and</w:t>
      </w:r>
    </w:p>
    <w:p>
      <w:pPr>
        <w:spacing w:after="0" w:line="232" w:lineRule="exact"/>
        <w:rPr>
          <w:rFonts w:ascii="Arial" w:cs="Arial" w:eastAsia="Arial" w:hAnsi="Arial"/>
          <w:sz w:val="13"/>
          <w:szCs w:val="13"/>
          <w:color w:val="auto"/>
        </w:rPr>
      </w:pPr>
    </w:p>
    <w:p>
      <w:pPr>
        <w:ind w:left="467" w:hanging="467"/>
        <w:spacing w:after="0"/>
        <w:tabs>
          <w:tab w:leader="none" w:pos="46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Class III directors will be Werner Cautreels and Peter Barton Hutt, and their terms will expire at the third annual meeting of stockholders following this offering.</w:t>
      </w:r>
    </w:p>
    <w:p>
      <w:pPr>
        <w:spacing w:after="0" w:line="198"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Our restated certificate of incorporation, which will become effective upon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185" w:name="page186"/>
    <w:bookmarkEnd w:id="18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7" w:right="60"/>
        <w:spacing w:after="0" w:line="313" w:lineRule="auto"/>
        <w:rPr>
          <w:sz w:val="20"/>
          <w:szCs w:val="20"/>
          <w:color w:val="auto"/>
        </w:rPr>
      </w:pPr>
      <w:r>
        <w:rPr>
          <w:rFonts w:ascii="Arial" w:cs="Arial" w:eastAsia="Arial" w:hAnsi="Arial"/>
          <w:sz w:val="13"/>
          <w:szCs w:val="13"/>
          <w:color w:val="auto"/>
        </w:rPr>
        <w:t>Our board of directors is currently chaired by our President and Chief Executive Officer, Werner Cautreels. Our corporate governance guidelines provide that, if the chairman of the board is a member of management or does not otherwise qualify as independent, the independent directors of the board may or may not elect a lead director. Amir Nashat currently serves as our lead director. The lead director's responsibilities include, but are not limited to: presiding over all meetings of the board of directors at which the chairman is not present, including any executive sessions of the independent directors; approving board meeting schedules and agendas; and acting as the liaison between the independent directors and the chief executive officer and chairman of the board. Our corporate governance guidelines further provide the flexibility for our board of directors to modify our leadership structure in the future as it deems appropriate.</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ROLE OF THE BOARD IN RISK OVERSIGHT</w:t>
      </w:r>
    </w:p>
    <w:p>
      <w:pPr>
        <w:spacing w:after="0" w:line="195" w:lineRule="exact"/>
        <w:rPr>
          <w:sz w:val="20"/>
          <w:szCs w:val="20"/>
          <w:color w:val="auto"/>
        </w:rPr>
      </w:pPr>
    </w:p>
    <w:p>
      <w:pPr>
        <w:ind w:left="7" w:right="40"/>
        <w:spacing w:after="0" w:line="260" w:lineRule="auto"/>
        <w:rPr>
          <w:sz w:val="20"/>
          <w:szCs w:val="20"/>
          <w:color w:val="auto"/>
        </w:rPr>
      </w:pPr>
      <w:r>
        <w:rPr>
          <w:rFonts w:ascii="Arial" w:cs="Arial" w:eastAsia="Arial" w:hAnsi="Arial"/>
          <w:sz w:val="15"/>
          <w:szCs w:val="15"/>
          <w:color w:val="auto"/>
        </w:rPr>
        <w:t>One of the key functions of our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While each committee is responsible for evaluating certain risks and overseeing the management of such risks, our entire board of directors is regularly informed through committee reports about such risks.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COMMITTEES</w:t>
      </w:r>
    </w:p>
    <w:p>
      <w:pPr>
        <w:spacing w:after="0" w:line="195" w:lineRule="exact"/>
        <w:rPr>
          <w:sz w:val="20"/>
          <w:szCs w:val="20"/>
          <w:color w:val="auto"/>
        </w:rPr>
      </w:pPr>
    </w:p>
    <w:p>
      <w:pPr>
        <w:ind w:left="7" w:right="20"/>
        <w:spacing w:after="0" w:line="266" w:lineRule="auto"/>
        <w:rPr>
          <w:sz w:val="20"/>
          <w:szCs w:val="20"/>
          <w:color w:val="auto"/>
        </w:rPr>
      </w:pPr>
      <w:r>
        <w:rPr>
          <w:rFonts w:ascii="Arial" w:cs="Arial" w:eastAsia="Arial" w:hAnsi="Arial"/>
          <w:sz w:val="15"/>
          <w:szCs w:val="15"/>
          <w:color w:val="auto"/>
        </w:rPr>
        <w:t xml:space="preserve">Our board of directors has established three standing committees—audit, compensation and nominating and corporate governance—each of which operates under a charter that has been approved by our board of directors. Upon the closing of this offering, each committee's charter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The reference to our website address does not constitute incorporation by reference of the information contained at or available through our website, and you should not</w:t>
      </w:r>
      <w:r>
        <w:rPr>
          <w:rFonts w:ascii="Arial" w:cs="Arial" w:eastAsia="Arial" w:hAnsi="Arial"/>
          <w:sz w:val="15"/>
          <w:szCs w:val="15"/>
          <w:i w:val="1"/>
          <w:iCs w:val="1"/>
          <w:color w:val="auto"/>
        </w:rPr>
        <w:t xml:space="preserve"> </w:t>
      </w:r>
      <w:r>
        <w:rPr>
          <w:rFonts w:ascii="Arial" w:cs="Arial" w:eastAsia="Arial" w:hAnsi="Arial"/>
          <w:sz w:val="15"/>
          <w:szCs w:val="15"/>
          <w:color w:val="auto"/>
        </w:rPr>
        <w:t>consider it to be a part of this prospectus.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Audit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audit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appointing, approving the compensation of, and assessing the independence of our registered public accounting firm;</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overseeing the work of our registered public accounting firm, including through the receipt and consideration of reports from such firm;</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and discussing with management and the registered public accounting firm our annual and quarterly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6" w:name="page187"/>
    <w:bookmarkEnd w:id="18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disclosure controls and procedures and code of business conduct and ethics;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discussing our risk management policies;</w:t>
      </w:r>
    </w:p>
    <w:p>
      <w:pPr>
        <w:spacing w:after="0" w:line="209" w:lineRule="exact"/>
        <w:rPr>
          <w:rFonts w:ascii="Arial" w:cs="Arial" w:eastAsia="Arial" w:hAnsi="Arial"/>
          <w:sz w:val="15"/>
          <w:szCs w:val="15"/>
          <w:color w:val="auto"/>
        </w:rPr>
      </w:pPr>
    </w:p>
    <w:p>
      <w:pPr>
        <w:ind w:left="467" w:right="340" w:hanging="467"/>
        <w:spacing w:after="0" w:line="282" w:lineRule="auto"/>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the registered public accounting firm and procedures for the receipt and retention of accounting related complaints and concerns;</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if any, registered public accounting firm and management;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Securities Exchange Commission, or SEC, rules.</w:t>
      </w:r>
    </w:p>
    <w:p>
      <w:pPr>
        <w:spacing w:after="0" w:line="198" w:lineRule="exact"/>
        <w:rPr>
          <w:sz w:val="20"/>
          <w:szCs w:val="20"/>
          <w:color w:val="auto"/>
        </w:rPr>
      </w:pPr>
    </w:p>
    <w:p>
      <w:pPr>
        <w:jc w:val="both"/>
        <w:ind w:left="7"/>
        <w:spacing w:after="0" w:line="287" w:lineRule="auto"/>
        <w:rPr>
          <w:sz w:val="20"/>
          <w:szCs w:val="20"/>
          <w:color w:val="auto"/>
        </w:rPr>
      </w:pPr>
      <w:r>
        <w:rPr>
          <w:rFonts w:ascii="Arial" w:cs="Arial" w:eastAsia="Arial" w:hAnsi="Arial"/>
          <w:sz w:val="14"/>
          <w:szCs w:val="14"/>
          <w:color w:val="auto"/>
        </w:rPr>
        <w:t>Effective immediately prior to the effectiveness of the registration statement of which this prospectus forms a part, the members of our audit committee will be Carl Gordon, Edwin Kania and Amir Nashat. Edwin Kania will serve as chairperson of the committee. All members of our audit committee meet the requirements for financial literacy under the applicable rules and regulations of the SEC and The NASDAQ Global Market. Our board of directors has determined that Carl Gordon, Edwin Kania and Amir Nashat meet the independence requirements of Rule 10A-3 under the Exchange Act and the applicable listing standards of NASDAQ. Our board of directors has determined that Edwin Kania is an "audit committee financial expert" as defined by applicable SEC rules and has the requisite financial sophistication as defined under the applicable NASDAQ rules and regulations.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compensation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CEO compensation;</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determining our CEO's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with respect to, the compensation of our other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overseeing an evaluation of our senior executives;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reviewing and discussing annually with management our "Compensation Discussion and Analysis";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preparing the annual compensation committee report required by SEC rules.</w:t>
      </w:r>
    </w:p>
    <w:p>
      <w:pPr>
        <w:spacing w:after="0" w:line="198"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Effective immediately prior to the effectiveness of the registration statement of which this prospectus forms a part, the members of our compensation committee will be Peter Barton Hutt, Edwin Kania and Aymeric Sallin. Peter Barton Hutt will serve as chairperson of the committee. Our board of directors has determined that each of Peter Barton Hutt, Edwin Kania and Aymeric Sallin is independent under the applicable NASDAQ rules and regulations, is a "non-employee director" as defined in Rule 16b-3 promulgated under the Exchange Act and is an "outside director" as that term is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47"/>
          </w:cols>
          <w:pgMar w:left="233" w:top="132" w:right="419" w:bottom="1440" w:gutter="0" w:footer="0" w:header="0"/>
        </w:sectPr>
      </w:pPr>
    </w:p>
    <w:bookmarkStart w:id="187" w:name="page188"/>
    <w:bookmarkEnd w:id="187"/>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Nominating and corporate governance committee</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210" w:lineRule="exact"/>
        <w:rPr>
          <w:sz w:val="20"/>
          <w:szCs w:val="20"/>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identifying individuals qualified to become board members;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recommending to our board of directors the persons to be nominated for election as directors and to each board committee;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management succession planning;</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developing and recommending to our board of directors corporate governance principles;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overseeing an annual evaluation of our board of directors.</w:t>
      </w:r>
    </w:p>
    <w:p>
      <w:pPr>
        <w:spacing w:after="0" w:line="198" w:lineRule="exact"/>
        <w:rPr>
          <w:sz w:val="20"/>
          <w:szCs w:val="20"/>
          <w:color w:val="auto"/>
        </w:rPr>
      </w:pPr>
    </w:p>
    <w:p>
      <w:pPr>
        <w:ind w:left="7" w:right="20"/>
        <w:spacing w:after="0" w:line="261" w:lineRule="auto"/>
        <w:rPr>
          <w:sz w:val="20"/>
          <w:szCs w:val="20"/>
          <w:color w:val="auto"/>
        </w:rPr>
      </w:pPr>
      <w:r>
        <w:rPr>
          <w:rFonts w:ascii="Arial" w:cs="Arial" w:eastAsia="Arial" w:hAnsi="Arial"/>
          <w:sz w:val="15"/>
          <w:szCs w:val="15"/>
          <w:color w:val="auto"/>
        </w:rPr>
        <w:t>Effective upon the effectiveness of the registration statement of which this prospectus forms a part, the members of our nominating and corporate governance committee will be Omid Farokhzad, Amir Nashat and Timothy Springer. Amir Nashat will serve as the chairperson of the committee. Our board of directors has determined that Amir Nashat and Timothy Springer are independent under the applicable NASDAQ rules and regulations. Under the applicable NASDAQ rules, we are permitted to phase-in our compliance with the independent nominating and corporate governance committee requirements of NASDAQ as follows: (1) one independent member at the time of listing, (2) a majority of independent members within 90 days of listing and (3) all independent members within one year of listing. Within one year of our listing on The NASDAQ Global Market, we expect that Dr. Farokhzad will have resigned from our nominating and corporate governance committee and that any new director added to the nominating and corporate governance committee will be independent under the applicable NASDAQ rules.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No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2015.</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Code of ethics and code of conduct</w:t>
      </w:r>
    </w:p>
    <w:p>
      <w:pPr>
        <w:spacing w:after="0" w:line="195" w:lineRule="exact"/>
        <w:rPr>
          <w:sz w:val="20"/>
          <w:szCs w:val="20"/>
          <w:color w:val="auto"/>
        </w:rPr>
      </w:pPr>
    </w:p>
    <w:p>
      <w:pPr>
        <w:ind w:left="7" w:right="40"/>
        <w:spacing w:after="0" w:line="263" w:lineRule="auto"/>
        <w:rPr>
          <w:sz w:val="20"/>
          <w:szCs w:val="20"/>
          <w:color w:val="auto"/>
        </w:rPr>
      </w:pPr>
      <w:r>
        <w:rPr>
          <w:rFonts w:ascii="Arial" w:cs="Arial" w:eastAsia="Arial" w:hAnsi="Arial"/>
          <w:sz w:val="15"/>
          <w:szCs w:val="15"/>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Upon the closing of this offering, our code of business conduct and ethics will be available under the Corporate Governance section of our website at </w:t>
      </w:r>
      <w:r>
        <w:rPr>
          <w:rFonts w:ascii="Arial" w:cs="Arial" w:eastAsia="Arial" w:hAnsi="Arial"/>
          <w:sz w:val="15"/>
          <w:szCs w:val="15"/>
          <w:i w:val="1"/>
          <w:iCs w:val="1"/>
          <w:color w:val="auto"/>
        </w:rPr>
        <w:t>www.selectabio.com</w:t>
      </w:r>
      <w:r>
        <w:rPr>
          <w:rFonts w:ascii="Arial" w:cs="Arial" w:eastAsia="Arial" w:hAnsi="Arial"/>
          <w:sz w:val="15"/>
          <w:szCs w:val="15"/>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88" w:name="page189"/>
    <w:bookmarkEnd w:id="18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Executive and director compensation</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This section discusses the material components of the executive compensation program offered to our named executive officers identified below. For 2015, our named executive officers were:</w:t>
      </w:r>
    </w:p>
    <w:p>
      <w:pPr>
        <w:spacing w:after="0" w:line="162" w:lineRule="exact"/>
        <w:rPr>
          <w:sz w:val="20"/>
          <w:szCs w:val="20"/>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Werner Cautreels, Ph.D., President and Chief Executive Officer;</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Earl Sands, M.D., Chief Medical Officer;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Takashi Kishimoto, Ph.D., Chief Scientific Officer.</w:t>
      </w:r>
    </w:p>
    <w:p>
      <w:pPr>
        <w:spacing w:after="0" w:line="198"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are an "emerging growth company," within the meaning of the JOBS Act, and have elected to comply with the reduced compensation disclosure requirements available to emerging growth companies under the JOBS Act.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2015 SUMMARY COMPENSATION TABLE</w:t>
      </w:r>
    </w:p>
    <w:p>
      <w:pPr>
        <w:spacing w:after="0" w:line="192"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Non-equity</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All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jc w:val="center"/>
              <w:ind w:right="21"/>
              <w:spacing w:after="0"/>
              <w:rPr>
                <w:sz w:val="20"/>
                <w:szCs w:val="20"/>
                <w:color w:val="auto"/>
              </w:rPr>
            </w:pPr>
            <w:r>
              <w:rPr>
                <w:rFonts w:ascii="Arial" w:cs="Arial" w:eastAsia="Arial" w:hAnsi="Arial"/>
                <w:sz w:val="12"/>
                <w:szCs w:val="12"/>
                <w:b w:val="1"/>
                <w:bCs w:val="1"/>
                <w:color w:val="auto"/>
              </w:rPr>
              <w:t>incentive plan</w:t>
            </w:r>
          </w:p>
        </w:tc>
        <w:tc>
          <w:tcPr>
            <w:tcW w:w="1060" w:type="dxa"/>
            <w:vAlign w:val="bottom"/>
          </w:tcPr>
          <w:p>
            <w:pPr>
              <w:jc w:val="center"/>
              <w:ind w:right="101"/>
              <w:spacing w:after="0"/>
              <w:rPr>
                <w:sz w:val="20"/>
                <w:szCs w:val="20"/>
                <w:color w:val="auto"/>
              </w:rPr>
            </w:pPr>
            <w:r>
              <w:rPr>
                <w:rFonts w:ascii="Arial" w:cs="Arial" w:eastAsia="Arial" w:hAnsi="Arial"/>
                <w:sz w:val="12"/>
                <w:szCs w:val="12"/>
                <w:b w:val="1"/>
                <w:bCs w:val="1"/>
                <w:color w:val="auto"/>
              </w:rPr>
              <w:t>compensation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28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580" w:type="dxa"/>
            <w:vAlign w:val="bottom"/>
          </w:tcPr>
          <w:p>
            <w:pPr>
              <w:jc w:val="right"/>
              <w:ind w:right="81"/>
              <w:spacing w:after="0"/>
              <w:rPr>
                <w:sz w:val="20"/>
                <w:szCs w:val="20"/>
                <w:color w:val="auto"/>
              </w:rPr>
            </w:pPr>
            <w:r>
              <w:rPr>
                <w:rFonts w:ascii="Arial" w:cs="Arial" w:eastAsia="Arial" w:hAnsi="Arial"/>
                <w:sz w:val="12"/>
                <w:szCs w:val="12"/>
                <w:b w:val="1"/>
                <w:bCs w:val="1"/>
                <w:color w:val="auto"/>
              </w:rPr>
              <w:t>Year</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Salary ($)</w:t>
            </w:r>
          </w:p>
        </w:tc>
        <w:tc>
          <w:tcPr>
            <w:tcW w:w="1300" w:type="dxa"/>
            <w:vAlign w:val="bottom"/>
          </w:tcPr>
          <w:p>
            <w:pPr>
              <w:jc w:val="right"/>
              <w:ind w:right="41"/>
              <w:spacing w:after="0"/>
              <w:rPr>
                <w:sz w:val="20"/>
                <w:szCs w:val="20"/>
                <w:color w:val="auto"/>
              </w:rPr>
            </w:pPr>
            <w:r>
              <w:rPr>
                <w:rFonts w:ascii="Arial" w:cs="Arial" w:eastAsia="Arial" w:hAnsi="Arial"/>
                <w:sz w:val="12"/>
                <w:szCs w:val="12"/>
                <w:b w:val="1"/>
                <w:bCs w:val="1"/>
                <w:color w:val="auto"/>
              </w:rPr>
              <w:t>Option awards ($)(1)</w:t>
            </w:r>
          </w:p>
        </w:tc>
        <w:tc>
          <w:tcPr>
            <w:tcW w:w="1440" w:type="dxa"/>
            <w:vAlign w:val="bottom"/>
          </w:tcPr>
          <w:p>
            <w:pPr>
              <w:jc w:val="center"/>
              <w:ind w:right="61"/>
              <w:spacing w:after="0"/>
              <w:rPr>
                <w:sz w:val="20"/>
                <w:szCs w:val="20"/>
                <w:color w:val="auto"/>
              </w:rPr>
            </w:pPr>
            <w:r>
              <w:rPr>
                <w:rFonts w:ascii="Arial" w:cs="Arial" w:eastAsia="Arial" w:hAnsi="Arial"/>
                <w:sz w:val="12"/>
                <w:szCs w:val="12"/>
                <w:b w:val="1"/>
                <w:bCs w:val="1"/>
                <w:color w:val="auto"/>
              </w:rPr>
              <w:t>compensation ($)(2)</w:t>
            </w:r>
          </w:p>
        </w:tc>
        <w:tc>
          <w:tcPr>
            <w:tcW w:w="1060" w:type="dxa"/>
            <w:vAlign w:val="bottom"/>
          </w:tcPr>
          <w:p>
            <w:pPr>
              <w:jc w:val="center"/>
              <w:ind w:right="141"/>
              <w:spacing w:after="0"/>
              <w:rPr>
                <w:sz w:val="20"/>
                <w:szCs w:val="20"/>
                <w:color w:val="auto"/>
              </w:rPr>
            </w:pPr>
            <w:r>
              <w:rPr>
                <w:rFonts w:ascii="Arial" w:cs="Arial" w:eastAsia="Arial" w:hAnsi="Arial"/>
                <w:sz w:val="12"/>
                <w:szCs w:val="12"/>
                <w:b w:val="1"/>
                <w:bCs w:val="1"/>
                <w:color w:val="auto"/>
              </w:rPr>
              <w:t>($)(3)</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Total</w:t>
            </w: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58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2015</w:t>
            </w:r>
          </w:p>
        </w:tc>
        <w:tc>
          <w:tcPr>
            <w:tcW w:w="84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400,000</w:t>
            </w:r>
          </w:p>
        </w:tc>
        <w:tc>
          <w:tcPr>
            <w:tcW w:w="1300" w:type="dxa"/>
            <w:vAlign w:val="bottom"/>
            <w:tcBorders>
              <w:top w:val="single" w:sz="8" w:color="auto"/>
            </w:tcBorders>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568,798</w:t>
            </w:r>
          </w:p>
        </w:tc>
        <w:tc>
          <w:tcPr>
            <w:tcW w:w="1440" w:type="dxa"/>
            <w:vAlign w:val="bottom"/>
            <w:tcBorders>
              <w:top w:val="single" w:sz="8" w:color="auto"/>
            </w:tcBorders>
            <w:shd w:val="clear" w:color="auto" w:fill="CCEEFF"/>
          </w:tcPr>
          <w:p>
            <w:pPr>
              <w:jc w:val="right"/>
              <w:ind w:right="81"/>
              <w:spacing w:after="0" w:line="119" w:lineRule="exact"/>
              <w:rPr>
                <w:sz w:val="20"/>
                <w:szCs w:val="20"/>
                <w:color w:val="auto"/>
              </w:rPr>
            </w:pPr>
            <w:r>
              <w:rPr>
                <w:rFonts w:ascii="Arial" w:cs="Arial" w:eastAsia="Arial" w:hAnsi="Arial"/>
                <w:sz w:val="12"/>
                <w:szCs w:val="12"/>
                <w:color w:val="auto"/>
              </w:rPr>
              <w:t>130,000</w:t>
            </w:r>
          </w:p>
        </w:tc>
        <w:tc>
          <w:tcPr>
            <w:tcW w:w="1060" w:type="dxa"/>
            <w:vAlign w:val="bottom"/>
            <w:tcBorders>
              <w:top w:val="single" w:sz="8" w:color="auto"/>
            </w:tcBorders>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1,098,798</w:t>
            </w:r>
          </w:p>
        </w:tc>
        <w:tc>
          <w:tcPr>
            <w:tcW w:w="140" w:type="dxa"/>
            <w:vAlign w:val="bottom"/>
            <w:shd w:val="clear" w:color="auto" w:fill="CCEEFF"/>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President and Chief Executive</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447,545</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374,504</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140,000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38,130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1,000,179</w:t>
            </w:r>
          </w:p>
        </w:tc>
        <w:tc>
          <w:tcPr>
            <w:tcW w:w="14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rPr>
              <w:t>Officer</w:t>
            </w: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269"/>
        </w:trPr>
        <w:tc>
          <w:tcPr>
            <w:tcW w:w="328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tcPr>
          <w:p>
            <w:pPr>
              <w:ind w:left="320"/>
              <w:spacing w:after="0"/>
              <w:rPr>
                <w:sz w:val="20"/>
                <w:szCs w:val="20"/>
                <w:color w:val="auto"/>
              </w:rPr>
            </w:pPr>
            <w:r>
              <w:rPr>
                <w:rFonts w:ascii="Arial" w:cs="Arial" w:eastAsia="Arial" w:hAnsi="Arial"/>
                <w:sz w:val="12"/>
                <w:szCs w:val="12"/>
                <w:color w:val="auto"/>
                <w:w w:val="86"/>
              </w:rPr>
              <w:t>143,231(4)</w:t>
            </w:r>
          </w:p>
        </w:tc>
        <w:tc>
          <w:tcPr>
            <w:tcW w:w="1300" w:type="dxa"/>
            <w:vAlign w:val="bottom"/>
          </w:tcPr>
          <w:p>
            <w:pPr>
              <w:jc w:val="right"/>
              <w:ind w:right="21"/>
              <w:spacing w:after="0"/>
              <w:rPr>
                <w:sz w:val="20"/>
                <w:szCs w:val="20"/>
                <w:color w:val="auto"/>
              </w:rPr>
            </w:pPr>
            <w:r>
              <w:rPr>
                <w:rFonts w:ascii="Arial" w:cs="Arial" w:eastAsia="Arial" w:hAnsi="Arial"/>
                <w:sz w:val="12"/>
                <w:szCs w:val="12"/>
                <w:color w:val="auto"/>
              </w:rPr>
              <w:t>388,147</w:t>
            </w:r>
          </w:p>
        </w:tc>
        <w:tc>
          <w:tcPr>
            <w:tcW w:w="1440" w:type="dxa"/>
            <w:vAlign w:val="bottom"/>
          </w:tcPr>
          <w:p>
            <w:pPr>
              <w:jc w:val="right"/>
              <w:spacing w:after="0"/>
              <w:rPr>
                <w:sz w:val="20"/>
                <w:szCs w:val="20"/>
                <w:color w:val="auto"/>
              </w:rPr>
            </w:pPr>
            <w:r>
              <w:rPr>
                <w:rFonts w:ascii="Arial" w:cs="Arial" w:eastAsia="Arial" w:hAnsi="Arial"/>
                <w:sz w:val="12"/>
                <w:szCs w:val="12"/>
                <w:color w:val="auto"/>
              </w:rPr>
              <w:t>40,000(4)</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22,847</w:t>
            </w:r>
          </w:p>
        </w:tc>
        <w:tc>
          <w:tcPr>
            <w:tcW w:w="620" w:type="dxa"/>
            <w:vAlign w:val="bottom"/>
          </w:tcPr>
          <w:p>
            <w:pPr>
              <w:jc w:val="right"/>
              <w:spacing w:after="0"/>
              <w:rPr>
                <w:sz w:val="20"/>
                <w:szCs w:val="20"/>
                <w:color w:val="auto"/>
              </w:rPr>
            </w:pPr>
            <w:r>
              <w:rPr>
                <w:rFonts w:ascii="Arial" w:cs="Arial" w:eastAsia="Arial" w:hAnsi="Arial"/>
                <w:sz w:val="12"/>
                <w:szCs w:val="12"/>
                <w:color w:val="auto"/>
              </w:rPr>
              <w:t>594,225</w:t>
            </w:r>
          </w:p>
        </w:tc>
        <w:tc>
          <w:tcPr>
            <w:tcW w:w="14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3260" w:type="dxa"/>
            <w:vAlign w:val="bottom"/>
            <w:gridSpan w:val="2"/>
          </w:tcPr>
          <w:p>
            <w:pPr>
              <w:ind w:left="100"/>
              <w:spacing w:after="0" w:line="137" w:lineRule="exact"/>
              <w:rPr>
                <w:sz w:val="20"/>
                <w:szCs w:val="20"/>
                <w:color w:val="auto"/>
              </w:rPr>
            </w:pPr>
            <w:r>
              <w:rPr>
                <w:rFonts w:ascii="Arial" w:cs="Arial" w:eastAsia="Arial" w:hAnsi="Arial"/>
                <w:sz w:val="12"/>
                <w:szCs w:val="12"/>
                <w:color w:val="auto"/>
              </w:rPr>
              <w:t>Chief Medical Officer</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8"/>
        </w:trPr>
        <w:tc>
          <w:tcPr>
            <w:tcW w:w="20" w:type="dxa"/>
            <w:vAlign w:val="bottom"/>
          </w:tcPr>
          <w:p>
            <w:pPr>
              <w:spacing w:after="0"/>
              <w:rPr>
                <w:sz w:val="24"/>
                <w:szCs w:val="24"/>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2015</w:t>
            </w:r>
          </w:p>
        </w:tc>
        <w:tc>
          <w:tcPr>
            <w:tcW w:w="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290,000</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92,266</w:t>
            </w:r>
          </w:p>
        </w:tc>
        <w:tc>
          <w:tcPr>
            <w:tcW w:w="14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85,000</w:t>
            </w:r>
          </w:p>
        </w:tc>
        <w:tc>
          <w:tcPr>
            <w:tcW w:w="10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470,666</w:t>
            </w:r>
          </w:p>
        </w:tc>
        <w:tc>
          <w:tcPr>
            <w:tcW w:w="140" w:type="dxa"/>
            <w:vAlign w:val="bottom"/>
            <w:shd w:val="clear" w:color="auto" w:fill="CCEEFF"/>
          </w:tcPr>
          <w:p>
            <w:pPr>
              <w:spacing w:after="0"/>
              <w:rPr>
                <w:sz w:val="24"/>
                <w:szCs w:val="24"/>
                <w:color w:val="auto"/>
              </w:rPr>
            </w:pPr>
          </w:p>
        </w:tc>
      </w:tr>
      <w:tr>
        <w:trPr>
          <w:trHeight w:val="127"/>
        </w:trPr>
        <w:tc>
          <w:tcPr>
            <w:tcW w:w="20" w:type="dxa"/>
            <w:vAlign w:val="bottom"/>
          </w:tcPr>
          <w:p>
            <w:pPr>
              <w:spacing w:after="0"/>
              <w:rPr>
                <w:sz w:val="11"/>
                <w:szCs w:val="11"/>
                <w:color w:val="auto"/>
              </w:rPr>
            </w:pPr>
          </w:p>
        </w:tc>
        <w:tc>
          <w:tcPr>
            <w:tcW w:w="3260" w:type="dxa"/>
            <w:vAlign w:val="bottom"/>
            <w:gridSpan w:val="2"/>
            <w:shd w:val="clear" w:color="auto" w:fill="CCEEFF"/>
          </w:tcPr>
          <w:p>
            <w:pPr>
              <w:ind w:left="100"/>
              <w:spacing w:after="0" w:line="128" w:lineRule="exact"/>
              <w:rPr>
                <w:sz w:val="20"/>
                <w:szCs w:val="20"/>
                <w:color w:val="auto"/>
              </w:rPr>
            </w:pPr>
            <w:r>
              <w:rPr>
                <w:rFonts w:ascii="Arial" w:cs="Arial" w:eastAsia="Arial" w:hAnsi="Arial"/>
                <w:sz w:val="12"/>
                <w:szCs w:val="12"/>
                <w:color w:val="auto"/>
              </w:rPr>
              <w:t>Chief Scientific Officer</w:t>
            </w:r>
          </w:p>
        </w:tc>
        <w:tc>
          <w:tcPr>
            <w:tcW w:w="58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2014</w:t>
            </w:r>
          </w:p>
        </w:tc>
        <w:tc>
          <w:tcPr>
            <w:tcW w:w="84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275,000</w:t>
            </w:r>
          </w:p>
        </w:tc>
        <w:tc>
          <w:tcPr>
            <w:tcW w:w="130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90,101</w:t>
            </w:r>
          </w:p>
        </w:tc>
        <w:tc>
          <w:tcPr>
            <w:tcW w:w="1440" w:type="dxa"/>
            <w:vAlign w:val="bottom"/>
            <w:shd w:val="clear" w:color="auto" w:fill="CCEEFF"/>
          </w:tcPr>
          <w:p>
            <w:pPr>
              <w:jc w:val="right"/>
              <w:ind w:right="81"/>
              <w:spacing w:after="0" w:line="128" w:lineRule="exact"/>
              <w:rPr>
                <w:sz w:val="20"/>
                <w:szCs w:val="20"/>
                <w:color w:val="auto"/>
              </w:rPr>
            </w:pPr>
            <w:r>
              <w:rPr>
                <w:rFonts w:ascii="Arial" w:cs="Arial" w:eastAsia="Arial" w:hAnsi="Arial"/>
                <w:sz w:val="12"/>
                <w:szCs w:val="12"/>
                <w:color w:val="auto"/>
              </w:rPr>
              <w:t>80,000</w:t>
            </w:r>
          </w:p>
        </w:tc>
        <w:tc>
          <w:tcPr>
            <w:tcW w:w="1060" w:type="dxa"/>
            <w:vAlign w:val="bottom"/>
            <w:shd w:val="clear" w:color="auto" w:fill="CCEEFF"/>
          </w:tcPr>
          <w:p>
            <w:pPr>
              <w:jc w:val="right"/>
              <w:ind w:right="101"/>
              <w:spacing w:after="0" w:line="128" w:lineRule="exact"/>
              <w:rPr>
                <w:sz w:val="20"/>
                <w:szCs w:val="20"/>
                <w:color w:val="auto"/>
              </w:rPr>
            </w:pPr>
            <w:r>
              <w:rPr>
                <w:rFonts w:ascii="Arial" w:cs="Arial" w:eastAsia="Arial" w:hAnsi="Arial"/>
                <w:sz w:val="12"/>
                <w:szCs w:val="12"/>
                <w:color w:val="auto"/>
              </w:rPr>
              <w:t>3,400</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448,501</w:t>
            </w:r>
          </w:p>
        </w:tc>
        <w:tc>
          <w:tcPr>
            <w:tcW w:w="140" w:type="dxa"/>
            <w:vAlign w:val="bottom"/>
            <w:shd w:val="clear" w:color="auto" w:fill="CCEEFF"/>
          </w:tcPr>
          <w:p>
            <w:pPr>
              <w:spacing w:after="0"/>
              <w:rPr>
                <w:sz w:val="11"/>
                <w:szCs w:val="1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65" w:lineRule="exact"/>
        <w:rPr>
          <w:sz w:val="20"/>
          <w:szCs w:val="20"/>
          <w:color w:val="auto"/>
        </w:rPr>
      </w:pPr>
    </w:p>
    <w:p>
      <w:pPr>
        <w:ind w:left="1607" w:right="200" w:hanging="463"/>
        <w:spacing w:after="0" w:line="238" w:lineRule="auto"/>
        <w:tabs>
          <w:tab w:leader="none" w:pos="160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Represents the aggregate grant date fair value of stock options computed in accordance with ASC Topic 718, excluding the effect of estimated forfeitures. For a description of the assumptions used in valuing these awards, see Note 11 to our audited financial statements included elsewhere in this prospectus.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Represents amounts earned under our annual performance based bonus program. For additional information, see "Performance Bonuses" below.</w:t>
      </w:r>
    </w:p>
    <w:p>
      <w:pPr>
        <w:spacing w:after="0" w:line="105" w:lineRule="exact"/>
        <w:rPr>
          <w:rFonts w:ascii="Arial" w:cs="Arial" w:eastAsia="Arial" w:hAnsi="Arial"/>
          <w:sz w:val="12"/>
          <w:szCs w:val="12"/>
          <w:color w:val="auto"/>
        </w:rPr>
      </w:pPr>
    </w:p>
    <w:p>
      <w:pPr>
        <w:ind w:left="1607" w:hanging="463"/>
        <w:spacing w:after="0" w:line="238" w:lineRule="auto"/>
        <w:tabs>
          <w:tab w:leader="none" w:pos="160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For Dr. Kishimoto, the 2015 amount represents our company's matching contributions to 401(k) plan accounts. For Dr. Sands, the amount represents $3,400 in our company's matching contributions to his 401(k) plan account and $19,447 in reimbursements for expenses incurred in 2015 for travel between his home in Georgia and our offices in Massachusetts.</w:t>
      </w:r>
    </w:p>
    <w:p>
      <w:pPr>
        <w:spacing w:after="0" w:line="96" w:lineRule="exact"/>
        <w:rPr>
          <w:rFonts w:ascii="Arial" w:cs="Arial" w:eastAsia="Arial" w:hAnsi="Arial"/>
          <w:sz w:val="12"/>
          <w:szCs w:val="12"/>
          <w:color w:val="auto"/>
        </w:rPr>
      </w:pPr>
    </w:p>
    <w:p>
      <w:pPr>
        <w:ind w:left="1607" w:hanging="463"/>
        <w:spacing w:after="0"/>
        <w:tabs>
          <w:tab w:leader="none" w:pos="160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Dr. Sands commenced employment with us in July 2015 and amounts shown reflect his partial year of employment with our company.</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NARRATIVE DISCLOSURE TO SUMMARY COMPENSATION TABLE</w:t>
      </w:r>
    </w:p>
    <w:p>
      <w:pPr>
        <w:spacing w:after="0" w:line="195" w:lineRule="exact"/>
        <w:rPr>
          <w:sz w:val="20"/>
          <w:szCs w:val="20"/>
          <w:color w:val="auto"/>
        </w:rPr>
      </w:pPr>
    </w:p>
    <w:p>
      <w:pPr>
        <w:ind w:left="7" w:right="60"/>
        <w:spacing w:after="0" w:line="282" w:lineRule="auto"/>
        <w:rPr>
          <w:sz w:val="20"/>
          <w:szCs w:val="20"/>
          <w:color w:val="auto"/>
        </w:rPr>
      </w:pPr>
      <w:r>
        <w:rPr>
          <w:rFonts w:ascii="Arial" w:cs="Arial" w:eastAsia="Arial" w:hAnsi="Arial"/>
          <w:sz w:val="15"/>
          <w:szCs w:val="15"/>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Base salaries</w:t>
      </w:r>
    </w:p>
    <w:p>
      <w:pPr>
        <w:spacing w:after="0" w:line="195" w:lineRule="exact"/>
        <w:rPr>
          <w:sz w:val="20"/>
          <w:szCs w:val="20"/>
          <w:color w:val="auto"/>
        </w:rPr>
      </w:pPr>
    </w:p>
    <w:p>
      <w:pPr>
        <w:ind w:left="7" w:right="200"/>
        <w:spacing w:after="0" w:line="270" w:lineRule="auto"/>
        <w:rPr>
          <w:sz w:val="20"/>
          <w:szCs w:val="20"/>
          <w:color w:val="auto"/>
        </w:rPr>
      </w:pPr>
      <w:r>
        <w:rPr>
          <w:rFonts w:ascii="Arial" w:cs="Arial" w:eastAsia="Arial" w:hAnsi="Arial"/>
          <w:sz w:val="15"/>
          <w:szCs w:val="15"/>
          <w:color w:val="auto"/>
        </w:rPr>
        <w:t>We pay our named executive officers a base salary to compensate them for the satisfactory performance of services rendered to our company. The base salary payable to each named executive officer is intended to provide a fixed component of compensation reflecting the executive's skill set, experience, role and responsibilities. Base salaries for our named executive officers have generally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32" w:right="27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set at levels deemed necessary to attract and retain individuals with superior talent and were originally established in each named executive officer's employment agreement.</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In early 2015, the compensation committee of our board of directors, or the Compensation Committee, approved an increase in Dr. Kishimoto's annual base salary from $275,000 to</w:t>
      </w:r>
    </w:p>
    <w:p>
      <w:pPr>
        <w:spacing w:after="0" w:line="29" w:lineRule="exact"/>
        <w:rPr>
          <w:sz w:val="20"/>
          <w:szCs w:val="20"/>
          <w:color w:val="auto"/>
        </w:rPr>
      </w:pPr>
    </w:p>
    <w:p>
      <w:pPr>
        <w:ind w:right="120"/>
        <w:spacing w:after="0" w:line="275" w:lineRule="auto"/>
        <w:rPr>
          <w:sz w:val="20"/>
          <w:szCs w:val="20"/>
          <w:color w:val="auto"/>
        </w:rPr>
      </w:pPr>
      <w:r>
        <w:rPr>
          <w:rFonts w:ascii="Arial" w:cs="Arial" w:eastAsia="Arial" w:hAnsi="Arial"/>
          <w:sz w:val="15"/>
          <w:szCs w:val="15"/>
          <w:color w:val="auto"/>
        </w:rPr>
        <w:t>$290,000, effective January 1, 2015. Dr. Sands commenced employment with us in July 2015 and, pursuant to the terms of his employment agreement, was entitled to an initial annual base salary of $280,000. Dr. Cautreels did not receive a base salary increase in 2015.</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base salaries for 2015 were $400,000 for Dr. Cautreels, $280,000 for Dr. Sands and $290,000 for Dr. Kishimoto.</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In early 2016, our board of directors approved increases in the annual base salaries of our named executive officers. Following this increase, Dr. Cautreel's annual base salary is $425,000, Dr. Sands' annual base salary is $300,000 and Dr. Kishimoto's annual base salary is $315,000.</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Performance bonuses</w:t>
      </w:r>
    </w:p>
    <w:p>
      <w:pPr>
        <w:spacing w:after="0" w:line="195"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The 2015 target bonus percentage for our named executive officers was 25% of their respective base salaries. Dr. Sands' 2015 cash bonus was pro-rated for his partial year of employment with our company.</w:t>
      </w:r>
    </w:p>
    <w:p>
      <w:pPr>
        <w:spacing w:after="0" w:line="159" w:lineRule="exact"/>
        <w:rPr>
          <w:sz w:val="20"/>
          <w:szCs w:val="20"/>
          <w:color w:val="auto"/>
        </w:rPr>
      </w:pPr>
    </w:p>
    <w:p>
      <w:pPr>
        <w:ind w:right="300"/>
        <w:spacing w:after="0" w:line="330" w:lineRule="auto"/>
        <w:rPr>
          <w:sz w:val="20"/>
          <w:szCs w:val="20"/>
          <w:color w:val="auto"/>
        </w:rPr>
      </w:pPr>
      <w:r>
        <w:rPr>
          <w:rFonts w:ascii="Arial" w:cs="Arial" w:eastAsia="Arial" w:hAnsi="Arial"/>
          <w:sz w:val="13"/>
          <w:szCs w:val="13"/>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2015 company performance goals were based on attaining financing and business development milestones and the expansion of our business portfolio.</w:t>
      </w:r>
    </w:p>
    <w:p>
      <w:pPr>
        <w:spacing w:after="0" w:line="12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The actual cash bonuses earned by our named executive officers for 2015 are reported under the "Non-equity incentive award" column of the 2015 and 2014 Summary Compensation Table above.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159"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and generally permit "early exercise" of any unvested portion in exchange for shares of restricted stock subject to the same vesting schedule as the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0" w:name="page191"/>
    <w:bookmarkEnd w:id="19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We granted stock options in the following amounts to our named executive officers during 2015:</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60" w:type="dxa"/>
            <w:vAlign w:val="bottom"/>
            <w:gridSpan w:val="2"/>
          </w:tcPr>
          <w:p>
            <w:pPr>
              <w:jc w:val="center"/>
              <w:ind w:left="3070"/>
              <w:spacing w:after="0"/>
              <w:rPr>
                <w:sz w:val="20"/>
                <w:szCs w:val="20"/>
                <w:color w:val="auto"/>
              </w:rPr>
            </w:pPr>
            <w:r>
              <w:rPr>
                <w:rFonts w:ascii="Arial" w:cs="Arial" w:eastAsia="Arial" w:hAnsi="Arial"/>
                <w:sz w:val="12"/>
                <w:szCs w:val="12"/>
                <w:b w:val="1"/>
                <w:bCs w:val="1"/>
                <w:color w:val="auto"/>
              </w:rPr>
              <w:t>2015 options</w:t>
            </w:r>
          </w:p>
        </w:tc>
      </w:tr>
      <w:tr>
        <w:trPr>
          <w:trHeight w:val="149"/>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Named executive officer</w:t>
            </w:r>
          </w:p>
        </w:tc>
        <w:tc>
          <w:tcPr>
            <w:tcW w:w="4260" w:type="dxa"/>
            <w:vAlign w:val="bottom"/>
            <w:gridSpan w:val="2"/>
          </w:tcPr>
          <w:p>
            <w:pPr>
              <w:jc w:val="center"/>
              <w:ind w:left="3030"/>
              <w:spacing w:after="0"/>
              <w:rPr>
                <w:sz w:val="20"/>
                <w:szCs w:val="20"/>
                <w:color w:val="auto"/>
              </w:rPr>
            </w:pPr>
            <w:r>
              <w:rPr>
                <w:rFonts w:ascii="Arial" w:cs="Arial" w:eastAsia="Arial" w:hAnsi="Arial"/>
                <w:sz w:val="12"/>
                <w:szCs w:val="12"/>
                <w:b w:val="1"/>
                <w:bCs w:val="1"/>
                <w:color w:val="auto"/>
              </w:rPr>
              <w:t>granted (#)</w:t>
            </w:r>
          </w:p>
        </w:tc>
      </w:tr>
      <w:tr>
        <w:trPr>
          <w:trHeight w:val="177"/>
        </w:trPr>
        <w:tc>
          <w:tcPr>
            <w:tcW w:w="20" w:type="dxa"/>
            <w:vAlign w:val="bottom"/>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Werner Cautreels, Ph.D.</w:t>
            </w:r>
          </w:p>
        </w:tc>
        <w:tc>
          <w:tcPr>
            <w:tcW w:w="4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123,076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Earl Sands, M.D.</w:t>
            </w:r>
          </w:p>
        </w:tc>
        <w:tc>
          <w:tcPr>
            <w:tcW w:w="4120" w:type="dxa"/>
            <w:vAlign w:val="bottom"/>
          </w:tcPr>
          <w:p>
            <w:pPr>
              <w:jc w:val="right"/>
              <w:spacing w:after="0"/>
              <w:rPr>
                <w:sz w:val="20"/>
                <w:szCs w:val="20"/>
                <w:color w:val="auto"/>
              </w:rPr>
            </w:pPr>
            <w:r>
              <w:rPr>
                <w:rFonts w:ascii="Arial" w:cs="Arial" w:eastAsia="Arial" w:hAnsi="Arial"/>
                <w:sz w:val="15"/>
                <w:szCs w:val="15"/>
                <w:color w:val="auto"/>
              </w:rPr>
              <w:t>102,564</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Takashi Kishimoto, Ph.D.</w:t>
            </w:r>
          </w:p>
        </w:tc>
        <w:tc>
          <w:tcPr>
            <w:tcW w:w="4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220"/>
        <w:spacing w:after="0" w:line="319" w:lineRule="auto"/>
        <w:rPr>
          <w:sz w:val="20"/>
          <w:szCs w:val="20"/>
          <w:color w:val="auto"/>
        </w:rPr>
      </w:pPr>
      <w:r>
        <w:rPr>
          <w:rFonts w:ascii="Arial" w:cs="Arial" w:eastAsia="Arial" w:hAnsi="Arial"/>
          <w:sz w:val="14"/>
          <w:szCs w:val="14"/>
          <w:color w:val="auto"/>
        </w:rPr>
        <w:t>These options were granted under our 2008 Equity Incentive Plan, or the 2008 Plan, with exercise prices equal to the fair market value on the date of grant, as determined by our board of directors, and are subject to our standard vesting schedule described above, except in the case of Dr. Cautreels' option, which vests in 48 equal monthly installments.</w:t>
      </w:r>
    </w:p>
    <w:p>
      <w:pPr>
        <w:spacing w:after="0" w:line="12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In connection with this offering, we adopted a 2016 Incentive Award Plan, or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will not make any further grants under our 2008 Plan. However, the 2008 Plan will continue to govern the terms and conditions of the outstanding awards granted under it. For additional information about the 2016 Plan, please see the section titled "2016 Incentive Award Plan" below.</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health, welfare and additional benefits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 Dr. Sands is entitled to be reimbursed up to $6,100 per month for expenses incurred for lodging and travel between his home in Georgia and our offices in Massachusetts while performing duties for us.</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2015 FISCAL YEAR-END</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00" w:type="dxa"/>
            <w:vAlign w:val="bottom"/>
            <w:gridSpan w:val="2"/>
          </w:tcPr>
          <w:p>
            <w:pPr>
              <w:ind w:left="840"/>
              <w:spacing w:after="0"/>
              <w:rPr>
                <w:sz w:val="20"/>
                <w:szCs w:val="20"/>
                <w:color w:val="auto"/>
              </w:rPr>
            </w:pPr>
            <w:r>
              <w:rPr>
                <w:rFonts w:ascii="Arial" w:cs="Arial" w:eastAsia="Arial" w:hAnsi="Arial"/>
                <w:sz w:val="12"/>
                <w:szCs w:val="12"/>
                <w:b w:val="1"/>
                <w:bCs w:val="1"/>
                <w:color w:val="auto"/>
              </w:rPr>
              <w:t>Option awards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rPr>
              <w:t>Number of</w:t>
            </w:r>
          </w:p>
        </w:tc>
        <w:tc>
          <w:tcPr>
            <w:tcW w:w="960" w:type="dxa"/>
            <w:vAlign w:val="bottom"/>
            <w:tcBorders>
              <w:top w:val="single" w:sz="8" w:color="auto"/>
            </w:tcBorders>
          </w:tcPr>
          <w:p>
            <w:pPr>
              <w:jc w:val="center"/>
              <w:ind w:right="1"/>
              <w:spacing w:after="0" w:line="121"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w w:val="99"/>
              </w:rPr>
              <w:t>securities</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Number of</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Vesting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unexercised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Option</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that have</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that have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commencement</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options (#)</w:t>
            </w:r>
          </w:p>
        </w:tc>
        <w:tc>
          <w:tcPr>
            <w:tcW w:w="960" w:type="dxa"/>
            <w:vAlign w:val="bottom"/>
          </w:tcPr>
          <w:p>
            <w:pPr>
              <w:jc w:val="center"/>
              <w:ind w:right="21"/>
              <w:spacing w:after="0"/>
              <w:rPr>
                <w:sz w:val="20"/>
                <w:szCs w:val="20"/>
                <w:color w:val="auto"/>
              </w:rPr>
            </w:pPr>
            <w:r>
              <w:rPr>
                <w:rFonts w:ascii="Arial" w:cs="Arial" w:eastAsia="Arial" w:hAnsi="Arial"/>
                <w:sz w:val="12"/>
                <w:szCs w:val="12"/>
                <w:b w:val="1"/>
                <w:bCs w:val="1"/>
                <w:color w:val="auto"/>
              </w:rPr>
              <w:t>options (#)</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740" w:type="dxa"/>
            <w:vAlign w:val="bottom"/>
          </w:tcPr>
          <w:p>
            <w:pPr>
              <w:jc w:val="center"/>
              <w:ind w:left="1"/>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2"/>
                <w:szCs w:val="12"/>
                <w:color w:val="auto"/>
              </w:rPr>
            </w:pPr>
          </w:p>
        </w:tc>
        <w:tc>
          <w:tcPr>
            <w:tcW w:w="820" w:type="dxa"/>
            <w:vAlign w:val="bottom"/>
          </w:tcPr>
          <w:p>
            <w:pPr>
              <w:jc w:val="center"/>
              <w:ind w:right="101"/>
              <w:spacing w:after="0"/>
              <w:rPr>
                <w:sz w:val="20"/>
                <w:szCs w:val="20"/>
                <w:color w:val="auto"/>
              </w:rPr>
            </w:pPr>
            <w:r>
              <w:rPr>
                <w:rFonts w:ascii="Arial" w:cs="Arial" w:eastAsia="Arial" w:hAnsi="Arial"/>
                <w:sz w:val="12"/>
                <w:szCs w:val="12"/>
                <w:b w:val="1"/>
                <w:bCs w:val="1"/>
                <w:color w:val="auto"/>
              </w:rPr>
              <w:t>not vested</w:t>
            </w: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not vested</w:t>
            </w:r>
          </w:p>
        </w:tc>
        <w:tc>
          <w:tcPr>
            <w:tcW w:w="0" w:type="dxa"/>
            <w:vAlign w:val="bottom"/>
          </w:tcPr>
          <w:p>
            <w:pPr>
              <w:spacing w:after="0"/>
              <w:rPr>
                <w:sz w:val="1"/>
                <w:szCs w:val="1"/>
                <w:color w:val="auto"/>
              </w:rPr>
            </w:pPr>
          </w:p>
        </w:tc>
      </w:tr>
      <w:tr>
        <w:trPr>
          <w:trHeight w:val="149"/>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exercisable(1)</w:t>
            </w:r>
          </w:p>
        </w:tc>
        <w:tc>
          <w:tcPr>
            <w:tcW w:w="960" w:type="dxa"/>
            <w:vAlign w:val="bottom"/>
          </w:tcPr>
          <w:p>
            <w:pPr>
              <w:jc w:val="center"/>
              <w:ind w:right="41"/>
              <w:spacing w:after="0"/>
              <w:rPr>
                <w:sz w:val="20"/>
                <w:szCs w:val="20"/>
                <w:color w:val="auto"/>
              </w:rPr>
            </w:pPr>
            <w:r>
              <w:rPr>
                <w:rFonts w:ascii="Arial" w:cs="Arial" w:eastAsia="Arial" w:hAnsi="Arial"/>
                <w:sz w:val="12"/>
                <w:szCs w:val="12"/>
                <w:b w:val="1"/>
                <w:bCs w:val="1"/>
                <w:color w:val="auto"/>
              </w:rPr>
              <w:t>unexercisable</w:t>
            </w:r>
          </w:p>
        </w:tc>
        <w:tc>
          <w:tcPr>
            <w:tcW w:w="700" w:type="dxa"/>
            <w:vAlign w:val="bottom"/>
          </w:tcPr>
          <w:p>
            <w:pPr>
              <w:jc w:val="center"/>
              <w:ind w:right="1"/>
              <w:spacing w:after="0"/>
              <w:rPr>
                <w:sz w:val="20"/>
                <w:szCs w:val="20"/>
                <w:color w:val="auto"/>
              </w:rPr>
            </w:pPr>
            <w:r>
              <w:rPr>
                <w:rFonts w:ascii="Arial" w:cs="Arial" w:eastAsia="Arial" w:hAnsi="Arial"/>
                <w:sz w:val="12"/>
                <w:szCs w:val="12"/>
                <w:b w:val="1"/>
                <w:bCs w:val="1"/>
                <w:color w:val="auto"/>
              </w:rPr>
              <w:t>price ($)</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date</w:t>
            </w:r>
          </w:p>
        </w:tc>
        <w:tc>
          <w:tcPr>
            <w:tcW w:w="960" w:type="dxa"/>
            <w:vAlign w:val="bottom"/>
            <w:gridSpan w:val="2"/>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680" w:type="dxa"/>
            <w:vAlign w:val="bottom"/>
          </w:tcPr>
          <w:p>
            <w:pPr>
              <w:jc w:val="center"/>
              <w:ind w:right="1"/>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780" w:type="dxa"/>
            <w:vAlign w:val="bottom"/>
            <w:gridSpan w:val="2"/>
            <w:shd w:val="clear" w:color="auto" w:fill="CCEEFF"/>
          </w:tcPr>
          <w:p>
            <w:pPr>
              <w:spacing w:after="0" w:line="119" w:lineRule="exact"/>
              <w:rPr>
                <w:sz w:val="20"/>
                <w:szCs w:val="20"/>
                <w:color w:val="auto"/>
              </w:rPr>
            </w:pPr>
            <w:r>
              <w:rPr>
                <w:rFonts w:ascii="Arial" w:cs="Arial" w:eastAsia="Arial" w:hAnsi="Arial"/>
                <w:sz w:val="12"/>
                <w:szCs w:val="12"/>
                <w:color w:val="auto"/>
              </w:rPr>
              <w:t>Werner Cautreels, Ph.D.</w:t>
            </w:r>
          </w:p>
        </w:tc>
        <w:tc>
          <w:tcPr>
            <w:tcW w:w="114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12/4/2015</w:t>
            </w:r>
          </w:p>
        </w:tc>
        <w:tc>
          <w:tcPr>
            <w:tcW w:w="11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123,076(2)</w:t>
            </w:r>
          </w:p>
        </w:tc>
        <w:tc>
          <w:tcPr>
            <w:tcW w:w="960" w:type="dxa"/>
            <w:vAlign w:val="bottom"/>
            <w:shd w:val="clear" w:color="auto" w:fill="CCEEFF"/>
          </w:tcPr>
          <w:p>
            <w:pPr>
              <w:ind w:left="760"/>
              <w:spacing w:after="0" w:line="119"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line="119" w:lineRule="exact"/>
              <w:rPr>
                <w:sz w:val="20"/>
                <w:szCs w:val="20"/>
                <w:color w:val="auto"/>
              </w:rPr>
            </w:pPr>
            <w:r>
              <w:rPr>
                <w:rFonts w:ascii="Arial" w:cs="Arial" w:eastAsia="Arial" w:hAnsi="Arial"/>
                <w:sz w:val="12"/>
                <w:szCs w:val="12"/>
                <w:color w:val="auto"/>
              </w:rPr>
              <w:t>6.40</w:t>
            </w:r>
          </w:p>
        </w:tc>
        <w:tc>
          <w:tcPr>
            <w:tcW w:w="7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12/4/2025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101"/>
              <w:spacing w:after="0" w:line="119"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57,692(3)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16,613(3)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5,895(5)</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1/1/2012</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41,025(4)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3.44</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3/29/2022</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6"/>
        </w:trPr>
        <w:tc>
          <w:tcPr>
            <w:tcW w:w="2800" w:type="dxa"/>
            <w:vAlign w:val="bottom"/>
            <w:gridSpan w:val="3"/>
          </w:tcPr>
          <w:p>
            <w:pPr>
              <w:spacing w:after="0"/>
              <w:rPr>
                <w:sz w:val="20"/>
                <w:szCs w:val="20"/>
                <w:color w:val="auto"/>
              </w:rPr>
            </w:pPr>
            <w:r>
              <w:rPr>
                <w:rFonts w:ascii="Arial" w:cs="Arial" w:eastAsia="Arial" w:hAnsi="Arial"/>
                <w:sz w:val="12"/>
                <w:szCs w:val="12"/>
                <w:color w:val="auto"/>
              </w:rPr>
              <w:t>Earl Sands, M.D.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9/8/2015</w:t>
            </w:r>
          </w:p>
        </w:tc>
        <w:tc>
          <w:tcPr>
            <w:tcW w:w="1140" w:type="dxa"/>
            <w:vAlign w:val="bottom"/>
          </w:tcPr>
          <w:p>
            <w:pPr>
              <w:jc w:val="right"/>
              <w:spacing w:after="0"/>
              <w:rPr>
                <w:sz w:val="20"/>
                <w:szCs w:val="20"/>
                <w:color w:val="auto"/>
              </w:rPr>
            </w:pPr>
            <w:r>
              <w:rPr>
                <w:rFonts w:ascii="Arial" w:cs="Arial" w:eastAsia="Arial" w:hAnsi="Arial"/>
                <w:sz w:val="12"/>
                <w:szCs w:val="12"/>
                <w:color w:val="auto"/>
              </w:rPr>
              <w:t>102,563(3)</w:t>
            </w:r>
          </w:p>
        </w:tc>
        <w:tc>
          <w:tcPr>
            <w:tcW w:w="960" w:type="dxa"/>
            <w:vAlign w:val="bottom"/>
          </w:tcPr>
          <w:p>
            <w:pPr>
              <w:ind w:left="7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tcPr>
          <w:p>
            <w:pPr>
              <w:jc w:val="right"/>
              <w:spacing w:after="0"/>
              <w:rPr>
                <w:sz w:val="20"/>
                <w:szCs w:val="20"/>
                <w:color w:val="auto"/>
              </w:rPr>
            </w:pPr>
            <w:r>
              <w:rPr>
                <w:rFonts w:ascii="Arial" w:cs="Arial" w:eastAsia="Arial" w:hAnsi="Arial"/>
                <w:sz w:val="12"/>
                <w:szCs w:val="12"/>
                <w:color w:val="auto"/>
              </w:rPr>
              <w:t>9/8/2025</w:t>
            </w:r>
          </w:p>
        </w:tc>
        <w:tc>
          <w:tcPr>
            <w:tcW w:w="140" w:type="dxa"/>
            <w:vAlign w:val="bottom"/>
          </w:tcPr>
          <w:p>
            <w:pPr>
              <w:spacing w:after="0"/>
              <w:rPr>
                <w:sz w:val="23"/>
                <w:szCs w:val="23"/>
                <w:color w:val="auto"/>
              </w:rPr>
            </w:pP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Takashi Kishimoto, Ph.D.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1/1/2015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12,819(3)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9.36</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2/21/2025</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8.97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4/7/2024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6,410(3)</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6/13/2023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7/11/2011</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89,743(4)</w:t>
            </w:r>
          </w:p>
        </w:tc>
        <w:tc>
          <w:tcPr>
            <w:tcW w:w="9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2.77</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9/7/2021</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line="333" w:lineRule="auto"/>
        <w:tabs>
          <w:tab w:leader="none" w:pos="160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All stock options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spacing w:after="0" w:line="51" w:lineRule="exact"/>
        <w:rPr>
          <w:rFonts w:ascii="Arial" w:cs="Arial" w:eastAsia="Arial" w:hAnsi="Arial"/>
          <w:sz w:val="10"/>
          <w:szCs w:val="10"/>
          <w:color w:val="auto"/>
        </w:rPr>
      </w:pPr>
    </w:p>
    <w:p>
      <w:pPr>
        <w:ind w:left="1600" w:right="80" w:hanging="463"/>
        <w:spacing w:after="0" w:line="333" w:lineRule="auto"/>
        <w:tabs>
          <w:tab w:leader="none" w:pos="160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The option vests in 48 equal monthly installments, subject to the holder's continued employment with us through the applicable vesting date and potential accelerated vesting in the event of a termination without cause or resignation for good reason within 12 months following a change in control. As of December 31, 2015, all shares underlying the option were unvested.</w:t>
      </w:r>
    </w:p>
    <w:p>
      <w:pPr>
        <w:spacing w:after="0" w:line="51" w:lineRule="exact"/>
        <w:rPr>
          <w:rFonts w:ascii="Arial" w:cs="Arial" w:eastAsia="Arial" w:hAnsi="Arial"/>
          <w:sz w:val="10"/>
          <w:szCs w:val="10"/>
          <w:color w:val="auto"/>
        </w:rPr>
      </w:pPr>
    </w:p>
    <w:p>
      <w:pPr>
        <w:ind w:left="1600" w:right="20" w:hanging="463"/>
        <w:spacing w:after="0" w:line="279" w:lineRule="auto"/>
        <w:tabs>
          <w:tab w:leader="none" w:pos="1600" w:val="left"/>
        </w:tabs>
        <w:numPr>
          <w:ilvl w:val="0"/>
          <w:numId w:val="107"/>
        </w:numPr>
        <w:rPr>
          <w:rFonts w:ascii="Arial" w:cs="Arial" w:eastAsia="Arial" w:hAnsi="Arial"/>
          <w:sz w:val="10"/>
          <w:szCs w:val="10"/>
          <w:color w:val="auto"/>
        </w:rPr>
      </w:pPr>
      <w:r>
        <w:rPr>
          <w:rFonts w:ascii="Arial" w:cs="Arial" w:eastAsia="Arial" w:hAnsi="Arial"/>
          <w:sz w:val="10"/>
          <w:szCs w:val="10"/>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 As of December 31, 2015, (i) for Dr. Cautreels, 30,048 shares underlying the option with a January 1, 2014 vesting commencement date were unvested, and 4,153 shares underlying the option with a January 1, 2013 vesting commencement date were unvested; (ii) for Dr. Sands, 102,564 shares underlying the option with a September 8, 2015 vesting commencement date were unvested; and (iii) for Dr. Kishimoto, 12,819 shares underlying the option with a January 1, 2015 vesting commencement date were unvested, 6,677 shares underlying the option with a January 1, 2014 vesting commencement date were unvested, and 1,736 shares underlying the option with a January 1, 2013 vesting commencement date were unvested.</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All shares underlying the option are fully vested.</w:t>
      </w:r>
    </w:p>
    <w:p>
      <w:pPr>
        <w:spacing w:after="0" w:line="105" w:lineRule="exact"/>
        <w:rPr>
          <w:rFonts w:ascii="Arial" w:cs="Arial" w:eastAsia="Arial" w:hAnsi="Arial"/>
          <w:sz w:val="12"/>
          <w:szCs w:val="12"/>
          <w:color w:val="auto"/>
        </w:rPr>
      </w:pPr>
    </w:p>
    <w:p>
      <w:pPr>
        <w:ind w:left="1600" w:right="60" w:hanging="463"/>
        <w:spacing w:after="0" w:line="233" w:lineRule="auto"/>
        <w:tabs>
          <w:tab w:leader="none" w:pos="160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Represents shares of restricted stock obtained upon early exercise of an option on November 30, 2013. The shares vest as to 25% of the total shares on the one year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employment agreements with each of our named executive officers. Certain key terms of these agreements and letters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 Cautreels, Dr. Kishimoto and Dr. Sands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We entered into an employment agreement with Dr. Cautreels in July 2010, with Dr. Kishimoto in June 2011 and with Dr. Sands in July 2015. The employment agreements are for unspecified terms and entitle Dr. Cautreels, Dr. Kishimoto and Dr. Sands to annual target bonus opportunities of 25% of their respective annual base salaries. Their current base salaries are discussed in more detail above in the section titled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2" w:name="page193"/>
    <w:bookmarkEnd w:id="19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right="20"/>
        <w:spacing w:after="0" w:line="300" w:lineRule="auto"/>
        <w:rPr>
          <w:sz w:val="20"/>
          <w:szCs w:val="20"/>
          <w:color w:val="auto"/>
        </w:rPr>
      </w:pPr>
      <w:r>
        <w:rPr>
          <w:rFonts w:ascii="Arial" w:cs="Arial" w:eastAsia="Arial" w:hAnsi="Arial"/>
          <w:sz w:val="13"/>
          <w:szCs w:val="13"/>
          <w:color w:val="auto"/>
        </w:rPr>
        <w:t>In the event either of Dr. Cautreels, Dr. Kishimoto or Dr. Sands is terminated by us without "cause" or he resigns for "good reason," subject to his timely executing a release of claims in our favor, he is entitled to receive base salary continuation for a period of 9 months for Dr. Cautreels or 6 months for Dr. Kishimoto and Dr. Sands, payment of all bonuses earned but unpaid as of the date of termination and continued health coverage for a period of 9 months for Dr. Cautreels or 6 months for Dr. Kishimoto and Dr. Sands. If, however, any of Dr. Cautreels,</w:t>
      </w:r>
    </w:p>
    <w:p>
      <w:pPr>
        <w:jc w:val="both"/>
        <w:spacing w:after="0" w:line="266" w:lineRule="auto"/>
        <w:rPr>
          <w:sz w:val="20"/>
          <w:szCs w:val="20"/>
          <w:color w:val="auto"/>
        </w:rPr>
      </w:pPr>
      <w:r>
        <w:rPr>
          <w:rFonts w:ascii="Arial" w:cs="Arial" w:eastAsia="Arial" w:hAnsi="Arial"/>
          <w:sz w:val="15"/>
          <w:szCs w:val="15"/>
          <w:color w:val="auto"/>
        </w:rPr>
        <w:t>Dr. Kishimoto or Dr. Sands begins a subsequent consulting or employment arrangement during the period in which he is otherwise entitled to receive these payments and benefits, then any cash compensation paid to him in connection with the subsequent arrangement will be credited towards any severance amounts owed by us and we will not be required to provide or pay for any benefits that are provided to him through the subsequent arrangement.</w:t>
      </w:r>
    </w:p>
    <w:p>
      <w:pPr>
        <w:spacing w:after="0" w:line="163"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employment agreements contain restrictive covenants pursuant to which each of Dr. Cautreels, Dr. Kishimoto and Dr. Sands has agreed to refrain from competing with us or soliciting our employees or consultants following his termination of employment for a period of one year. However, the restricted period will be extended to two years in the event the named executive officer is terminated by the company for "cause."</w:t>
      </w:r>
    </w:p>
    <w:p>
      <w:pPr>
        <w:spacing w:after="0" w:line="15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For purposes of the employment agreements, "cause" generally means Dr. Cautreels', Dr. Kishimoto's or Dr. Sands' commission of, or indictment or conviction of, any felony or any crime involving dishonesty, participation in any fraud against the company, intentional damage to any company property, misconduct which materially and adversely reflects upon the business, operations or reputation of the company, which misconduct has not been cured (or cannot be cured) within 10 days after the company gives written notice regarding such misconduct, or breach of any material provision of the employment agreement or any agreement between him and the company, which breach has not been cured (or cannot be cured) within 10 days after the company gives written notice regarding such breach.</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For purposes of the employment agreements, "good reason" generally means, subject to certain cure rights, Dr. Cautreels', Dr. Kishimoto's or Dr. Sands' termination of his employment due to the company's breach of any one or more of the material provisions of the employment agreement, a material reduction by the company of his responsibilities or base salary, or, with respect to Dr. Cautreels and Dr. Kishimoto only, a relocation by the company of his place of employment by more than 40 miles.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POTENTIAL PAYMENTS UPON A CHANGE IN CONTROL</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agreements governing the named executive officers' unvested stock options provide for full accelerated vesting if the named executive officers' employment is terminated by us without cause or if they resign for good reason, in either case, within 12 months following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DEVELOPMENTS REGARDING EXECUTIVE COMPENSATION</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In May 2016, in anticipation of and subject to the consummation of this offering, our board of directors approved certain changes to our named executive officers' compensation arrangements. These included adjusting our named executive officers' target bonus opportunities, granting equity incentive awards and entering into new employment agreements, each as described in more detail below.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Target bonuses</w:t>
      </w:r>
    </w:p>
    <w:p>
      <w:pPr>
        <w:spacing w:after="0" w:line="195"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Our board of directors approved increases to the target bonus amounts for our named executive officers to 45% of his base salary for Dr. Cautreels and 35% of his base salary for each of Drs. Sands and Kishimoto. The target bonus increases will become effective upon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193" w:name="page194"/>
    <w:bookmarkEnd w:id="19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awards</w:t>
      </w:r>
    </w:p>
    <w:p>
      <w:pPr>
        <w:spacing w:after="0" w:line="195"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Effective on the effectiveness of the registration statement of which this prospectus forms a part, our board of directors approved stock option grants under the 2016 Plan to our named executive officers in the following amounts: Dr. Cautreels: 115,384 shares, Dr. Sands: 53,999 shares and Dr. Kishimoto: 24,512 shares. The shares will have a per share exercise price equal to the initial public offering price of our common stock and will vest as to 25% of the total number of shares on the first anniversary of the grant date and in 36 substantially equal monthly installments thereafter.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entered into new employment agreements with each of our named executive officers, effective on the closing of this offering.</w:t>
      </w:r>
    </w:p>
    <w:p>
      <w:pPr>
        <w:spacing w:after="0" w:line="198"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agreements entitle our named executives officers to continue to receive their current annual base salaries set forth above and to receive the new target bonus opportunities described above under the heading "Target Bonuses."</w:t>
      </w:r>
    </w:p>
    <w:p>
      <w:pPr>
        <w:spacing w:after="0" w:line="15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terminate Dr. Cautreels, Dr. Sands or Dr. Kishimoto without "cause" or he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 for the year of termination, based on actual performance for the full year (or based on his target bonus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54"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For purposes of the new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target bonus opportunity; (ii) a material diminution in his authority, title, duties or areas of responsibility; (iii) the requirement that he report to someone other than the board of directors with respect to Dr. Cautreels or the chief executive officer with respect to Drs. Sands and Kishimoto; (iv) the relocation of his primary office to a location more than 40 miles from the Boston metropolitan area; or (v) a material breach by the company of the employment agreement or any other written agreement with the named executive officer.</w:t>
      </w:r>
    </w:p>
    <w:p>
      <w:pPr>
        <w:spacing w:after="0" w:line="140"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We also expect to enter into non-disclosure, non-competition and assignment of intellectual property agreements with the named executive officers pursuant to which each of Drs. Cautreels, Sands and Kishimoto will agree to refrain from engaging in direct competition with us or soliciting our employees, in each case, while employed and following his termination of employment for any reason for a period of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4" w:name="page195"/>
    <w:bookmarkEnd w:id="19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INCENTIVE PLANS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summarizes the material terms of the incentive plans in which our employees, including the named executive officers, participate.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Incentive Award Plan</w:t>
      </w:r>
    </w:p>
    <w:p>
      <w:pPr>
        <w:spacing w:after="0" w:line="195" w:lineRule="exact"/>
        <w:rPr>
          <w:sz w:val="20"/>
          <w:szCs w:val="20"/>
          <w:color w:val="auto"/>
        </w:rPr>
      </w:pPr>
    </w:p>
    <w:p>
      <w:pPr>
        <w:jc w:val="both"/>
        <w:ind w:right="120"/>
        <w:spacing w:after="0" w:line="270" w:lineRule="auto"/>
        <w:rPr>
          <w:sz w:val="20"/>
          <w:szCs w:val="20"/>
          <w:color w:val="auto"/>
        </w:rPr>
      </w:pPr>
      <w:r>
        <w:rPr>
          <w:rFonts w:ascii="Arial" w:cs="Arial" w:eastAsia="Arial" w:hAnsi="Arial"/>
          <w:sz w:val="15"/>
          <w:szCs w:val="15"/>
          <w:color w:val="auto"/>
        </w:rPr>
        <w:t>Effective the day prior to the first public trading date of our common stock, we adopted and our stockholders approved the 2016 Incentive Award Plan, or the 2016 Plan, under which we may grant cash and equity-based incentive awards to eligible service providers in order to attract, retain and motivate the persons who make important contributions to our company. The material terms of the 2016 Plan are summarized below.</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i w:val="1"/>
          <w:iCs w:val="1"/>
          <w:color w:val="auto"/>
        </w:rPr>
        <w:t xml:space="preserve">Eligibility and administration. </w:t>
      </w:r>
      <w:r>
        <w:rPr>
          <w:rFonts w:ascii="Arial" w:cs="Arial" w:eastAsia="Arial" w:hAnsi="Arial"/>
          <w:sz w:val="15"/>
          <w:szCs w:val="15"/>
          <w:color w:val="auto"/>
        </w:rPr>
        <w:t>Our employees, consultants and directors, and employees and consultants of our subsidiaries, will be eligible to receive awards under the 2016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2016 Plan will be administered by our board of directors, which may delegate its duties and responsibilities to one or more committees of our directors and/or officers (referred to collectively as the plan administrator below), subject to the limitations imposed under the 2016 Plan, Section 16 of the Exchange Act, stock exchange rules and other applicable laws. The plan administrator will have the authority to take all actions and make all determinations under the 2016 Plan, to interpret the 2016 Plan and award agreements and to adopt, amend and repeal rules for the administration of the 2016 Plan as it deems advisable. The plan administrator will also have the authority to determine which eligible service providers receive awards, grant awards and set the terms and conditions of all awards under the 2016 Plan, including any vesting and vesting acceleration provisions, subject to the conditions and limitations in the 2016 Plan.</w:t>
      </w:r>
    </w:p>
    <w:p>
      <w:pPr>
        <w:spacing w:after="0" w:line="169"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i w:val="1"/>
          <w:iCs w:val="1"/>
          <w:color w:val="auto"/>
        </w:rPr>
        <w:t xml:space="preserve">Shares available for awards. </w:t>
      </w:r>
      <w:r>
        <w:rPr>
          <w:rFonts w:ascii="Arial" w:cs="Arial" w:eastAsia="Arial" w:hAnsi="Arial"/>
          <w:sz w:val="15"/>
          <w:szCs w:val="15"/>
          <w:color w:val="auto"/>
        </w:rPr>
        <w:t>An aggregate of 1,210,256 shares of our common stock will initially be available for issuance under the 2016 Plan. The number of shares initially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issuance will be increased by an annual increase on January 1 of each calendar year beginning in 2017 and ending in and including 2026, equal to the least of (A) 4% of the shares of common stock outstanding on the final day of the immediately preceding calendar year and (B) a smaller number of shares determined by our board of directors. No more than 8,133,333 shares of common stock may be issued under the 2016 Plan upon the exercise of incentive stock options. Shares issued under the 2016 Plan may be authorized but unissued shares, shares purchased on the open market or treasury shares.</w:t>
      </w:r>
    </w:p>
    <w:p>
      <w:pPr>
        <w:spacing w:after="0" w:line="167"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If an award under the 2016 Plan or the 2008 Plan expires, lapses or is terminated, exchanged for cash, surrendered, repurchased, canceled without having been fully exercised or forfeited, any unused shares subject to the award will, as applicable, become or again be available for new grants under the 2016 Plan. Awards granted under the 2016 Plan in substitution for any options or other stock or stock-based awards granted by an entity before the entity's merger or consolidation with us or our acquisition of the entity's property or stock will not reduce the shares available for grant under the 2016 Plan, but will count against the maximum number of shares that may be issued upon the exercise of incentive stock options.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 xml:space="preserve">Awards. </w:t>
      </w:r>
      <w:r>
        <w:rPr>
          <w:rFonts w:ascii="Arial" w:cs="Arial" w:eastAsia="Arial" w:hAnsi="Arial"/>
          <w:sz w:val="14"/>
          <w:szCs w:val="14"/>
          <w:color w:val="auto"/>
        </w:rPr>
        <w:t>The 2016 Plan provides for the grant of stock options, including incentive stock options, or ISOs, and nonqualified stock options, or NSOs, stock appreciation rights, or SARs,</w:t>
      </w:r>
      <w:r>
        <w:rPr>
          <w:rFonts w:ascii="Arial" w:cs="Arial" w:eastAsia="Arial" w:hAnsi="Arial"/>
          <w:sz w:val="14"/>
          <w:szCs w:val="14"/>
          <w:i w:val="1"/>
          <w:iCs w:val="1"/>
          <w:color w:val="auto"/>
        </w:rPr>
        <w:t xml:space="preserve"> </w:t>
      </w:r>
      <w:r>
        <w:rPr>
          <w:rFonts w:ascii="Arial" w:cs="Arial" w:eastAsia="Arial" w:hAnsi="Arial"/>
          <w:sz w:val="14"/>
          <w:szCs w:val="14"/>
          <w:color w:val="auto"/>
        </w:rPr>
        <w:t>restricted stock, dividend equivalents, restricted stock units, or RSUs, and other stock or cash based awards. Certain awards under the 2016 Plan may constitute or provide for payment of "nonqualified deferred compensation" under Section 409A of the Code. All awards under the 2016 Plan will be set forth in award agreements, which will detail the terms and conditions of awards, including any applicable vesting and payment terms and post-termination exercise limitations. A brief description of each award type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195" w:name="page196"/>
    <w:bookmarkEnd w:id="19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right="60" w:hanging="467"/>
        <w:spacing w:after="0" w:line="299" w:lineRule="auto"/>
        <w:tabs>
          <w:tab w:leader="none" w:pos="467"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 xml:space="preserve">Stock options and SARs. </w:t>
      </w:r>
      <w:r>
        <w:rPr>
          <w:rFonts w:ascii="Arial" w:cs="Arial" w:eastAsia="Arial" w:hAnsi="Arial"/>
          <w:sz w:val="13"/>
          <w:szCs w:val="13"/>
          <w:color w:val="auto"/>
        </w:rPr>
        <w:t>Stock options provide for the purchase of shares of our common stock in the future at an exercise price set on the grant date. ISOs, in contrast to NSOs, may</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covered by each option and SAR, the exercise price of each option and SAR and the conditions and limitations applicable to the</w:t>
      </w:r>
    </w:p>
    <w:p>
      <w:pPr>
        <w:spacing w:after="0" w:line="1" w:lineRule="exact"/>
        <w:rPr>
          <w:sz w:val="20"/>
          <w:szCs w:val="20"/>
          <w:color w:val="auto"/>
        </w:rPr>
      </w:pPr>
    </w:p>
    <w:p>
      <w:pPr>
        <w:ind w:left="467" w:right="20"/>
        <w:spacing w:after="0" w:line="297" w:lineRule="auto"/>
        <w:rPr>
          <w:sz w:val="20"/>
          <w:szCs w:val="20"/>
          <w:color w:val="auto"/>
        </w:rPr>
      </w:pPr>
      <w:r>
        <w:rPr>
          <w:rFonts w:ascii="Arial" w:cs="Arial" w:eastAsia="Arial" w:hAnsi="Arial"/>
          <w:sz w:val="13"/>
          <w:szCs w:val="13"/>
          <w:color w:val="auto"/>
        </w:rPr>
        <w:t>exercise of each option and SAR. The exercise price of a stock option or SAR will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The maximum aggregate number of shares of common</w:t>
      </w:r>
    </w:p>
    <w:p>
      <w:pPr>
        <w:spacing w:after="0" w:line="1" w:lineRule="exact"/>
        <w:rPr>
          <w:sz w:val="20"/>
          <w:szCs w:val="20"/>
          <w:color w:val="auto"/>
        </w:rPr>
      </w:pPr>
    </w:p>
    <w:p>
      <w:pPr>
        <w:ind w:left="467"/>
        <w:spacing w:after="0"/>
        <w:tabs>
          <w:tab w:leader="none" w:pos="9607" w:val="left"/>
        </w:tabs>
        <w:rPr>
          <w:sz w:val="20"/>
          <w:szCs w:val="20"/>
          <w:color w:val="auto"/>
        </w:rPr>
      </w:pPr>
      <w:r>
        <w:rPr>
          <w:rFonts w:ascii="Arial" w:cs="Arial" w:eastAsia="Arial" w:hAnsi="Arial"/>
          <w:sz w:val="15"/>
          <w:szCs w:val="15"/>
          <w:color w:val="auto"/>
        </w:rPr>
        <w:t>stock with respect to one or more options or SARs that may be granted to any one person during any fiscal year of the company will be</w:t>
      </w:r>
      <w:r>
        <w:rPr>
          <w:sz w:val="20"/>
          <w:szCs w:val="20"/>
          <w:color w:val="auto"/>
        </w:rPr>
        <w:tab/>
      </w:r>
      <w:r>
        <w:rPr>
          <w:rFonts w:ascii="Arial" w:cs="Arial" w:eastAsia="Arial" w:hAnsi="Arial"/>
          <w:sz w:val="14"/>
          <w:szCs w:val="14"/>
          <w:color w:val="auto"/>
        </w:rPr>
        <w:t>.</w:t>
      </w:r>
    </w:p>
    <w:p>
      <w:pPr>
        <w:spacing w:after="0" w:line="216" w:lineRule="exact"/>
        <w:rPr>
          <w:sz w:val="20"/>
          <w:szCs w:val="20"/>
          <w:color w:val="auto"/>
        </w:rPr>
      </w:pPr>
    </w:p>
    <w:p>
      <w:pPr>
        <w:ind w:left="467" w:right="60" w:hanging="467"/>
        <w:spacing w:after="0" w:line="313" w:lineRule="auto"/>
        <w:tabs>
          <w:tab w:leader="none" w:pos="467"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 xml:space="preserve">Restricted stock and RSUs. </w:t>
      </w:r>
      <w:r>
        <w:rPr>
          <w:rFonts w:ascii="Arial" w:cs="Arial" w:eastAsia="Arial" w:hAnsi="Arial"/>
          <w:sz w:val="13"/>
          <w:szCs w:val="13"/>
          <w:color w:val="auto"/>
        </w:rPr>
        <w:t>Restricted stock is an award of nontransferable shares of our common stock that remain forfeitable unless and until specified conditions are met and</w:t>
      </w:r>
      <w:r>
        <w:rPr>
          <w:rFonts w:ascii="Arial" w:cs="Arial" w:eastAsia="Arial" w:hAnsi="Arial"/>
          <w:sz w:val="13"/>
          <w:szCs w:val="13"/>
          <w:i w:val="1"/>
          <w:iCs w:val="1"/>
          <w:color w:val="auto"/>
        </w:rPr>
        <w:t xml:space="preserve"> </w:t>
      </w:r>
      <w:r>
        <w:rPr>
          <w:rFonts w:ascii="Arial" w:cs="Arial" w:eastAsia="Arial" w:hAnsi="Arial"/>
          <w:sz w:val="13"/>
          <w:szCs w:val="13"/>
          <w:color w:val="auto"/>
        </w:rPr>
        <w:t>which may be subject to a purchase price. RSUs are contractual promises to deliver shares of our common stock in the future, which may also remain forfeitable unless and until specified conditions are met and may be accompanied by the right to receive the equivalent value of dividends paid on shares of our common stock prior to the delivery of the underlying shares. The plan administrator may provide that the delivery of the shares underlying RSUs will be deferred on a mandatory basis or at the election of the participant. The terms and conditions applicable to restricted stock and RSUs will be determined by the plan administrator, subject to the conditions and limitations contained in the 2016 Plan.</w:t>
      </w:r>
    </w:p>
    <w:p>
      <w:pPr>
        <w:spacing w:after="0" w:line="148" w:lineRule="exact"/>
        <w:rPr>
          <w:rFonts w:ascii="Arial" w:cs="Arial" w:eastAsia="Arial" w:hAnsi="Arial"/>
          <w:sz w:val="13"/>
          <w:szCs w:val="13"/>
          <w:color w:val="auto"/>
        </w:rPr>
      </w:pPr>
    </w:p>
    <w:p>
      <w:pPr>
        <w:ind w:left="467" w:right="160" w:hanging="467"/>
        <w:spacing w:after="0" w:line="319" w:lineRule="auto"/>
        <w:tabs>
          <w:tab w:leader="none" w:pos="467"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 xml:space="preserve">Other stock or cash based awards. </w:t>
      </w:r>
      <w:r>
        <w:rPr>
          <w:rFonts w:ascii="Arial" w:cs="Arial" w:eastAsia="Arial" w:hAnsi="Arial"/>
          <w:sz w:val="13"/>
          <w:szCs w:val="13"/>
          <w:color w:val="auto"/>
        </w:rPr>
        <w:t>Other stock or cash based awards are awards of cash, fully vested shares of our common stock and other awards valued wholly or partially by</w:t>
      </w:r>
      <w:r>
        <w:rPr>
          <w:rFonts w:ascii="Arial" w:cs="Arial" w:eastAsia="Arial" w:hAnsi="Arial"/>
          <w:sz w:val="13"/>
          <w:szCs w:val="13"/>
          <w:i w:val="1"/>
          <w:iCs w:val="1"/>
          <w:color w:val="auto"/>
        </w:rPr>
        <w:t xml:space="preserve"> </w:t>
      </w:r>
      <w:r>
        <w:rPr>
          <w:rFonts w:ascii="Arial" w:cs="Arial" w:eastAsia="Arial" w:hAnsi="Arial"/>
          <w:sz w:val="13"/>
          <w:szCs w:val="13"/>
          <w:color w:val="auto"/>
        </w:rPr>
        <w:t>referring to, or otherwise based on, shares of our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32" w:lineRule="exact"/>
        <w:rPr>
          <w:sz w:val="20"/>
          <w:szCs w:val="20"/>
          <w:color w:val="auto"/>
        </w:rPr>
      </w:pPr>
    </w:p>
    <w:p>
      <w:pPr>
        <w:ind w:left="7" w:right="100"/>
        <w:spacing w:after="0" w:line="281" w:lineRule="auto"/>
        <w:rPr>
          <w:sz w:val="20"/>
          <w:szCs w:val="20"/>
          <w:color w:val="auto"/>
        </w:rPr>
      </w:pPr>
      <w:r>
        <w:rPr>
          <w:rFonts w:ascii="Arial" w:cs="Arial" w:eastAsia="Arial" w:hAnsi="Arial"/>
          <w:sz w:val="14"/>
          <w:szCs w:val="14"/>
          <w:i w:val="1"/>
          <w:iCs w:val="1"/>
          <w:color w:val="auto"/>
        </w:rPr>
        <w:t xml:space="preserve">Performance criteria. </w:t>
      </w:r>
      <w:r>
        <w:rPr>
          <w:rFonts w:ascii="Arial" w:cs="Arial" w:eastAsia="Arial" w:hAnsi="Arial"/>
          <w:sz w:val="14"/>
          <w:szCs w:val="14"/>
          <w:color w:val="auto"/>
        </w:rPr>
        <w:t>The plan administrator may select performance criteria for an award to establish performance goals for a performance period. Performance criteria under the 2016</w:t>
      </w:r>
      <w:r>
        <w:rPr>
          <w:rFonts w:ascii="Arial" w:cs="Arial" w:eastAsia="Arial" w:hAnsi="Arial"/>
          <w:sz w:val="14"/>
          <w:szCs w:val="14"/>
          <w:i w:val="1"/>
          <w:iCs w:val="1"/>
          <w:color w:val="auto"/>
        </w:rPr>
        <w:t xml:space="preserve"> </w:t>
      </w:r>
      <w:r>
        <w:rPr>
          <w:rFonts w:ascii="Arial" w:cs="Arial" w:eastAsia="Arial" w:hAnsi="Arial"/>
          <w:sz w:val="14"/>
          <w:szCs w:val="14"/>
          <w:color w:val="auto"/>
        </w:rPr>
        <w:t>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6630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57" w:lineRule="exact"/>
        <w:rPr>
          <w:sz w:val="20"/>
          <w:szCs w:val="20"/>
          <w:color w:val="auto"/>
        </w:rPr>
      </w:pPr>
    </w:p>
    <w:p>
      <w:pPr>
        <w:ind w:right="100"/>
        <w:spacing w:after="0" w:line="284"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In connection with certain corporate transactions and events affecting our common stock, including a change in control, or change in any applicable laws or</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principles, the plan administrator has broad discretion to take action under the 2016 Plan to prevent the dilution or enlargement of intended benefits, facilitate the transaction or event or give effect to the change in applicable laws or accounting 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2016 Plan and replacing or terminating awards under the 2016 Plan. In addition, in the event of certain non-reciprocal transactions with our stockholders, the plan administrator will make equitable adjustments to the 2016 Plan and outstanding awards as it deems appropriate to reflect the transaction.</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Provisions of the 2016 Plan Relating to Director Compensation. </w:t>
      </w:r>
      <w:r>
        <w:rPr>
          <w:rFonts w:ascii="Arial" w:cs="Arial" w:eastAsia="Arial" w:hAnsi="Arial"/>
          <w:sz w:val="15"/>
          <w:szCs w:val="15"/>
          <w:color w:val="auto"/>
        </w:rPr>
        <w:t>The 2016 Plan provides that the plan administrator may establish compensation for non-employee directors from time to</w:t>
      </w:r>
      <w:r>
        <w:rPr>
          <w:rFonts w:ascii="Arial" w:cs="Arial" w:eastAsia="Arial" w:hAnsi="Arial"/>
          <w:sz w:val="15"/>
          <w:szCs w:val="15"/>
          <w:i w:val="1"/>
          <w:iCs w:val="1"/>
          <w:color w:val="auto"/>
        </w:rPr>
        <w:t xml:space="preserve"> </w:t>
      </w:r>
      <w:r>
        <w:rPr>
          <w:rFonts w:ascii="Arial" w:cs="Arial" w:eastAsia="Arial" w:hAnsi="Arial"/>
          <w:sz w:val="15"/>
          <w:szCs w:val="15"/>
          <w:color w:val="auto"/>
        </w:rPr>
        <w:t>time subject to the 2016 Plan's limitations. Prior to commencing this offering, our stockholders approved the initial terms of our non-employee director compensation program, which is described below under the heading "Director Compensation." Our board of directors or its authorized committee may modify the non-employee director compensation program from time to time in the exercise of its business judgment, taking into account such factors, circumstances and considerations as it shall deem relevant from time to time, provided that the sum of any cash compensation or other compensation and the grant date fair value of any equity awards granted under the 2016 Plan as compensation for services as a non-employee director during any fiscal year may not exceed $1,000,000 in the fiscal year of a non-employee director's initial service as a non-employee director or $750,000 in any subsequent fiscal year. The plan administrator may make exceptions to this limit for individual non-employee directors in extraordinary circumstances, as the plan administrator may determine in its discretion, subject to the limitations in the 2016 Plan.</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i w:val="1"/>
          <w:iCs w:val="1"/>
          <w:color w:val="auto"/>
        </w:rPr>
        <w:t xml:space="preserve">Plan amendment and termination. </w:t>
      </w:r>
      <w:r>
        <w:rPr>
          <w:rFonts w:ascii="Arial" w:cs="Arial" w:eastAsia="Arial" w:hAnsi="Arial"/>
          <w:sz w:val="14"/>
          <w:szCs w:val="14"/>
          <w:color w:val="auto"/>
        </w:rPr>
        <w:t>Our board of directors may amend or terminate the 2016 Plan at any time; however, no amendment, other than an amendment that increases the number</w:t>
      </w:r>
      <w:r>
        <w:rPr>
          <w:rFonts w:ascii="Arial" w:cs="Arial" w:eastAsia="Arial" w:hAnsi="Arial"/>
          <w:sz w:val="14"/>
          <w:szCs w:val="14"/>
          <w:i w:val="1"/>
          <w:iCs w:val="1"/>
          <w:color w:val="auto"/>
        </w:rPr>
        <w:t xml:space="preserve"> </w:t>
      </w:r>
      <w:r>
        <w:rPr>
          <w:rFonts w:ascii="Arial" w:cs="Arial" w:eastAsia="Arial" w:hAnsi="Arial"/>
          <w:sz w:val="14"/>
          <w:szCs w:val="14"/>
          <w:color w:val="auto"/>
        </w:rPr>
        <w:t>of shares available under the 2016 Plan, may materially and adversely affect an award outstanding under the 2016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2016 Plan will remain in effect until the tenth anniversary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effective date, unless earlier terminated by our board of directors. No awards may be granted under the 2016 Plan after its termination.</w:t>
      </w:r>
    </w:p>
    <w:p>
      <w:pPr>
        <w:spacing w:after="0" w:line="198" w:lineRule="exact"/>
        <w:rPr>
          <w:sz w:val="20"/>
          <w:szCs w:val="20"/>
          <w:color w:val="auto"/>
        </w:rPr>
      </w:pPr>
    </w:p>
    <w:p>
      <w:pPr>
        <w:spacing w:after="0" w:line="261" w:lineRule="auto"/>
        <w:rPr>
          <w:sz w:val="20"/>
          <w:szCs w:val="20"/>
          <w:color w:val="auto"/>
        </w:rPr>
      </w:pPr>
      <w:r>
        <w:rPr>
          <w:rFonts w:ascii="Arial" w:cs="Arial" w:eastAsia="Arial" w:hAnsi="Arial"/>
          <w:sz w:val="15"/>
          <w:szCs w:val="15"/>
          <w:i w:val="1"/>
          <w:iCs w:val="1"/>
          <w:color w:val="auto"/>
        </w:rPr>
        <w:t xml:space="preserve">Foreign participants, claw-back provisions, transferability and participant payments. </w:t>
      </w:r>
      <w:r>
        <w:rPr>
          <w:rFonts w:ascii="Arial" w:cs="Arial" w:eastAsia="Arial" w:hAnsi="Arial"/>
          <w:sz w:val="15"/>
          <w:szCs w:val="15"/>
          <w:color w:val="auto"/>
        </w:rPr>
        <w:t>The plan administrator may modify awards granted to participants who are foreign nationals or</w:t>
      </w:r>
      <w:r>
        <w:rPr>
          <w:rFonts w:ascii="Arial" w:cs="Arial" w:eastAsia="Arial" w:hAnsi="Arial"/>
          <w:sz w:val="15"/>
          <w:szCs w:val="15"/>
          <w:i w:val="1"/>
          <w:iCs w:val="1"/>
          <w:color w:val="auto"/>
        </w:rPr>
        <w:t xml:space="preserve"> </w:t>
      </w:r>
      <w:r>
        <w:rPr>
          <w:rFonts w:ascii="Arial" w:cs="Arial" w:eastAsia="Arial" w:hAnsi="Arial"/>
          <w:sz w:val="15"/>
          <w:szCs w:val="15"/>
          <w:color w:val="auto"/>
        </w:rPr>
        <w:t>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2016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2016 Plan, and exercise price obligations arising in connection with the exercise of stock options under the 2016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Employee Stock Purchase Plan</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Effective the day prior to the first public trading date of our common stock, we adopted and our stockholders approved the 2016 Employee Stock Purchase Plan, or the 2016 ESPP. The material terms of the 2016 ESPP are summarized below.</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i w:val="1"/>
          <w:iCs w:val="1"/>
          <w:color w:val="auto"/>
        </w:rPr>
        <w:t xml:space="preserve">Shares available for awards; administration. </w:t>
      </w:r>
      <w:r>
        <w:rPr>
          <w:rFonts w:ascii="Arial" w:cs="Arial" w:eastAsia="Arial" w:hAnsi="Arial"/>
          <w:sz w:val="15"/>
          <w:szCs w:val="15"/>
          <w:color w:val="auto"/>
        </w:rPr>
        <w:t>A total of 173,076 shares of our common stock will initially be reserved for issuance under the 2016 ESPP. In addition, the number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for issuance under the 2016 ESPP will be annually increased on January 1 of each calendar year beginning in 2017 and ending in and including 2026, by an amount equal to the least of (A) 1% of the shares outstanding on the final day of the immediately preceding calendar year and (B) such smaller number of shares as is determined by our board of directors, provided that no more than 1,903,846 shares of our common stock may be issued under the 2016 ESPP. The foregoing numbers are subject to adjustment in certain events, as described below.</w:t>
      </w:r>
    </w:p>
    <w:p>
      <w:pPr>
        <w:spacing w:after="0" w:line="167" w:lineRule="exact"/>
        <w:rPr>
          <w:sz w:val="20"/>
          <w:szCs w:val="20"/>
          <w:color w:val="auto"/>
        </w:rPr>
      </w:pPr>
    </w:p>
    <w:p>
      <w:pPr>
        <w:ind w:right="480"/>
        <w:spacing w:after="0" w:line="282" w:lineRule="auto"/>
        <w:rPr>
          <w:sz w:val="20"/>
          <w:szCs w:val="20"/>
          <w:color w:val="auto"/>
        </w:rPr>
      </w:pPr>
      <w:r>
        <w:rPr>
          <w:rFonts w:ascii="Arial" w:cs="Arial" w:eastAsia="Arial" w:hAnsi="Arial"/>
          <w:sz w:val="15"/>
          <w:szCs w:val="15"/>
          <w:color w:val="auto"/>
        </w:rPr>
        <w:t>Our board of directors or a committee of our board of directors will have authority to interpret the terms of the 2016 ESPP and determine eligibility of participants. We expect that the compensation committee will be the initial administrator of the 2016 ESPP.</w:t>
      </w:r>
    </w:p>
    <w:p>
      <w:pPr>
        <w:spacing w:after="0" w:line="151"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Our employees are eligible to participate in the 2016 ESPP if they are customarily employed by us or a participating subsidiary for more than 20 hours per week and more than</w:t>
      </w:r>
      <w:r>
        <w:rPr>
          <w:rFonts w:ascii="Arial" w:cs="Arial" w:eastAsia="Arial" w:hAnsi="Arial"/>
          <w:sz w:val="14"/>
          <w:szCs w:val="14"/>
          <w:i w:val="1"/>
          <w:iCs w:val="1"/>
          <w:color w:val="auto"/>
        </w:rPr>
        <w:t xml:space="preserve"> </w:t>
      </w:r>
      <w:r>
        <w:rPr>
          <w:rFonts w:ascii="Arial" w:cs="Arial" w:eastAsia="Arial" w:hAnsi="Arial"/>
          <w:sz w:val="14"/>
          <w:szCs w:val="14"/>
          <w:color w:val="auto"/>
        </w:rPr>
        <w:t>five months in any calendar year. However, an employee may not be granted rights to purchase stock under our 2016 ESPP if such employee, immediately after the grant, would own (directly or through attribution) stock possessing 5% or more of the total combined voting power or value of all classes of our common or other class of stock.</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Grant of rights. </w:t>
      </w:r>
      <w:r>
        <w:rPr>
          <w:rFonts w:ascii="Arial" w:cs="Arial" w:eastAsia="Arial" w:hAnsi="Arial"/>
          <w:sz w:val="14"/>
          <w:szCs w:val="14"/>
          <w:color w:val="auto"/>
        </w:rPr>
        <w:t>The 2016 ESPP is intended to qualify under Section 423 of the Code and stock will be offered under the 2016 ESPP during offering periods. The length of the offering</w:t>
      </w:r>
      <w:r>
        <w:rPr>
          <w:rFonts w:ascii="Arial" w:cs="Arial" w:eastAsia="Arial" w:hAnsi="Arial"/>
          <w:sz w:val="14"/>
          <w:szCs w:val="14"/>
          <w:i w:val="1"/>
          <w:iCs w:val="1"/>
          <w:color w:val="auto"/>
        </w:rPr>
        <w:t xml:space="preserve"> </w:t>
      </w:r>
      <w:r>
        <w:rPr>
          <w:rFonts w:ascii="Arial" w:cs="Arial" w:eastAsia="Arial" w:hAnsi="Arial"/>
          <w:sz w:val="14"/>
          <w:szCs w:val="14"/>
          <w:color w:val="auto"/>
        </w:rPr>
        <w:t>periods under the 2016 ESPP will be determined by the plan administrator and may be up to 27 months long. Employee payroll deductions will be used to purchase shares on each purchase date during an offering period. The purchase dates for each offering period will be the final trading day in the offering period. Offering periods under the 2016 ESPP will commence when determined by the plan administrator. The plan administrator may, in its discretion, modify the terms of future offering periods.</w:t>
      </w:r>
    </w:p>
    <w:p>
      <w:pPr>
        <w:spacing w:after="0" w:line="148" w:lineRule="exact"/>
        <w:rPr>
          <w:sz w:val="20"/>
          <w:szCs w:val="20"/>
          <w:color w:val="auto"/>
        </w:rPr>
      </w:pPr>
    </w:p>
    <w:p>
      <w:pPr>
        <w:ind w:right="780"/>
        <w:spacing w:after="0" w:line="282" w:lineRule="auto"/>
        <w:rPr>
          <w:sz w:val="20"/>
          <w:szCs w:val="20"/>
          <w:color w:val="auto"/>
        </w:rPr>
      </w:pPr>
      <w:r>
        <w:rPr>
          <w:rFonts w:ascii="Arial" w:cs="Arial" w:eastAsia="Arial" w:hAnsi="Arial"/>
          <w:sz w:val="15"/>
          <w:szCs w:val="15"/>
          <w:color w:val="auto"/>
        </w:rPr>
        <w:t>The 2016 ESPP permits participants to purchase common stock through payroll deductions of up to 25% of their eligible compensation, which includes a participant's gross base compensation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198" w:name="page199"/>
    <w:bookmarkEnd w:id="19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90" w:lineRule="auto"/>
        <w:rPr>
          <w:sz w:val="20"/>
          <w:szCs w:val="20"/>
          <w:color w:val="auto"/>
        </w:rPr>
      </w:pPr>
      <w:r>
        <w:rPr>
          <w:rFonts w:ascii="Arial" w:cs="Arial" w:eastAsia="Arial" w:hAnsi="Arial"/>
          <w:sz w:val="14"/>
          <w:szCs w:val="14"/>
          <w:color w:val="auto"/>
        </w:rPr>
        <w:t>to us, including overtime payments and excluding sales commissions, incentive compensation, bonuses, expense reimbursements, fringe benefits and other special payments. The plan administrator will establish a maximum number of shares that may be purchased by a participant during any offering period, which, in the absence of a contrary designation, will be 6,410 shares. In addition, no employee will be permitted to accrue the right to purchase stock under the 2016 ESPP at a rate in excess of $25,000 worth of shares during any calendar year during which such a purchase right is outstanding (based on the fair market value per share of our common stock as of the first day of the offering period).</w:t>
      </w:r>
    </w:p>
    <w:p>
      <w:pPr>
        <w:spacing w:after="0" w:line="148" w:lineRule="exact"/>
        <w:rPr>
          <w:sz w:val="20"/>
          <w:szCs w:val="20"/>
          <w:color w:val="auto"/>
        </w:rPr>
      </w:pPr>
    </w:p>
    <w:p>
      <w:pPr>
        <w:ind w:left="7"/>
        <w:spacing w:after="0" w:line="262"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common stock. The option will expire at the end of the applicable offering period, and will be exercised at that time to the extent of the payroll deductions accumulated during the offering period. The purchase price of the shares, in the absence of a contrary designation, will be 85% of the lower of the fair market value of our common stock on the first trading day of the offering period or on the purchase date, which will be the final trading day of the offering period. Participants may voluntarily end their participation in the 2016 ESPP at any time at least one week prior to the end of the applicable offering period, and will be paid their accrued payroll deductions that have not yet been used to purchase shares of common stock. Participation ends automatically upon a participant's termination of employment.</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A participant may not transfer rights granted under the 2016 ESPP other than by will or the laws of descent and distribution.</w:t>
      </w:r>
    </w:p>
    <w:p>
      <w:pPr>
        <w:spacing w:after="0" w:line="198" w:lineRule="exact"/>
        <w:rPr>
          <w:sz w:val="20"/>
          <w:szCs w:val="20"/>
          <w:color w:val="auto"/>
        </w:rPr>
      </w:pPr>
    </w:p>
    <w:p>
      <w:pPr>
        <w:ind w:left="7" w:right="80"/>
        <w:spacing w:after="0" w:line="299" w:lineRule="auto"/>
        <w:rPr>
          <w:sz w:val="20"/>
          <w:szCs w:val="20"/>
          <w:color w:val="auto"/>
        </w:rPr>
      </w:pPr>
      <w:r>
        <w:rPr>
          <w:rFonts w:ascii="Arial" w:cs="Arial" w:eastAsia="Arial" w:hAnsi="Arial"/>
          <w:sz w:val="13"/>
          <w:szCs w:val="13"/>
          <w:i w:val="1"/>
          <w:iCs w:val="1"/>
          <w:color w:val="auto"/>
        </w:rPr>
        <w:t xml:space="preserve">Certain transactions. </w:t>
      </w:r>
      <w:r>
        <w:rPr>
          <w:rFonts w:ascii="Arial" w:cs="Arial" w:eastAsia="Arial" w:hAnsi="Arial"/>
          <w:sz w:val="13"/>
          <w:szCs w:val="13"/>
          <w:color w:val="auto"/>
        </w:rPr>
        <w:t>In the event of certain non-reciprocal transactions or events affecting our common stock known as "equity restructurings," the plan administrator will make equitable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to the 2016 ESPP and outstanding rights. In the event of certain unusual or non-recurring events or transactions, including a change in control,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w:t>
      </w:r>
    </w:p>
    <w:p>
      <w:pPr>
        <w:spacing w:after="0" w:line="1" w:lineRule="exact"/>
        <w:rPr>
          <w:sz w:val="20"/>
          <w:szCs w:val="20"/>
          <w:color w:val="auto"/>
        </w:rPr>
      </w:pPr>
    </w:p>
    <w:p>
      <w:pPr>
        <w:ind w:left="7" w:right="200" w:hanging="7"/>
        <w:spacing w:after="0" w:line="275" w:lineRule="auto"/>
        <w:tabs>
          <w:tab w:leader="none" w:pos="22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56" w:lineRule="exact"/>
        <w:rPr>
          <w:sz w:val="20"/>
          <w:szCs w:val="20"/>
          <w:color w:val="auto"/>
        </w:rPr>
      </w:pPr>
    </w:p>
    <w:p>
      <w:pPr>
        <w:ind w:left="7" w:right="80"/>
        <w:spacing w:after="0" w:line="266" w:lineRule="auto"/>
        <w:rPr>
          <w:sz w:val="20"/>
          <w:szCs w:val="20"/>
          <w:color w:val="auto"/>
        </w:rPr>
      </w:pPr>
      <w:r>
        <w:rPr>
          <w:rFonts w:ascii="Arial" w:cs="Arial" w:eastAsia="Arial" w:hAnsi="Arial"/>
          <w:sz w:val="15"/>
          <w:szCs w:val="15"/>
          <w:i w:val="1"/>
          <w:iCs w:val="1"/>
          <w:color w:val="auto"/>
        </w:rPr>
        <w:t xml:space="preserve">Plan amendment. </w:t>
      </w:r>
      <w:r>
        <w:rPr>
          <w:rFonts w:ascii="Arial" w:cs="Arial" w:eastAsia="Arial" w:hAnsi="Arial"/>
          <w:sz w:val="15"/>
          <w:szCs w:val="15"/>
          <w:color w:val="auto"/>
        </w:rPr>
        <w:t>The plan administrator may amend, suspend or terminate the 2016 ESPP at any time. However, stockholder approval of any amendment to the 2016 ESPP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obtained for any amendment which increases the aggregate number or changes the type of shares that may be sold pursuant to rights under the 2016 ESPP, changes the corporations or classes of corporations whose employees are eligible to participate in the 2016 ESPP or changes the 2016 ESPP in any manner that would cause the 2016 ESPP to no longer be an employee stock purchase plan within the meaning of Section 423(b) of the Code.</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2008 Plan</w:t>
      </w:r>
    </w:p>
    <w:p>
      <w:pPr>
        <w:spacing w:after="0" w:line="195" w:lineRule="exact"/>
        <w:rPr>
          <w:sz w:val="20"/>
          <w:szCs w:val="20"/>
          <w:color w:val="auto"/>
        </w:rPr>
      </w:pPr>
    </w:p>
    <w:p>
      <w:pPr>
        <w:ind w:left="7" w:right="500"/>
        <w:spacing w:after="0" w:line="319" w:lineRule="auto"/>
        <w:rPr>
          <w:sz w:val="20"/>
          <w:szCs w:val="20"/>
          <w:color w:val="auto"/>
        </w:rPr>
      </w:pPr>
      <w:r>
        <w:rPr>
          <w:rFonts w:ascii="Arial" w:cs="Arial" w:eastAsia="Arial" w:hAnsi="Arial"/>
          <w:sz w:val="14"/>
          <w:szCs w:val="14"/>
          <w:color w:val="auto"/>
        </w:rPr>
        <w:t>Our board of directors and stockholders have approved the 2008 Plan, under which we may grant stock options and restricted stock awards to employees, directors and consultants or advisors of our company or its affiliates. We had reserved a total of 2,213,412 shares of our common stock for issuance under the 2008 Plan as of June 8, 2016.</w:t>
      </w:r>
    </w:p>
    <w:p>
      <w:pPr>
        <w:spacing w:after="0" w:line="128" w:lineRule="exact"/>
        <w:rPr>
          <w:sz w:val="20"/>
          <w:szCs w:val="20"/>
          <w:color w:val="auto"/>
        </w:rPr>
      </w:pPr>
    </w:p>
    <w:p>
      <w:pPr>
        <w:ind w:left="7" w:right="420"/>
        <w:spacing w:after="0" w:line="282" w:lineRule="auto"/>
        <w:rPr>
          <w:sz w:val="20"/>
          <w:szCs w:val="20"/>
          <w:color w:val="auto"/>
        </w:rPr>
      </w:pPr>
      <w:r>
        <w:rPr>
          <w:rFonts w:ascii="Arial" w:cs="Arial" w:eastAsia="Arial" w:hAnsi="Arial"/>
          <w:sz w:val="15"/>
          <w:szCs w:val="15"/>
          <w:color w:val="auto"/>
        </w:rPr>
        <w:t>Following the effectiveness of the 2016 Plan, we will not make any further grants under the 2008 Plan. However, the 2008 Plan will continue to govern the terms and conditions of the outstanding awards granted under it. Shares of our common stock subject to awards granted under the 2008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that are forfeited, lapse unexercised or are settled in cash and which following the effective date of the 2016 Plan are not issued under the 2008 Plan will be available for issuance under the 2016 Plan.</w:t>
      </w:r>
    </w:p>
    <w:p>
      <w:pPr>
        <w:spacing w:after="0" w:line="151"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administers the 2008 Plan and has the authority to issue awards under the 2008 Plan, to interpret the 2008 Plan and awards outstanding thereunder,</w:t>
      </w:r>
      <w:r>
        <w:rPr>
          <w:rFonts w:ascii="Arial" w:cs="Arial" w:eastAsia="Arial" w:hAnsi="Arial"/>
          <w:sz w:val="14"/>
          <w:szCs w:val="14"/>
          <w:i w:val="1"/>
          <w:iCs w:val="1"/>
          <w:color w:val="auto"/>
        </w:rPr>
        <w:t xml:space="preserve"> </w:t>
      </w:r>
      <w:r>
        <w:rPr>
          <w:rFonts w:ascii="Arial" w:cs="Arial" w:eastAsia="Arial" w:hAnsi="Arial"/>
          <w:sz w:val="14"/>
          <w:szCs w:val="14"/>
          <w:color w:val="auto"/>
        </w:rPr>
        <w:t>to prescribe, amend and rescind rules and regulations relating to the 2008 Plan, to determine the terms and provisions of award agreements under the 2008 Plan, to correct any defect, omission or inconsistency in the 2008 Plan or in any award agreement, and to make all other determinations in the judgment of the board of directors that are necessary and desirable for the administration of the 2008 Plan. The board of directors may delegate its authority under the 2008 Plan to a committee of the board. Following the effectiveness of this offering, we expect that the board of directors will delegate its general administrative authority under the 2008 Plan to its Compensation Committee.</w:t>
      </w:r>
    </w:p>
    <w:p>
      <w:pPr>
        <w:spacing w:after="0" w:line="149"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2008 Plan provides for the grant of non-qualified and incentive stock options and restricted stock awards to employees, directors and consultants or advisors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its affiliates, except that stock options intended to qualify as incentive stock options under the Code may only be granted to employees. As of the date of this prospectus, awards of stock options and restricted stock are outstanding under the 2008 Plan.</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i w:val="1"/>
          <w:iCs w:val="1"/>
          <w:color w:val="auto"/>
        </w:rPr>
        <w:t xml:space="preserve">Certain transactions. </w:t>
      </w:r>
      <w:r>
        <w:rPr>
          <w:rFonts w:ascii="Arial" w:cs="Arial" w:eastAsia="Arial" w:hAnsi="Arial"/>
          <w:sz w:val="14"/>
          <w:szCs w:val="14"/>
          <w:color w:val="auto"/>
        </w:rPr>
        <w:t>If certain changes are made in, or events occur with respect to, our common stock, the 2008 Plan and outstanding awards will be appropriately adjusted in the class,</w:t>
      </w:r>
      <w:r>
        <w:rPr>
          <w:rFonts w:ascii="Arial" w:cs="Arial" w:eastAsia="Arial" w:hAnsi="Arial"/>
          <w:sz w:val="14"/>
          <w:szCs w:val="14"/>
          <w:i w:val="1"/>
          <w:iCs w:val="1"/>
          <w:color w:val="auto"/>
        </w:rPr>
        <w:t xml:space="preserve"> </w:t>
      </w:r>
      <w:r>
        <w:rPr>
          <w:rFonts w:ascii="Arial" w:cs="Arial" w:eastAsia="Arial" w:hAnsi="Arial"/>
          <w:sz w:val="14"/>
          <w:szCs w:val="14"/>
          <w:color w:val="auto"/>
        </w:rPr>
        <w:t>number and, as applicable, exercise price of securities as determined by the board of directors. In the event of certain corporate transactions, including a consolidation, merger, sale of all or substantially all of our assets or a liquidation, our board or the board of directors of any corporation assuming the obligations under the 2008 Plan, may, in its discretion, take any one or more of the following actions, as to some or all options outstanding under the 2008 Plan (and need not take the same action as to each such option): (i) provide for the assumption or substitution of the option; (ii) upon written notice to the optionee, provide for the termination of all unexercised options unless exercised within a specified period; (iii) in the event of a merger in which stockholders receive cash payment for shares surrendered, make or provide for a cash payment to optionees based on the difference between (A) the merger consideration times the number of shares subject to outstanding options and (B) the aggregate exercise price of the outstanding options, in exchange for termination of such options; and (iv) provide that all outstanding options shall become exercisable in part or in full immediately prior to such event. With respect to shares of restricted stock, any securities, cash or other property received in exchange for such shares shall continue to be governed by the provisions of any restricted stock agreement pursuant to which they were issued.</w:t>
      </w:r>
    </w:p>
    <w:p>
      <w:pPr>
        <w:spacing w:after="0" w:line="157"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i w:val="1"/>
          <w:iCs w:val="1"/>
          <w:color w:val="auto"/>
        </w:rPr>
        <w:t xml:space="preserve">Amendment and termination. </w:t>
      </w:r>
      <w:r>
        <w:rPr>
          <w:rFonts w:ascii="Arial" w:cs="Arial" w:eastAsia="Arial" w:hAnsi="Arial"/>
          <w:sz w:val="15"/>
          <w:szCs w:val="15"/>
          <w:color w:val="auto"/>
        </w:rPr>
        <w:t>The board of directors may terminate, modify or amend the 2008 Plan from time to time, provided that any amendment or modification may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the rights of a holder of an outstanding award without such holder's consent. The board of directors may amend or modify the 2008 Plan and any outstanding incentive stock options to the extent necessary to qualify any or all such options for favorable federal income tax treatment.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While certain of our non-employee directors receive consulting fees under the terms of consulting agreements with our company, we have not historically paid cash fees to our non-employee directors for their service on our board but have, from time to time, granted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Other than as set forth in the table below with respect to amounts earned under consulting agreements with certain directors, our non-employee directors did not receive any compensation for their service on our board of directors during 2015.</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2015 DIRECTOR COMPENSATION TABLE</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Fees earned or</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Option awards</w:t>
            </w:r>
          </w:p>
        </w:tc>
        <w:tc>
          <w:tcPr>
            <w:tcW w:w="1080" w:type="dxa"/>
            <w:vAlign w:val="bottom"/>
          </w:tcPr>
          <w:p>
            <w:pPr>
              <w:jc w:val="center"/>
              <w:ind w:right="8"/>
              <w:spacing w:after="0"/>
              <w:rPr>
                <w:sz w:val="20"/>
                <w:szCs w:val="20"/>
                <w:color w:val="auto"/>
              </w:rPr>
            </w:pPr>
            <w:r>
              <w:rPr>
                <w:rFonts w:ascii="Arial" w:cs="Arial" w:eastAsia="Arial" w:hAnsi="Arial"/>
                <w:sz w:val="12"/>
                <w:szCs w:val="12"/>
                <w:b w:val="1"/>
                <w:bCs w:val="1"/>
                <w:color w:val="auto"/>
              </w:rPr>
              <w:t>compensation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7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2440" w:type="dxa"/>
            <w:vAlign w:val="bottom"/>
          </w:tcPr>
          <w:p>
            <w:pPr>
              <w:jc w:val="right"/>
              <w:ind w:right="47"/>
              <w:spacing w:after="0"/>
              <w:rPr>
                <w:sz w:val="20"/>
                <w:szCs w:val="20"/>
                <w:color w:val="auto"/>
              </w:rPr>
            </w:pPr>
            <w:r>
              <w:rPr>
                <w:rFonts w:ascii="Arial" w:cs="Arial" w:eastAsia="Arial" w:hAnsi="Arial"/>
                <w:sz w:val="12"/>
                <w:szCs w:val="12"/>
                <w:b w:val="1"/>
                <w:bCs w:val="1"/>
                <w:color w:val="auto"/>
              </w:rPr>
              <w:t>paid in cash ($)</w:t>
            </w:r>
          </w:p>
        </w:tc>
        <w:tc>
          <w:tcPr>
            <w:tcW w:w="1100" w:type="dxa"/>
            <w:vAlign w:val="bottom"/>
          </w:tcPr>
          <w:p>
            <w:pPr>
              <w:ind w:left="440"/>
              <w:spacing w:after="0"/>
              <w:rPr>
                <w:sz w:val="20"/>
                <w:szCs w:val="20"/>
                <w:color w:val="auto"/>
              </w:rPr>
            </w:pPr>
            <w:r>
              <w:rPr>
                <w:rFonts w:ascii="Arial" w:cs="Arial" w:eastAsia="Arial" w:hAnsi="Arial"/>
                <w:sz w:val="12"/>
                <w:szCs w:val="12"/>
                <w:b w:val="1"/>
                <w:bCs w:val="1"/>
                <w:color w:val="auto"/>
              </w:rPr>
              <w:t>($)</w:t>
            </w:r>
          </w:p>
        </w:tc>
        <w:tc>
          <w:tcPr>
            <w:tcW w:w="1080" w:type="dxa"/>
            <w:vAlign w:val="bottom"/>
          </w:tcPr>
          <w:p>
            <w:pPr>
              <w:jc w:val="center"/>
              <w:ind w:right="28"/>
              <w:spacing w:after="0"/>
              <w:rPr>
                <w:sz w:val="20"/>
                <w:szCs w:val="20"/>
                <w:color w:val="auto"/>
              </w:rPr>
            </w:pPr>
            <w:r>
              <w:rPr>
                <w:rFonts w:ascii="Arial" w:cs="Arial" w:eastAsia="Arial" w:hAnsi="Arial"/>
                <w:sz w:val="12"/>
                <w:szCs w:val="12"/>
                <w:b w:val="1"/>
                <w:bCs w:val="1"/>
                <w:color w:val="auto"/>
              </w:rPr>
              <w:t>($)(1)</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177"/>
        </w:trPr>
        <w:tc>
          <w:tcPr>
            <w:tcW w:w="20" w:type="dxa"/>
            <w:vAlign w:val="bottom"/>
          </w:tcPr>
          <w:p>
            <w:pPr>
              <w:spacing w:after="0"/>
              <w:rPr>
                <w:sz w:val="15"/>
                <w:szCs w:val="15"/>
                <w:color w:val="auto"/>
              </w:rPr>
            </w:pPr>
          </w:p>
        </w:tc>
        <w:tc>
          <w:tcPr>
            <w:tcW w:w="3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Omid Farokhzad, M.D.</w:t>
            </w:r>
          </w:p>
        </w:tc>
        <w:tc>
          <w:tcPr>
            <w:tcW w:w="2440" w:type="dxa"/>
            <w:vAlign w:val="bottom"/>
            <w:tcBorders>
              <w:top w:val="single" w:sz="8" w:color="auto"/>
            </w:tcBorders>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147,000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147,000</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Peter Barton Hutt J.D., L.L.B., L.L.M</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Langer, Sc.D.(2)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75,000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w:t>
            </w: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Amir Nashat, Sc.D.</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Leysan Shaydullina, M.D.(2)(4)</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George Siber, M.D.(2)</w:t>
            </w:r>
          </w:p>
        </w:tc>
        <w:tc>
          <w:tcPr>
            <w:tcW w:w="2440" w:type="dxa"/>
            <w:vAlign w:val="bottom"/>
            <w:shd w:val="clear" w:color="auto" w:fill="CCEEFF"/>
          </w:tcPr>
          <w:p>
            <w:pPr>
              <w:ind w:left="2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36,000</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36,000</w:t>
            </w:r>
          </w:p>
        </w:tc>
        <w:tc>
          <w:tcPr>
            <w:tcW w:w="140" w:type="dxa"/>
            <w:vAlign w:val="bottom"/>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5"/>
                <w:szCs w:val="15"/>
                <w:color w:val="auto"/>
              </w:rPr>
              <w:t>Yurii Udaltsov, Cand. Sc.(3)</w:t>
            </w:r>
          </w:p>
        </w:tc>
        <w:tc>
          <w:tcPr>
            <w:tcW w:w="2440" w:type="dxa"/>
            <w:vAlign w:val="bottom"/>
          </w:tcPr>
          <w:p>
            <w:pPr>
              <w:ind w:left="2200"/>
              <w:spacing w:after="0"/>
              <w:rPr>
                <w:sz w:val="20"/>
                <w:szCs w:val="20"/>
                <w:color w:val="auto"/>
              </w:rPr>
            </w:pPr>
            <w:r>
              <w:rPr>
                <w:rFonts w:ascii="Arial" w:cs="Arial" w:eastAsia="Arial" w:hAnsi="Arial"/>
                <w:sz w:val="15"/>
                <w:szCs w:val="15"/>
                <w:color w:val="auto"/>
              </w:rPr>
              <w:t>—</w:t>
            </w:r>
          </w:p>
        </w:tc>
        <w:tc>
          <w:tcPr>
            <w:tcW w:w="1100" w:type="dxa"/>
            <w:vAlign w:val="bottom"/>
          </w:tcPr>
          <w:p>
            <w:pPr>
              <w:ind w:left="86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28"/>
              <w:spacing w:after="0"/>
              <w:rPr>
                <w:sz w:val="20"/>
                <w:szCs w:val="20"/>
                <w:color w:val="auto"/>
              </w:rPr>
            </w:pPr>
            <w:r>
              <w:rPr>
                <w:rFonts w:ascii="Arial" w:cs="Arial" w:eastAsia="Arial" w:hAnsi="Arial"/>
                <w:sz w:val="15"/>
                <w:szCs w:val="15"/>
                <w:color w:val="auto"/>
              </w:rPr>
              <w:t>—</w:t>
            </w:r>
          </w:p>
        </w:tc>
        <w:tc>
          <w:tcPr>
            <w:tcW w:w="820" w:type="dxa"/>
            <w:vAlign w:val="bottom"/>
            <w:gridSpan w:val="2"/>
          </w:tcPr>
          <w:p>
            <w:pPr>
              <w:ind w:left="540"/>
              <w:spacing w:after="0"/>
              <w:rPr>
                <w:sz w:val="20"/>
                <w:szCs w:val="20"/>
                <w:color w:val="auto"/>
              </w:rPr>
            </w:pPr>
            <w:r>
              <w:rPr>
                <w:rFonts w:ascii="Arial" w:cs="Arial" w:eastAsia="Arial" w:hAnsi="Arial"/>
                <w:sz w:val="15"/>
                <w:szCs w:val="15"/>
                <w:color w:val="auto"/>
              </w:rPr>
              <w:t>—</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65" w:lineRule="exact"/>
        <w:rPr>
          <w:sz w:val="20"/>
          <w:szCs w:val="20"/>
          <w:color w:val="auto"/>
        </w:rPr>
      </w:pPr>
    </w:p>
    <w:p>
      <w:pPr>
        <w:ind w:left="1600" w:right="300" w:hanging="463"/>
        <w:spacing w:after="0" w:line="238" w:lineRule="auto"/>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Represents compensation earned in 2015 under the consulting agreements with the company and, with respect to Dr. Farokhzad, an additional $72,000 pursuant to an unwritten arrangement. For additional information regarding these agreements, see "Certain relationships and related party transactions."</w:t>
      </w:r>
    </w:p>
    <w:p>
      <w:pPr>
        <w:spacing w:after="0" w:line="96" w:lineRule="exact"/>
        <w:rPr>
          <w:rFonts w:ascii="Arial" w:cs="Arial" w:eastAsia="Arial" w:hAnsi="Arial"/>
          <w:sz w:val="12"/>
          <w:szCs w:val="12"/>
          <w:color w:val="auto"/>
        </w:rPr>
      </w:pPr>
    </w:p>
    <w:p>
      <w:pPr>
        <w:ind w:left="1600" w:right="580" w:hanging="463"/>
        <w:spacing w:after="0" w:line="238" w:lineRule="auto"/>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Yurii Udaltsov resigned from our board of directors effective in April 2015.</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Dr. Shaydullina joined our board of directors in April 2015.</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5"/>
          <w:szCs w:val="15"/>
          <w:color w:val="auto"/>
        </w:rPr>
        <w:t>The table below shows the aggregate number of option awards (exercisable and unexercisable) held by each non-employee director as of December 31, 2015. None of our non-employee directors held stock awards in our company as of that date.</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540" w:type="dxa"/>
            <w:vAlign w:val="bottom"/>
            <w:gridSpan w:val="2"/>
          </w:tcPr>
          <w:p>
            <w:pPr>
              <w:ind w:left="2180"/>
              <w:spacing w:after="0"/>
              <w:rPr>
                <w:sz w:val="20"/>
                <w:szCs w:val="20"/>
                <w:color w:val="auto"/>
              </w:rPr>
            </w:pPr>
            <w:r>
              <w:rPr>
                <w:rFonts w:ascii="Arial" w:cs="Arial" w:eastAsia="Arial" w:hAnsi="Arial"/>
                <w:sz w:val="12"/>
                <w:szCs w:val="12"/>
                <w:b w:val="1"/>
                <w:bCs w:val="1"/>
                <w:color w:val="auto"/>
              </w:rPr>
              <w:t>Options outstanding</w:t>
            </w:r>
          </w:p>
        </w:tc>
      </w:tr>
      <w:tr>
        <w:trPr>
          <w:trHeight w:val="149"/>
        </w:trPr>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3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at fiscal year end</w:t>
            </w:r>
          </w:p>
        </w:tc>
        <w:tc>
          <w:tcPr>
            <w:tcW w:w="120" w:type="dxa"/>
            <w:vAlign w:val="bottom"/>
          </w:tcPr>
          <w:p>
            <w:pPr>
              <w:spacing w:after="0"/>
              <w:rPr>
                <w:sz w:val="12"/>
                <w:szCs w:val="12"/>
                <w:color w:val="auto"/>
              </w:rPr>
            </w:pPr>
          </w:p>
        </w:tc>
      </w:tr>
      <w:tr>
        <w:trPr>
          <w:trHeight w:val="17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Omid Farokhzad, M.D.</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61,913</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Carl Gordon, Ph.D.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Peter Barton Hutt J.D., L.L.B., L.L.M</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44,871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Edwin M. Kania</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Robert Langer, Sc.D.(1)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73,451</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Amir Nashat, Sc.D.</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Aymeric Sallin, M.S.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Leysan Shaydullina, M.D.(1)</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George Siber, M.D.(1)</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31,574</w:t>
            </w:r>
          </w:p>
        </w:tc>
      </w:tr>
      <w:tr>
        <w:trPr>
          <w:trHeight w:val="190"/>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Yurii Udaltsov, Cand. Sc.</w:t>
            </w:r>
          </w:p>
        </w:tc>
        <w:tc>
          <w:tcPr>
            <w:tcW w:w="35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88"/>
        </w:trPr>
        <w:tc>
          <w:tcPr>
            <w:tcW w:w="820" w:type="dxa"/>
            <w:vAlign w:val="bottom"/>
            <w:tcBorders>
              <w:bottom w:val="single" w:sz="8" w:color="auto"/>
            </w:tcBorders>
          </w:tcPr>
          <w:p>
            <w:pPr>
              <w:spacing w:after="0"/>
              <w:rPr>
                <w:sz w:val="7"/>
                <w:szCs w:val="7"/>
                <w:color w:val="auto"/>
              </w:rPr>
            </w:pPr>
          </w:p>
        </w:tc>
        <w:tc>
          <w:tcPr>
            <w:tcW w:w="36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65" w:lineRule="exact"/>
        <w:rPr>
          <w:sz w:val="20"/>
          <w:szCs w:val="20"/>
          <w:color w:val="auto"/>
        </w:rPr>
      </w:pPr>
    </w:p>
    <w:p>
      <w:pPr>
        <w:ind w:left="2180" w:hanging="471"/>
        <w:spacing w:after="0" w:line="238" w:lineRule="auto"/>
        <w:tabs>
          <w:tab w:leader="none" w:pos="21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Drs. Langer and Siber will resign from our board of directors contingent upon, and effective immediately prior to, the effectiveness of the registration statement of which this prospectus forms a part. Dr. Shaydullina will resign from our board of directors contingent upon, and effective immediately prior to, the closing of this offering.</w:t>
      </w:r>
    </w:p>
    <w:p>
      <w:pPr>
        <w:spacing w:after="0" w:line="16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Effective upon the effectiveness of the registration statement of which this prospectus forms a part, we adopted and our stockholders approved a compensation program for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1" w:name="page202"/>
    <w:bookmarkEnd w:id="201"/>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color w:val="auto"/>
        </w:rPr>
        <w:t>under which each non-employee director will receive the following amounts for their services on our board of directors:</w:t>
      </w:r>
    </w:p>
    <w:p>
      <w:pPr>
        <w:spacing w:after="0" w:line="210" w:lineRule="exact"/>
        <w:rPr>
          <w:sz w:val="20"/>
          <w:szCs w:val="20"/>
          <w:color w:val="auto"/>
        </w:rPr>
      </w:pPr>
    </w:p>
    <w:p>
      <w:pPr>
        <w:ind w:left="467" w:hanging="467"/>
        <w:spacing w:after="0"/>
        <w:tabs>
          <w:tab w:leader="none" w:pos="467"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an option to purchase 12,820 shares of our common stock upon the director's initial election or appointment to our board of directors that occurs after our initial public offering,</w:t>
      </w:r>
    </w:p>
    <w:p>
      <w:pPr>
        <w:spacing w:after="0" w:line="232" w:lineRule="exact"/>
        <w:rPr>
          <w:rFonts w:ascii="Arial" w:cs="Arial" w:eastAsia="Arial" w:hAnsi="Arial"/>
          <w:sz w:val="14"/>
          <w:szCs w:val="14"/>
          <w:color w:val="auto"/>
        </w:rPr>
      </w:pPr>
    </w:p>
    <w:p>
      <w:pPr>
        <w:ind w:left="467" w:right="20" w:hanging="467"/>
        <w:spacing w:after="0" w:line="282" w:lineRule="auto"/>
        <w:tabs>
          <w:tab w:leader="none" w:pos="46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if the director has served on our board of directors for at least six months as of the date of an annual meeting of stockholders, an option to purchase 6,410 shares of our common stock on the date of the annual meeting;</w:t>
      </w:r>
    </w:p>
    <w:p>
      <w:pPr>
        <w:spacing w:after="0" w:line="162" w:lineRule="exact"/>
        <w:rPr>
          <w:rFonts w:ascii="Arial" w:cs="Arial" w:eastAsia="Arial" w:hAnsi="Arial"/>
          <w:sz w:val="15"/>
          <w:szCs w:val="15"/>
          <w:color w:val="auto"/>
        </w:rPr>
      </w:pPr>
    </w:p>
    <w:p>
      <w:pPr>
        <w:ind w:left="467" w:hanging="467"/>
        <w:spacing w:after="0"/>
        <w:tabs>
          <w:tab w:leader="none" w:pos="46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an annual director fee of $35,000,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if the director serves on a committee of our board of directors, an additional annual fee as follows:</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chairman of the board or lead independent director, $15,000,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chairman of the audit committee, $15,000,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audit committee member other than the chairman, $7,500,</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chairman of the compensation committee, $10,000,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compensation committee member other than the chairman, $5,000,</w:t>
      </w:r>
    </w:p>
    <w:p>
      <w:pPr>
        <w:spacing w:after="0" w:line="209"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chairman of the nominating and corporate governance committee, $7,500, and</w:t>
      </w:r>
    </w:p>
    <w:p>
      <w:pPr>
        <w:spacing w:after="0" w:line="221" w:lineRule="exact"/>
        <w:rPr>
          <w:rFonts w:ascii="Arial" w:cs="Arial" w:eastAsia="Arial" w:hAnsi="Arial"/>
          <w:sz w:val="15"/>
          <w:szCs w:val="15"/>
          <w:color w:val="auto"/>
        </w:rPr>
      </w:pPr>
    </w:p>
    <w:p>
      <w:pPr>
        <w:ind w:left="1387" w:hanging="461"/>
        <w:spacing w:after="0"/>
        <w:tabs>
          <w:tab w:leader="none" w:pos="1387" w:val="left"/>
        </w:tabs>
        <w:numPr>
          <w:ilvl w:val="1"/>
          <w:numId w:val="113"/>
        </w:numPr>
        <w:rPr>
          <w:rFonts w:ascii="Arial" w:cs="Arial" w:eastAsia="Arial" w:hAnsi="Arial"/>
          <w:sz w:val="15"/>
          <w:szCs w:val="15"/>
          <w:color w:val="auto"/>
        </w:rPr>
      </w:pPr>
      <w:r>
        <w:rPr>
          <w:rFonts w:ascii="Arial" w:cs="Arial" w:eastAsia="Arial" w:hAnsi="Arial"/>
          <w:sz w:val="15"/>
          <w:szCs w:val="15"/>
          <w:color w:val="auto"/>
        </w:rPr>
        <w:t>nominating and corporate governance committee member other than the chairman, $3,500.</w:t>
      </w:r>
    </w:p>
    <w:p>
      <w:pPr>
        <w:spacing w:after="0" w:line="198" w:lineRule="exact"/>
        <w:rPr>
          <w:sz w:val="20"/>
          <w:szCs w:val="20"/>
          <w:color w:val="auto"/>
        </w:rPr>
      </w:pPr>
    </w:p>
    <w:p>
      <w:pPr>
        <w:ind w:left="7" w:right="40"/>
        <w:spacing w:after="0" w:line="266" w:lineRule="auto"/>
        <w:rPr>
          <w:sz w:val="20"/>
          <w:szCs w:val="20"/>
          <w:color w:val="auto"/>
        </w:rPr>
      </w:pPr>
      <w:r>
        <w:rPr>
          <w:rFonts w:ascii="Arial" w:cs="Arial" w:eastAsia="Arial" w:hAnsi="Arial"/>
          <w:sz w:val="15"/>
          <w:szCs w:val="15"/>
          <w:color w:val="auto"/>
        </w:rPr>
        <w:t>Stock options granted to our non-employee directors under the program will have an exercise price equal to the fair market value of our common stock on the date of grant and will expire not later than ten years after the date of grant. The stock options granted upon a director's initial election or appointment will vest in substantially equal monthly installments over three years following the date of grant. The stock options granted annually to directors will vest in a single installment on the earlier of the day before the next annual meeting or the first anniversary of the date of grant. In addition, all unvested stock options will vest in full upon the occurrence of a change in control.</w:t>
      </w:r>
    </w:p>
    <w:p>
      <w:pPr>
        <w:spacing w:after="0" w:line="162" w:lineRule="exact"/>
        <w:rPr>
          <w:sz w:val="20"/>
          <w:szCs w:val="20"/>
          <w:color w:val="auto"/>
        </w:rPr>
      </w:pPr>
    </w:p>
    <w:p>
      <w:pPr>
        <w:jc w:val="both"/>
        <w:ind w:left="7" w:right="180"/>
        <w:spacing w:after="0" w:line="270" w:lineRule="auto"/>
        <w:rPr>
          <w:sz w:val="20"/>
          <w:szCs w:val="20"/>
          <w:color w:val="auto"/>
        </w:rPr>
      </w:pPr>
      <w:r>
        <w:rPr>
          <w:rFonts w:ascii="Arial" w:cs="Arial" w:eastAsia="Arial" w:hAnsi="Arial"/>
          <w:sz w:val="15"/>
          <w:szCs w:val="15"/>
          <w:color w:val="auto"/>
        </w:rPr>
        <w:t>Director fees under the program will be payable in arrears in four equal quarterly installments not later than the fifteenth day following the final day of each calendar quarter, provided that the amount of each payment will be prorated for any portion of a quarter that a director is not serving on our board and no fee will be payable in respect of any period prior to the effective date of the registration statement of which this prospectus is a part.</w:t>
      </w:r>
    </w:p>
    <w:p>
      <w:pPr>
        <w:spacing w:after="0" w:line="159" w:lineRule="exact"/>
        <w:rPr>
          <w:sz w:val="20"/>
          <w:szCs w:val="20"/>
          <w:color w:val="auto"/>
        </w:rPr>
      </w:pPr>
    </w:p>
    <w:p>
      <w:pPr>
        <w:ind w:left="7" w:right="100"/>
        <w:spacing w:after="0" w:line="282" w:lineRule="auto"/>
        <w:rPr>
          <w:sz w:val="20"/>
          <w:szCs w:val="20"/>
          <w:color w:val="auto"/>
        </w:rPr>
      </w:pPr>
      <w:r>
        <w:rPr>
          <w:rFonts w:ascii="Arial" w:cs="Arial" w:eastAsia="Arial" w:hAnsi="Arial"/>
          <w:sz w:val="15"/>
          <w:szCs w:val="15"/>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Certain relationships and related person transactions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includes a summary of transactions since January 1, 2013 to which we have been a party in which the amount involved exceeded or will exceed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 FINANCINGS AND CONVERTIBLE NOTES FINANCING</w:t>
      </w:r>
    </w:p>
    <w:p>
      <w:pPr>
        <w:spacing w:after="0" w:line="195"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i w:val="1"/>
          <w:iCs w:val="1"/>
          <w:color w:val="auto"/>
        </w:rPr>
        <w:t xml:space="preserve">Series D Preferred Stock Financing. </w:t>
      </w:r>
      <w:r>
        <w:rPr>
          <w:rFonts w:ascii="Arial" w:cs="Arial" w:eastAsia="Arial" w:hAnsi="Arial"/>
          <w:sz w:val="15"/>
          <w:szCs w:val="15"/>
          <w:color w:val="auto"/>
        </w:rPr>
        <w:t>Between April 7, 2014 and August 14, 2014, we sold to investors in private placements an aggregate of 3,211,105 shares of series D preferred stock at</w:t>
      </w:r>
      <w:r>
        <w:rPr>
          <w:rFonts w:ascii="Arial" w:cs="Arial" w:eastAsia="Arial" w:hAnsi="Arial"/>
          <w:sz w:val="15"/>
          <w:szCs w:val="15"/>
          <w:i w:val="1"/>
          <w:iCs w:val="1"/>
          <w:color w:val="auto"/>
        </w:rPr>
        <w:t xml:space="preserve"> </w:t>
      </w:r>
      <w:r>
        <w:rPr>
          <w:rFonts w:ascii="Arial" w:cs="Arial" w:eastAsia="Arial" w:hAnsi="Arial"/>
          <w:sz w:val="15"/>
          <w:szCs w:val="15"/>
          <w:color w:val="auto"/>
        </w:rPr>
        <w:t>a purchase price of $4.50 per share, for net aggregate consideration of approximately $14.3 million.</w:t>
      </w:r>
    </w:p>
    <w:p>
      <w:pPr>
        <w:spacing w:after="0" w:line="151" w:lineRule="exact"/>
        <w:rPr>
          <w:sz w:val="20"/>
          <w:szCs w:val="20"/>
          <w:color w:val="auto"/>
        </w:rPr>
      </w:pPr>
    </w:p>
    <w:p>
      <w:pPr>
        <w:jc w:val="both"/>
        <w:ind w:right="160"/>
        <w:spacing w:after="0" w:line="297" w:lineRule="auto"/>
        <w:rPr>
          <w:sz w:val="20"/>
          <w:szCs w:val="20"/>
          <w:color w:val="auto"/>
        </w:rPr>
      </w:pPr>
      <w:r>
        <w:rPr>
          <w:rFonts w:ascii="Arial" w:cs="Arial" w:eastAsia="Arial" w:hAnsi="Arial"/>
          <w:sz w:val="14"/>
          <w:szCs w:val="14"/>
          <w:i w:val="1"/>
          <w:iCs w:val="1"/>
          <w:color w:val="auto"/>
        </w:rPr>
        <w:t xml:space="preserve">Convertible Notes Financing. </w:t>
      </w:r>
      <w:r>
        <w:rPr>
          <w:rFonts w:ascii="Arial" w:cs="Arial" w:eastAsia="Arial" w:hAnsi="Arial"/>
          <w:sz w:val="14"/>
          <w:szCs w:val="14"/>
          <w:color w:val="auto"/>
        </w:rPr>
        <w:t>On April 10, 2015 and June 23, 2015, we sold to investors in private placements an aggregate of $7.1 million of convertible promissory notes, or the 2015</w:t>
      </w:r>
      <w:r>
        <w:rPr>
          <w:rFonts w:ascii="Arial" w:cs="Arial" w:eastAsia="Arial" w:hAnsi="Arial"/>
          <w:sz w:val="14"/>
          <w:szCs w:val="14"/>
          <w:i w:val="1"/>
          <w:iCs w:val="1"/>
          <w:color w:val="auto"/>
        </w:rPr>
        <w:t xml:space="preserve"> </w:t>
      </w:r>
      <w:r>
        <w:rPr>
          <w:rFonts w:ascii="Arial" w:cs="Arial" w:eastAsia="Arial" w:hAnsi="Arial"/>
          <w:sz w:val="14"/>
          <w:szCs w:val="14"/>
          <w:color w:val="auto"/>
        </w:rPr>
        <w:t>notes. The 2015 notes accrued at an interest rate of 8%, compounding monthly. In connection with the series E preferred stock financing described below, the principal amount of the 2015 notes and accrued interest thereon was automatically converted into an aggregate of 1,619,550 shares of our series E preferred stock in August 2015.</w:t>
      </w:r>
    </w:p>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i w:val="1"/>
          <w:iCs w:val="1"/>
          <w:color w:val="auto"/>
        </w:rPr>
        <w:t xml:space="preserve">Series E Preferred Stock Financing. </w:t>
      </w:r>
      <w:r>
        <w:rPr>
          <w:rFonts w:ascii="Arial" w:cs="Arial" w:eastAsia="Arial" w:hAnsi="Arial"/>
          <w:sz w:val="15"/>
          <w:szCs w:val="15"/>
          <w:color w:val="auto"/>
        </w:rPr>
        <w:t>On August 27, 2015, September 3, 2015 and September 17, 2015, we issued and sold to investors in private placements an aggregate 8,888,888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series E preferred stock at a purchase price of $4.50 per share, for aggregate consideration of approximately $40 million, including approximately $7.3 million in principal and accrued interest under the 2015 notes that converted into shares of series E preferred stock.</w:t>
      </w:r>
    </w:p>
    <w:p>
      <w:pPr>
        <w:spacing w:after="0" w:line="159"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color w:val="auto"/>
        </w:rPr>
        <w:t>The following table sets forth the aggregate number of shares of our capital stock acquired by beneficial owners of more than 5% of our capital stock in the financing transactions described above. Each share of our series D preferred stock identified in the following table will convert into 0.2683 shares of common stock upon the closing of this offering.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See "Prospectus summary—The offering" for a related offering price per share sensitivity analysis.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jc w:val="right"/>
              <w:ind w:right="248"/>
              <w:spacing w:after="0"/>
              <w:rPr>
                <w:sz w:val="20"/>
                <w:szCs w:val="20"/>
                <w:color w:val="auto"/>
              </w:rPr>
            </w:pPr>
            <w:r>
              <w:rPr>
                <w:rFonts w:ascii="Arial" w:cs="Arial" w:eastAsia="Arial" w:hAnsi="Arial"/>
                <w:sz w:val="12"/>
                <w:szCs w:val="12"/>
                <w:b w:val="1"/>
                <w:bCs w:val="1"/>
                <w:color w:val="auto"/>
              </w:rPr>
              <w:t>Series D</w:t>
            </w:r>
          </w:p>
        </w:tc>
        <w:tc>
          <w:tcPr>
            <w:tcW w:w="13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Series E</w:t>
            </w:r>
          </w:p>
        </w:tc>
      </w:tr>
      <w:tr>
        <w:trPr>
          <w:trHeight w:val="149"/>
        </w:trPr>
        <w:tc>
          <w:tcPr>
            <w:tcW w:w="5320" w:type="dxa"/>
            <w:vAlign w:val="bottom"/>
            <w:gridSpan w:val="3"/>
          </w:tcPr>
          <w:p>
            <w:pPr>
              <w:spacing w:after="0"/>
              <w:rPr>
                <w:sz w:val="20"/>
                <w:szCs w:val="20"/>
                <w:color w:val="auto"/>
              </w:rPr>
            </w:pPr>
            <w:r>
              <w:rPr>
                <w:rFonts w:ascii="Arial" w:cs="Arial" w:eastAsia="Arial" w:hAnsi="Arial"/>
                <w:sz w:val="12"/>
                <w:szCs w:val="12"/>
                <w:b w:val="1"/>
                <w:bCs w:val="1"/>
                <w:color w:val="auto"/>
              </w:rPr>
              <w:t>Participants</w:t>
            </w:r>
          </w:p>
        </w:tc>
        <w:tc>
          <w:tcPr>
            <w:tcW w:w="2460" w:type="dxa"/>
            <w:vAlign w:val="bottom"/>
          </w:tcPr>
          <w:p>
            <w:pPr>
              <w:jc w:val="right"/>
              <w:ind w:right="68"/>
              <w:spacing w:after="0"/>
              <w:rPr>
                <w:sz w:val="20"/>
                <w:szCs w:val="20"/>
                <w:color w:val="auto"/>
              </w:rPr>
            </w:pPr>
            <w:r>
              <w:rPr>
                <w:rFonts w:ascii="Arial" w:cs="Arial" w:eastAsia="Arial" w:hAnsi="Arial"/>
                <w:sz w:val="12"/>
                <w:szCs w:val="12"/>
                <w:b w:val="1"/>
                <w:bCs w:val="1"/>
                <w:color w:val="auto"/>
              </w:rPr>
              <w:t>preferred stock</w:t>
            </w:r>
          </w:p>
        </w:tc>
        <w:tc>
          <w:tcPr>
            <w:tcW w:w="136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preferred stock</w:t>
            </w:r>
          </w:p>
        </w:tc>
      </w:tr>
      <w:tr>
        <w:trPr>
          <w:trHeight w:val="177"/>
        </w:trPr>
        <w:tc>
          <w:tcPr>
            <w:tcW w:w="20" w:type="dxa"/>
            <w:vAlign w:val="bottom"/>
          </w:tcPr>
          <w:p>
            <w:pPr>
              <w:spacing w:after="0"/>
              <w:rPr>
                <w:sz w:val="15"/>
                <w:szCs w:val="15"/>
                <w:color w:val="auto"/>
              </w:rPr>
            </w:pPr>
          </w:p>
        </w:tc>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5% or Greater Stockholders</w:t>
            </w:r>
            <w:r>
              <w:rPr>
                <w:rFonts w:ascii="Arial" w:cs="Arial" w:eastAsia="Arial" w:hAnsi="Arial"/>
                <w:sz w:val="15"/>
                <w:szCs w:val="15"/>
                <w:color w:val="auto"/>
              </w:rPr>
              <w:t>(1)</w:t>
            </w:r>
          </w:p>
        </w:tc>
        <w:tc>
          <w:tcPr>
            <w:tcW w:w="2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Partners(2)</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472,276</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638,420(4)</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461,922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487,532(5)</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RUSNANO</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314,353</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781,322(6)</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LLC(3)</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149,894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1,798,762(7)</w:t>
            </w:r>
          </w:p>
        </w:tc>
      </w:tr>
      <w:tr>
        <w:trPr>
          <w:trHeight w:val="185"/>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5"/>
                <w:szCs w:val="15"/>
                <w:color w:val="auto"/>
              </w:rPr>
              <w:t>NanoDimension L.P.</w:t>
            </w:r>
          </w:p>
        </w:tc>
        <w:tc>
          <w:tcPr>
            <w:tcW w:w="2460" w:type="dxa"/>
            <w:vAlign w:val="bottom"/>
          </w:tcPr>
          <w:p>
            <w:pPr>
              <w:jc w:val="right"/>
              <w:ind w:right="8"/>
              <w:spacing w:after="0"/>
              <w:rPr>
                <w:sz w:val="20"/>
                <w:szCs w:val="20"/>
                <w:color w:val="auto"/>
              </w:rPr>
            </w:pPr>
            <w:r>
              <w:rPr>
                <w:rFonts w:ascii="Arial" w:cs="Arial" w:eastAsia="Arial" w:hAnsi="Arial"/>
                <w:sz w:val="15"/>
                <w:szCs w:val="15"/>
                <w:color w:val="auto"/>
              </w:rPr>
              <w:t>159,752</w:t>
            </w: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363,006(8)</w:t>
            </w:r>
          </w:p>
        </w:tc>
      </w:tr>
      <w:tr>
        <w:trPr>
          <w:trHeight w:val="185"/>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TAS Partners LLC and Leukon Partners, LP, as affiliated entities</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219,580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637,952(9)</w:t>
            </w:r>
          </w:p>
        </w:tc>
      </w:tr>
      <w:tr>
        <w:trPr>
          <w:trHeight w:val="93"/>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Additional details regarding these stockholders and their equity holdings are provided in this prospectus under the caption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266305"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6" w:lineRule="exact"/>
        <w:rPr>
          <w:sz w:val="20"/>
          <w:szCs w:val="20"/>
          <w:color w:val="auto"/>
        </w:rPr>
      </w:pPr>
    </w:p>
    <w:p>
      <w:pPr>
        <w:ind w:left="1600" w:right="360" w:hanging="463"/>
        <w:spacing w:after="0" w:line="238" w:lineRule="auto"/>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Represents securities acquired by Polaris Venture Partners V, L.P., Polaris Venture Partners Entrepreneurs' Fund V, L.P., Polaris Venture Partners Founders' Fund V, L.P. and Polaris Venture Partners Special Founders' Fund V, L.P.</w:t>
      </w:r>
    </w:p>
    <w:p>
      <w:pPr>
        <w:spacing w:after="0" w:line="96"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Represents securities acquired by OrbiMed Private Investments III, LP and OrbiMed Associates III, LP.</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416,198 shares of series E preferred stock issued upon conversion of an aggregate amount of $1.9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407,076 shares of series E preferred stock issued upon conversion of an aggregate amount of $1.8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259,100 shares of series E preferred stock issued upon conversion of an aggregate amount of $1.2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132,096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140,784 shares of series E preferred stock issued upon conversion of an aggregate amount of $0.6 million in principal and accrued interest of the 2015 notes.</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Includes 193,509 shares of series E preferred stock issued upon conversion of an aggregate amount of $0.9 million in principal and accrued interest of the 2015 notes.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Some of our directors and our director nominee are associated with our principal stockholders as indicated in the table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80" w:type="dxa"/>
            <w:vAlign w:val="bottom"/>
            <w:gridSpan w:val="3"/>
          </w:tcPr>
          <w:p>
            <w:pPr>
              <w:spacing w:after="0"/>
              <w:rPr>
                <w:sz w:val="20"/>
                <w:szCs w:val="20"/>
                <w:color w:val="auto"/>
              </w:rPr>
            </w:pPr>
            <w:r>
              <w:rPr>
                <w:rFonts w:ascii="Arial" w:cs="Arial" w:eastAsia="Arial" w:hAnsi="Arial"/>
                <w:sz w:val="12"/>
                <w:szCs w:val="12"/>
                <w:b w:val="1"/>
                <w:bCs w:val="1"/>
                <w:color w:val="auto"/>
              </w:rPr>
              <w:t>Director or director nominee</w:t>
            </w:r>
          </w:p>
        </w:tc>
        <w:tc>
          <w:tcPr>
            <w:tcW w:w="7060" w:type="dxa"/>
            <w:vAlign w:val="bottom"/>
          </w:tcPr>
          <w:p>
            <w:pPr>
              <w:ind w:left="3000"/>
              <w:spacing w:after="0"/>
              <w:rPr>
                <w:sz w:val="20"/>
                <w:szCs w:val="20"/>
                <w:color w:val="auto"/>
              </w:rPr>
            </w:pPr>
            <w:r>
              <w:rPr>
                <w:rFonts w:ascii="Arial" w:cs="Arial" w:eastAsia="Arial" w:hAnsi="Arial"/>
                <w:sz w:val="12"/>
                <w:szCs w:val="12"/>
                <w:b w:val="1"/>
                <w:bCs w:val="1"/>
                <w:color w:val="auto"/>
              </w:rPr>
              <w:t>Principal stockholder</w:t>
            </w:r>
          </w:p>
        </w:tc>
      </w:tr>
      <w:tr>
        <w:trPr>
          <w:trHeight w:val="177"/>
        </w:trPr>
        <w:tc>
          <w:tcPr>
            <w:tcW w:w="20" w:type="dxa"/>
            <w:vAlign w:val="bottom"/>
          </w:tcPr>
          <w:p>
            <w:pPr>
              <w:spacing w:after="0"/>
              <w:rPr>
                <w:sz w:val="15"/>
                <w:szCs w:val="15"/>
                <w:color w:val="auto"/>
              </w:rPr>
            </w:pPr>
          </w:p>
        </w:tc>
        <w:tc>
          <w:tcPr>
            <w:tcW w:w="2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Amir Nashat, Sc.D.</w:t>
            </w:r>
          </w:p>
        </w:tc>
        <w:tc>
          <w:tcPr>
            <w:tcW w:w="7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Entities affiliated with Polaris Venture Partners</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Edwin M. Kania</w:t>
            </w:r>
          </w:p>
        </w:tc>
        <w:tc>
          <w:tcPr>
            <w:tcW w:w="7060" w:type="dxa"/>
            <w:vAlign w:val="bottom"/>
          </w:tcPr>
          <w:p>
            <w:pPr>
              <w:ind w:left="220"/>
              <w:spacing w:after="0"/>
              <w:rPr>
                <w:sz w:val="20"/>
                <w:szCs w:val="20"/>
                <w:color w:val="auto"/>
              </w:rPr>
            </w:pPr>
            <w:r>
              <w:rPr>
                <w:rFonts w:ascii="Arial" w:cs="Arial" w:eastAsia="Arial" w:hAnsi="Arial"/>
                <w:sz w:val="15"/>
                <w:szCs w:val="15"/>
                <w:color w:val="auto"/>
              </w:rPr>
              <w:t>Flagship Ventures Fund 2007, L.P.</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 M.D.(1)</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RUSNANO</w:t>
            </w:r>
          </w:p>
        </w:tc>
      </w:tr>
      <w:tr>
        <w:trPr>
          <w:trHeight w:val="18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Carl Gordon, Ph.D.</w:t>
            </w:r>
          </w:p>
        </w:tc>
        <w:tc>
          <w:tcPr>
            <w:tcW w:w="7060" w:type="dxa"/>
            <w:vAlign w:val="bottom"/>
          </w:tcPr>
          <w:p>
            <w:pPr>
              <w:ind w:left="220"/>
              <w:spacing w:after="0"/>
              <w:rPr>
                <w:sz w:val="20"/>
                <w:szCs w:val="20"/>
                <w:color w:val="auto"/>
              </w:rPr>
            </w:pPr>
            <w:r>
              <w:rPr>
                <w:rFonts w:ascii="Arial" w:cs="Arial" w:eastAsia="Arial" w:hAnsi="Arial"/>
                <w:sz w:val="15"/>
                <w:szCs w:val="15"/>
                <w:color w:val="auto"/>
              </w:rPr>
              <w:t>Entities affiliated with OrbiMed Advisors LLC</w:t>
            </w:r>
          </w:p>
        </w:tc>
      </w:tr>
      <w:tr>
        <w:trPr>
          <w:trHeight w:val="185"/>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Aymeric Sallin, M.S.</w:t>
            </w:r>
          </w:p>
        </w:tc>
        <w:tc>
          <w:tcPr>
            <w:tcW w:w="7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NanoDimension L.P.</w:t>
            </w:r>
          </w:p>
        </w:tc>
      </w:tr>
      <w:tr>
        <w:trPr>
          <w:trHeight w:val="190"/>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5"/>
                <w:szCs w:val="15"/>
                <w:color w:val="auto"/>
              </w:rPr>
              <w:t>Timothy A. Springer, Ph.D.(2)</w:t>
            </w:r>
          </w:p>
        </w:tc>
        <w:tc>
          <w:tcPr>
            <w:tcW w:w="7060" w:type="dxa"/>
            <w:vAlign w:val="bottom"/>
          </w:tcPr>
          <w:p>
            <w:pPr>
              <w:ind w:left="220"/>
              <w:spacing w:after="0"/>
              <w:rPr>
                <w:sz w:val="20"/>
                <w:szCs w:val="20"/>
                <w:color w:val="auto"/>
              </w:rPr>
            </w:pPr>
            <w:r>
              <w:rPr>
                <w:rFonts w:ascii="Arial" w:cs="Arial" w:eastAsia="Arial" w:hAnsi="Arial"/>
                <w:sz w:val="15"/>
                <w:szCs w:val="15"/>
                <w:color w:val="auto"/>
              </w:rPr>
              <w:t>TAS Partners LLC and Leukon Partners, LP, as affiliated entities</w:t>
            </w: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7060" w:type="dxa"/>
            <w:vAlign w:val="bottom"/>
          </w:tcPr>
          <w:p>
            <w:pPr>
              <w:spacing w:after="0"/>
              <w:rPr>
                <w:sz w:val="7"/>
                <w:szCs w:val="7"/>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Dr. Shaydullina will resign from our board of directors contingent upon, and effective immediately prior to, the closing of this offering.</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Dr. Springer will be elected to our board of directors contingent upon, and effective upon, the effectiveness of the registration statement of which this prospectus forms a part.</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entered into an amended and restated investors' rights agreement in April 2014, which was further amended in July 2014, August 2015 and June 2016 with our directors Omid Farokhzad and Robert S. Langer, the holders of our preferred stock, including entities in which certain other of our directors are related, Ulrich von Andrian, a prior beneficial owner of 5% of our capital stock, and certain other stockholders. The agreement provides for certain rights relating to the registration of such holders' common stock, including shares issuable upon conversion of preferred stock, and a right of first refusal to purchase future securities sold by us. See "Description of capital stock—Registration rights"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We entered into an amended and restated voting agreement in August 2015, by and among us and certain of our stockholders, pursuant to which the following directors were elected to serve as members on our board of directors and, as of the date of this prospectus, continue to so serve: Amir Nashat Sc.D; Edwin M. Kania Jr.; Aymeric Sallin; Carl L. Gordon, Ph.D.; Leysan Shaydullina; Robert S. Langer, Jr., Sc.D.; Omid Farokhzad, M.D.; Werner Cautreels, Ph.D.; Peter Barton Hutt; and George Siber, M.D. Pursuant to the voting agreement, Drs. Farokhzad, and Langer were initially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319" w:lineRule="auto"/>
        <w:rPr>
          <w:sz w:val="20"/>
          <w:szCs w:val="20"/>
          <w:color w:val="auto"/>
        </w:rPr>
      </w:pPr>
      <w:r>
        <w:rPr>
          <w:rFonts w:ascii="Arial" w:cs="Arial" w:eastAsia="Arial" w:hAnsi="Arial"/>
          <w:sz w:val="13"/>
          <w:szCs w:val="13"/>
          <w:color w:val="auto"/>
        </w:rPr>
        <w:t>selected to serve on our board of directors as representatives of holders of our common stock, as designated by a majority of our founders. Dr. Cautreels was initially selected to serve on our board of directors in his capacity as our Chief Executive Officer. Drs. Nashat and Gordon, Messrs. Kania and Sallin, and Dr. Shaydullina were initially selected to serve on our board of directors as representatives of holders of our preferred stock, as designated by Polaris Venture Partners IV, L.P., OrbiMed Private Investments III, LP, Flagship Ventures, NanoDimension L.P. and RUSNANO, respectively. Mr. Hutt and Dr. Siber were initially selected to serve on our board of directors as independent directors, as designated by a majority of the other directors.</w:t>
      </w:r>
    </w:p>
    <w:p>
      <w:pPr>
        <w:spacing w:after="0" w:line="132" w:lineRule="exact"/>
        <w:rPr>
          <w:sz w:val="20"/>
          <w:szCs w:val="20"/>
          <w:color w:val="auto"/>
        </w:rPr>
      </w:pPr>
    </w:p>
    <w:p>
      <w:pPr>
        <w:jc w:val="both"/>
        <w:ind w:right="40"/>
        <w:spacing w:after="0" w:line="300" w:lineRule="auto"/>
        <w:rPr>
          <w:sz w:val="20"/>
          <w:szCs w:val="20"/>
          <w:color w:val="auto"/>
        </w:rPr>
      </w:pPr>
      <w:r>
        <w:rPr>
          <w:rFonts w:ascii="Arial" w:cs="Arial" w:eastAsia="Arial" w:hAnsi="Arial"/>
          <w:sz w:val="13"/>
          <w:szCs w:val="13"/>
          <w:color w:val="auto"/>
        </w:rPr>
        <w:t>In addition, pursuant to the voting agreement, we, as the sole equity holder of our Russian subsidiary, Selecta RUS, elected the following directors of Selecta RUS who, as of the date of this prospectus, continue to so serve: Leysan Shaydullina, M.D., Alexander Korchevskiy, Werner Cautreels, Ph.D., Lloyd Johnston, Ph.D. and Dmitry Ovchinnokov, Ph.D. Pursuant to the voting agreement, Drs. Werner Cautreels, Lloyd Johnston and Dmitry Ovchinnokov were selected to serve on the Selecta RUS board of directors, as designated by our board of directors.</w:t>
      </w:r>
    </w:p>
    <w:p>
      <w:pPr>
        <w:ind w:right="280"/>
        <w:spacing w:after="0" w:line="312" w:lineRule="auto"/>
        <w:rPr>
          <w:sz w:val="20"/>
          <w:szCs w:val="20"/>
          <w:color w:val="auto"/>
        </w:rPr>
      </w:pPr>
      <w:r>
        <w:rPr>
          <w:rFonts w:ascii="Arial" w:cs="Arial" w:eastAsia="Arial" w:hAnsi="Arial"/>
          <w:sz w:val="14"/>
          <w:szCs w:val="14"/>
          <w:color w:val="auto"/>
        </w:rPr>
        <w:t>Mr. Korchevskiy was selected to serve on the Selecta RUS board of directors, as designated by VTB Capital I2BF Netherlands B.V., a Dutch limited company, and Selecta RKFN Ltd., a Russian limited liability company, or collectively I2BF. Dr. Shaydullina was selected to serve on the Selecta RUS board of directors, as designated by RUSNANO.</w:t>
      </w:r>
    </w:p>
    <w:p>
      <w:pPr>
        <w:spacing w:after="0" w:line="132" w:lineRule="exact"/>
        <w:rPr>
          <w:sz w:val="20"/>
          <w:szCs w:val="20"/>
          <w:color w:val="auto"/>
        </w:rPr>
      </w:pPr>
    </w:p>
    <w:p>
      <w:pPr>
        <w:ind w:right="780"/>
        <w:spacing w:after="0" w:line="282" w:lineRule="auto"/>
        <w:rPr>
          <w:sz w:val="20"/>
          <w:szCs w:val="20"/>
          <w:color w:val="auto"/>
        </w:rPr>
      </w:pPr>
      <w:r>
        <w:rPr>
          <w:rFonts w:ascii="Arial" w:cs="Arial" w:eastAsia="Arial" w:hAnsi="Arial"/>
          <w:sz w:val="15"/>
          <w:szCs w:val="15"/>
          <w:color w:val="auto"/>
        </w:rPr>
        <w:t>The voting agreement will terminate in its entirety in connection with this offering. The composition of our board of directors after this offering is described in more detail under "Management—Board composition and election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AGREEMENTS</w:t>
      </w:r>
    </w:p>
    <w:p>
      <w:pPr>
        <w:spacing w:after="0" w:line="195" w:lineRule="exact"/>
        <w:rPr>
          <w:sz w:val="20"/>
          <w:szCs w:val="20"/>
          <w:color w:val="auto"/>
        </w:rPr>
      </w:pPr>
    </w:p>
    <w:p>
      <w:pPr>
        <w:ind w:right="380"/>
        <w:spacing w:after="0" w:line="282" w:lineRule="auto"/>
        <w:rPr>
          <w:sz w:val="20"/>
          <w:szCs w:val="20"/>
          <w:color w:val="auto"/>
        </w:rPr>
      </w:pPr>
      <w:r>
        <w:rPr>
          <w:rFonts w:ascii="Arial" w:cs="Arial" w:eastAsia="Arial" w:hAnsi="Arial"/>
          <w:sz w:val="15"/>
          <w:szCs w:val="15"/>
          <w:color w:val="auto"/>
        </w:rPr>
        <w:t>We have entered into employment agreements or offer letters with our named executive officers. For more information regarding the agreements with our named executive officers, see "Executive and director compensation—Executive compensation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CONSULTING AGREEMENTS</w:t>
      </w:r>
    </w:p>
    <w:p>
      <w:pPr>
        <w:spacing w:after="0" w:line="195"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We entered into consulting agreements with directors Omid Farokhzad, Robert Langer and George Siber, and Ulrich von Andrian. Each of Drs. Langer and Siber will resign from our board of directors contingent upon, and effective immediately prior to, the effectiveness of the registration statement of which this prospectus forms a part.</w:t>
      </w:r>
    </w:p>
    <w:p>
      <w:pPr>
        <w:spacing w:after="0" w:line="151"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The consulting agreements provide for annual payments of $75,000 for each of Drs. Farokhzad, Langer and von Andrian and $36,000 for Dr. Siber. Dr. Siber also received stock options to purchase up to 123,140 shares of common stock at an exercise price equal to fair market value on the date of grant. We also pay Dr. Farokhzad $72,000 per year in addition to the annual $75,000 payment under his consulting agreement, but have agreed with Dr. Farokhzad to discontinue this additional $72,000 per year payment upon the closing of this offering.</w:t>
      </w:r>
    </w:p>
    <w:p>
      <w:pPr>
        <w:spacing w:after="0" w:line="12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provides that the agreement may be terminated by mutual consent of the parties or by either party upon 30 days' prior written notice. Each agreement contains provisions regarding intellectual property assignment, confidentiality, noncompetition and nonsolicitation. Our existing consulting agreement with Dr. Siber will terminate upon the closing of this offering. We expect to enter into a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agreement with Dr. Siber after this offering regarding his continued service on our scientific advisory board.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regarding compensation that we have paid to each of Drs. Farokhzad, Langer and Siber, see "Executive and director compensation—Director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 GRANTS TO EXECUTIVE OFFICERS AND DIRECTORS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have granted stock options to our executive officers and certain of our directors as more fully described in the section entitled "Executive and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PARTICIPATION IN THIS OFFERING</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 any other shares sold to the public in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board of directors has adopted a written related person transaction policy, to be effective immediately prior to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of 1933, as amended, or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26630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6" w:name="page207"/>
    <w:bookmarkEnd w:id="206"/>
    <w:p>
      <w:pPr>
        <w:ind w:left="7"/>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0910" cy="7620"/>
                    </a:xfrm>
                    <a:prstGeom prst="rect">
                      <a:avLst/>
                    </a:prstGeom>
                    <a:noFill/>
                  </pic:spPr>
                </pic:pic>
              </a:graphicData>
            </a:graphic>
          </wp:anchor>
        </w:drawing>
        <w:t>Principal stockholders</w:t>
      </w:r>
    </w:p>
    <w:p>
      <w:pPr>
        <w:spacing w:after="0" w:line="183"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The following table sets forth information with respect to the beneficial ownership of our common stock, as of May 31, 2016, and as adjusted to reflect the sale of shares of common stock in this offering, by:</w:t>
      </w:r>
    </w:p>
    <w:p>
      <w:pPr>
        <w:spacing w:after="0" w:line="162" w:lineRule="exact"/>
        <w:rPr>
          <w:sz w:val="20"/>
          <w:szCs w:val="20"/>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beneficially own more than 5% of our common stock;</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of our directors and our director nominee;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all of our executive officers, directors and our director nominee as a group.</w:t>
      </w:r>
    </w:p>
    <w:p>
      <w:pPr>
        <w:spacing w:after="0" w:line="198" w:lineRule="exact"/>
        <w:rPr>
          <w:sz w:val="20"/>
          <w:szCs w:val="20"/>
          <w:color w:val="auto"/>
        </w:rPr>
      </w:pPr>
    </w:p>
    <w:p>
      <w:pPr>
        <w:ind w:left="7" w:right="20"/>
        <w:spacing w:after="0" w:line="306" w:lineRule="auto"/>
        <w:rPr>
          <w:sz w:val="20"/>
          <w:szCs w:val="20"/>
          <w:color w:val="auto"/>
        </w:rPr>
      </w:pPr>
      <w:r>
        <w:rPr>
          <w:rFonts w:ascii="Arial" w:cs="Arial" w:eastAsia="Arial" w:hAnsi="Arial"/>
          <w:sz w:val="13"/>
          <w:szCs w:val="13"/>
          <w:color w:val="auto"/>
        </w:rPr>
        <w:t>The number of shares beneficially owned by each stockholder is determined under rules issued by the Securities and Exchange Commission. Under these rules, beneficial ownership includes any shares as to which the individual or entity has sole or shared voting power or investment power. Applicable percentage ownership information is based on 12,664,048 shares of common stock outstanding as of May 31, 2016, which assumes the conversion of the 8,888,888 outstanding shares of our series E preferred stock as of May 31, 2016 into an aggregate of 3,297,480 shares of our common stock, which will automatically occur upon completion of this offering. Upon the closing of this offering, (i) our series E preferred stock will automatically convert into a number of shares of common stock and (ii) outstanding warrants to purchase shares of our series E preferred stock will become warrants to purchase a number of shares of our common stock, in each case, determined, in part, by the initial public offering price for this offering, which we have assumed to be $15.00 per share, the midpoint of the price range set forth on the cover page of this prospectus. Accordingly, the number of shares of our common stock issuable upon conversion of all of our preferred stock and exercise of our warrants outstanding would correspondingly increase or decrease, as applicable, in the event of any change in the initial public offering price per share. See "Prospectus summary—The offering."</w:t>
      </w:r>
    </w:p>
    <w:p>
      <w:pPr>
        <w:spacing w:after="0" w:line="143" w:lineRule="exact"/>
        <w:rPr>
          <w:sz w:val="20"/>
          <w:szCs w:val="20"/>
          <w:color w:val="auto"/>
        </w:rPr>
      </w:pPr>
    </w:p>
    <w:p>
      <w:pPr>
        <w:ind w:left="7" w:right="140"/>
        <w:spacing w:after="0" w:line="263" w:lineRule="auto"/>
        <w:rPr>
          <w:sz w:val="20"/>
          <w:szCs w:val="20"/>
          <w:color w:val="auto"/>
        </w:rPr>
      </w:pPr>
      <w:r>
        <w:rPr>
          <w:rFonts w:ascii="Arial" w:cs="Arial" w:eastAsia="Arial" w:hAnsi="Arial"/>
          <w:sz w:val="15"/>
          <w:szCs w:val="15"/>
          <w:color w:val="auto"/>
        </w:rPr>
        <w:t>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May 31, 2016 are considered outstanding, although these shares are not considered outstanding for purposes of computing the percentage ownership of any other person. Unless noted otherwise, the address of all listed stockholders is 480 Arsenal Street, Building One, Watertown, Massachusetts 02472. Each of the stockholders listed has sole voting and investment power with respect to the shares beneficially owned by the stockholder unless noted otherwise, subject to community property laws where applicable.</w:t>
      </w:r>
    </w:p>
    <w:p>
      <w:pPr>
        <w:spacing w:after="0" w:line="167"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Certain of our existing stockholders, including entities affiliated with certain of our directors and director nominee, have indicated an interest in purchasing an aggregate of approximately $40.0 million in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underwriters will receive the same underwriting discount on any shares purchased by these stockholders as they will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333" w:right="239" w:bottom="1440" w:gutter="0" w:footer="0" w:header="0"/>
        </w:sectPr>
      </w:pPr>
    </w:p>
    <w:bookmarkStart w:id="207" w:name="page208"/>
    <w:bookmarkEnd w:id="20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any other shares sold to the public in this offering. The information set forth in the table below does not reflect any potential purchase of any shares in this offering by such parties.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Shares</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17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beneficially owned</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of beneficial owner</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prior to offering</w:t>
            </w:r>
          </w:p>
        </w:tc>
        <w:tc>
          <w:tcPr>
            <w:tcW w:w="17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after offering</w:t>
            </w:r>
          </w:p>
        </w:tc>
        <w:tc>
          <w:tcPr>
            <w:tcW w:w="0" w:type="dxa"/>
            <w:vAlign w:val="bottom"/>
          </w:tcPr>
          <w:p>
            <w:pPr>
              <w:spacing w:after="0"/>
              <w:rPr>
                <w:sz w:val="1"/>
                <w:szCs w:val="1"/>
                <w:color w:val="auto"/>
              </w:rPr>
            </w:pPr>
          </w:p>
        </w:tc>
      </w:tr>
      <w:tr>
        <w:trPr>
          <w:trHeight w:val="131"/>
        </w:trPr>
        <w:tc>
          <w:tcPr>
            <w:tcW w:w="5580" w:type="dxa"/>
            <w:vAlign w:val="bottom"/>
            <w:gridSpan w:val="3"/>
            <w:vMerge w:val="continue"/>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860" w:type="dxa"/>
            <w:vAlign w:val="bottom"/>
            <w:tcBorders>
              <w:top w:val="single" w:sz="8" w:color="auto"/>
            </w:tcBorders>
          </w:tcPr>
          <w:p>
            <w:pPr>
              <w:jc w:val="right"/>
              <w:ind w:right="187"/>
              <w:spacing w:after="0" w:line="131" w:lineRule="exact"/>
              <w:rPr>
                <w:sz w:val="20"/>
                <w:szCs w:val="20"/>
                <w:color w:val="auto"/>
              </w:rPr>
            </w:pPr>
            <w:r>
              <w:rPr>
                <w:rFonts w:ascii="Arial" w:cs="Arial" w:eastAsia="Arial" w:hAnsi="Arial"/>
                <w:sz w:val="12"/>
                <w:szCs w:val="12"/>
                <w:b w:val="1"/>
                <w:bCs w:val="1"/>
                <w:color w:val="auto"/>
              </w:rPr>
              <w:t>Number</w:t>
            </w: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Entities affiliated with Polaris Venture Partners(1)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13.9%</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Flagship Ventures Fund 2007, L.P.(2)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RUSNANO(3)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1,361,434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10.7%</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1,361,434</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OrbiMed Advisors LLC(4)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TAS Partners LLC and Leukon Partners, LP, as affiliated entities(5)</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NanoDimension L.P.(6)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658,345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658,345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368"/>
        </w:trPr>
        <w:tc>
          <w:tcPr>
            <w:tcW w:w="5580" w:type="dxa"/>
            <w:vAlign w:val="bottom"/>
            <w:gridSpan w:val="3"/>
          </w:tcPr>
          <w:p>
            <w:pPr>
              <w:spacing w:after="0"/>
              <w:rPr>
                <w:sz w:val="20"/>
                <w:szCs w:val="20"/>
                <w:color w:val="auto"/>
              </w:rPr>
            </w:pPr>
            <w:r>
              <w:rPr>
                <w:rFonts w:ascii="Arial" w:cs="Arial" w:eastAsia="Arial" w:hAnsi="Arial"/>
                <w:sz w:val="15"/>
                <w:szCs w:val="15"/>
                <w:b w:val="1"/>
                <w:bCs w:val="1"/>
                <w:i w:val="1"/>
                <w:iCs w:val="1"/>
                <w:color w:val="auto"/>
              </w:rPr>
              <w:t>Named Executive Officers, Directors and Director Nominee</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Werner Cautreels, Ph.D.(7)</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412,097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Takashi Kei Kishimoto, Ph.D.(8)</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108,172</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Earl Sands, M.D.</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25,640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Omid Farokhzad, M.D.(9)</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419,861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419,861</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Carl Gordon, Ph.D.(4)</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1,251,707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Peter Barton Hutt(10)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36,324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Edwin M. Kania, Jr.(2)</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1,659,205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Robert Langer, Jr., Sc. D.(11)</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534,793</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Amir Nashat, Sc.D.(1)</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1,757,234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Aymeric Sallin, M.S.(6)</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Leysan Shaydullina(3)</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George Siber, M.D.(12)</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31,574</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Timothy A. Springer, Ph.D.(5)</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965,330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5"/>
                <w:szCs w:val="15"/>
                <w:color w:val="auto"/>
              </w:rPr>
              <w:t>All executive officers, directors and director nominee as a group (17 persons)(13)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7,596,270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60.0%</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7,596,270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44.9%</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5" w:lineRule="exact"/>
        <w:rPr>
          <w:sz w:val="20"/>
          <w:szCs w:val="20"/>
          <w:color w:val="auto"/>
        </w:rPr>
      </w:pPr>
    </w:p>
    <w:p>
      <w:pPr>
        <w:ind w:left="1600" w:right="140" w:hanging="463"/>
        <w:spacing w:after="0" w:line="276" w:lineRule="auto"/>
        <w:tabs>
          <w:tab w:leader="none" w:pos="1600" w:val="left"/>
        </w:tabs>
        <w:numPr>
          <w:ilvl w:val="0"/>
          <w:numId w:val="119"/>
        </w:numPr>
        <w:rPr>
          <w:rFonts w:ascii="Arial" w:cs="Arial" w:eastAsia="Arial" w:hAnsi="Arial"/>
          <w:sz w:val="10"/>
          <w:szCs w:val="10"/>
          <w:color w:val="auto"/>
        </w:rPr>
      </w:pPr>
      <w:r>
        <w:rPr>
          <w:rFonts w:ascii="Arial" w:cs="Arial" w:eastAsia="Arial" w:hAnsi="Arial"/>
          <w:sz w:val="10"/>
          <w:szCs w:val="10"/>
          <w:color w:val="auto"/>
        </w:rPr>
        <w:t>Consists of (i) 1,675,639 shares of common stock held by Polaris Venture Partners V, L.P., or Polaris V, (ii) 19,990 shares of common stock underlying warrants exercisable within 60 days of May 31, 2016 held by Polaris V, (iii) 32,654 shares of common stock held by Polaris Venture Partners Entrepreneurs' Fund V, L.P., or Polaris EFund V, (iv) 389 shares of common stock underlying warrants exercisable within</w:t>
      </w:r>
    </w:p>
    <w:p>
      <w:pPr>
        <w:ind w:left="1600" w:right="20"/>
        <w:spacing w:after="0" w:line="271" w:lineRule="auto"/>
        <w:rPr>
          <w:rFonts w:ascii="Arial" w:cs="Arial" w:eastAsia="Arial" w:hAnsi="Arial"/>
          <w:sz w:val="10"/>
          <w:szCs w:val="10"/>
          <w:color w:val="auto"/>
        </w:rPr>
      </w:pPr>
      <w:r>
        <w:rPr>
          <w:rFonts w:ascii="Arial" w:cs="Arial" w:eastAsia="Arial" w:hAnsi="Arial"/>
          <w:sz w:val="10"/>
          <w:szCs w:val="10"/>
          <w:color w:val="auto"/>
        </w:rPr>
        <w:t>60 days of May 31, 2016 held by Polaris EFund V, (v) 11,474 shares of common stock held by Polaris Venture Partners Founders' Fund V, L.P., or Polaris FFund V, (vi) 136 shares of common stock underlying warrants exercisable within 60 days of May 31, 2016 held by Polaris FFund V, (vii) 16,753 shares of common stock held by Polaris Venture Partners Special Founders' Fund V, L.P., or Polaris SFFund V, and (viii) 199 shares of common stock underlying warrants exercisable within 60 days of May 31, 2016 held by Polaris SFFund V. The general partner of each of the Funds is Polaris Venture Management Co., V, L.L.C., or the General Partner. The General Partner may be deemed to have sole voting and investment power with respect to the shares held by the Funds, and disclaims beneficial ownership of all the shares held by the Funds except to the extent of its proportionate pecuniary interest therein. The members of North Star Venture Management 2000, LLC are also members of the General Partner. As members of North Star Venture Management 2000, LLC and the General Partner, such members, or the Management Members, may be deemed to share voting and investment powers for the shares held by the Funds. The Management Members disclaim beneficial ownership of all such shares held by the funds except to the extent of their proportionate pecuniary interests therein. Dr. Amir Nashat, our director, is a member of the General Partner. To the extent that he is deemed to share voting and investment powers with respect to the shares held by the Funds, Dr. Nashat disclaims beneficial ownership of his proportionate pecuniary interest therein. The address of the beneficial owner is c/o Polaris Venture Partners, 1000 Winter Street, Suite 3350, Waltham, MA 02451.</w:t>
      </w:r>
    </w:p>
    <w:p>
      <w:pPr>
        <w:spacing w:after="0" w:line="83" w:lineRule="exact"/>
        <w:rPr>
          <w:rFonts w:ascii="Arial" w:cs="Arial" w:eastAsia="Arial" w:hAnsi="Arial"/>
          <w:sz w:val="10"/>
          <w:szCs w:val="10"/>
          <w:color w:val="auto"/>
        </w:rPr>
      </w:pPr>
    </w:p>
    <w:p>
      <w:pPr>
        <w:ind w:left="1600" w:right="80" w:hanging="463"/>
        <w:spacing w:after="0" w:line="238" w:lineRule="auto"/>
        <w:tabs>
          <w:tab w:leader="none" w:pos="16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(i) 1,638,943 shares of common stock held of record by Flagship Ventures Fund 2007, L.P., or Flagship Ventures 2007, and (ii) 20,262 shares of common stock underlying warrants exercisable within 60 days of May 31, 2016 held of record by Flagship Ventures 2007. Flagship Ventures 2007 General Partner, LLC, or Flagship 2007 LLC,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266305"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7" w:lineRule="exact"/>
        <w:rPr>
          <w:sz w:val="20"/>
          <w:szCs w:val="20"/>
          <w:color w:val="auto"/>
        </w:rPr>
      </w:pPr>
    </w:p>
    <w:p>
      <w:pPr>
        <w:ind w:left="1600" w:right="40"/>
        <w:spacing w:after="0" w:line="299" w:lineRule="auto"/>
        <w:rPr>
          <w:sz w:val="20"/>
          <w:szCs w:val="20"/>
          <w:color w:val="auto"/>
        </w:rPr>
      </w:pPr>
      <w:r>
        <w:rPr>
          <w:rFonts w:ascii="Arial" w:cs="Arial" w:eastAsia="Arial" w:hAnsi="Arial"/>
          <w:sz w:val="10"/>
          <w:szCs w:val="10"/>
          <w:color w:val="auto"/>
        </w:rPr>
        <w:t>general partner of Flagship Ventures 2007 and Noubar B. Afeyan Ph.D. and Edwin M. Kania, Jr. are the managers of Flagship 2007 LLC. Flagship 2007 LLC, Dr. Afeyan and Mr. Kania may be deemed to share voting and investment power with respect to all shares held by Flagship Ventures 2007. Flagship 2007 LLC, Dr. Afeyan and Mr. Kania expressly disclaim beneficial ownership of the securities listed above except to the extent of any pecuniary interest therein. The address for Flagship Ventures 2007 is One Memorial Drive, 7th Floor, Cambridge, MA 02142.</w:t>
      </w:r>
    </w:p>
    <w:p>
      <w:pPr>
        <w:spacing w:after="0" w:line="126" w:lineRule="exact"/>
        <w:rPr>
          <w:sz w:val="20"/>
          <w:szCs w:val="20"/>
          <w:color w:val="auto"/>
        </w:rPr>
      </w:pPr>
    </w:p>
    <w:p>
      <w:pPr>
        <w:ind w:left="1600" w:hanging="463"/>
        <w:spacing w:after="0" w:line="268" w:lineRule="auto"/>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Consists of (i) 1,348,331 shares of common stock held by RUSNANO and (ii) 13,103 shares of common stock underlying warrants exercisable within 60 days of May 31, 2016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w:t>
      </w:r>
    </w:p>
    <w:p>
      <w:pPr>
        <w:spacing w:after="0" w:line="2" w:lineRule="exact"/>
        <w:rPr>
          <w:rFonts w:ascii="Arial" w:cs="Arial" w:eastAsia="Arial" w:hAnsi="Arial"/>
          <w:sz w:val="10"/>
          <w:szCs w:val="10"/>
          <w:color w:val="auto"/>
        </w:rPr>
      </w:pPr>
    </w:p>
    <w:p>
      <w:pPr>
        <w:ind w:left="1600"/>
        <w:spacing w:after="0"/>
        <w:rPr>
          <w:rFonts w:ascii="Arial" w:cs="Arial" w:eastAsia="Arial" w:hAnsi="Arial"/>
          <w:sz w:val="10"/>
          <w:szCs w:val="10"/>
          <w:color w:val="auto"/>
        </w:rPr>
      </w:pPr>
      <w:r>
        <w:rPr>
          <w:rFonts w:ascii="Arial" w:cs="Arial" w:eastAsia="Arial" w:hAnsi="Arial"/>
          <w:sz w:val="12"/>
          <w:szCs w:val="12"/>
          <w:color w:val="auto"/>
        </w:rPr>
        <w:t>10A prospect 60-letiya Oktyabrya, Moscow, Russia 117036.</w:t>
      </w:r>
    </w:p>
    <w:p>
      <w:pPr>
        <w:spacing w:after="0" w:line="95" w:lineRule="exact"/>
        <w:rPr>
          <w:rFonts w:ascii="Arial" w:cs="Arial" w:eastAsia="Arial" w:hAnsi="Arial"/>
          <w:sz w:val="10"/>
          <w:szCs w:val="10"/>
          <w:color w:val="auto"/>
        </w:rPr>
      </w:pPr>
    </w:p>
    <w:p>
      <w:pPr>
        <w:ind w:left="1600" w:right="20" w:hanging="463"/>
        <w:spacing w:after="0" w:line="276" w:lineRule="auto"/>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Consists of (i) 1,233,390 shares of common stock held by OrbiMed Private Investments III, LP, or OrbiMed Private, (ii) 6,513 shares of common stock underlying warrants exercisable within 60 days of May 31, 2016 held by OrbiMed Private, (iii) 11,743 shares of common stock held by OrbiMed Associates III, LP, or OrbiMed Associates and, together with OrbiMed Private, the OrbiMed Funds, and (iv) 61 shares of common stock underlying warrants exercisable within 60 days of May 31, 2016 held by OrbiMed Associates. OrbiMed Capital GP III LLC, or GP III, is the general partner of OrbiMed Private and OrbiMed Advisors LLC, or OrbiMed Advisors, is the managing member of GP III and the general partner of OrbiMed Associates. Mr. Samuel D. Isaly is the managing member of and owner of a controlling interest in OrbiMed Advisors. By virtue of such relationships, GP III, OrbiMed Advisors and Mr. Isaly may be deemed to have voting and investment power over the securities held by the OrbiMed Funds and as a result may be deemed to have beneficial ownership over such securities. Dr. Carl Gordon, one of our directors, is a member of OrbiMed Advisors. Each of GP III, OrbiMed Advisors, Mr. Isaly and Dr. Gordon disclaims beneficial ownership of all the shares held by the OrbiMed Funds except to the extent of its or his proportionate pecuniary interest therein. The mailing address of the beneficial owner is 601 Lexington Avenue, New York, NY 10022.</w:t>
      </w:r>
    </w:p>
    <w:p>
      <w:pPr>
        <w:spacing w:after="0" w:line="209" w:lineRule="exact"/>
        <w:rPr>
          <w:rFonts w:ascii="Arial" w:cs="Arial" w:eastAsia="Arial" w:hAnsi="Arial"/>
          <w:sz w:val="10"/>
          <w:szCs w:val="10"/>
          <w:color w:val="auto"/>
        </w:rPr>
      </w:pPr>
    </w:p>
    <w:p>
      <w:pPr>
        <w:ind w:left="1600" w:right="20" w:hanging="463"/>
        <w:spacing w:after="0" w:line="228" w:lineRule="auto"/>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437,396 shares of common stock held by TAS Partners, LLC, or TAS, (ii) 4,304 shares of common stock underlying warrants exercisable within 60 days of May 31, 2016 held by TAS, (iii) 518,304 shares of common stock held by Leukon Investments LP, or Leukon, and (iv) 5,326 shares of common stock underlying warrants exercisable within 60 days of May 31, 2016. LKST, Inc. is the general partner of Leukon. Timothy Springer, our director nominee, is the president of LKST, Inc. and is also the manager of TAS. Mr. Springer disclaims beneficial ownership of the shares held by TAS and Leukon except to the extent of his pecuniary interest therein. Each of TAS and Leukon disclaim beneficial ownership of the shares held by the other except to the extent of their pecuniary interest therein. The address of TAS and Leukon is 36 Woodman Road, Chestnut Hill, MA 02467.</w:t>
      </w:r>
    </w:p>
    <w:p>
      <w:pPr>
        <w:spacing w:after="0" w:line="97" w:lineRule="exact"/>
        <w:rPr>
          <w:rFonts w:ascii="Arial" w:cs="Arial" w:eastAsia="Arial" w:hAnsi="Arial"/>
          <w:sz w:val="12"/>
          <w:szCs w:val="12"/>
          <w:color w:val="auto"/>
        </w:rPr>
      </w:pPr>
    </w:p>
    <w:p>
      <w:pPr>
        <w:ind w:left="1600" w:right="60" w:hanging="463"/>
        <w:spacing w:after="0" w:line="279" w:lineRule="auto"/>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Consists of (i) 651,338 shares of common stock held by NanoDimension L.P., or ND LP, and (ii) 7,007 shares of common stock underlying warrants exercisable within 60 days of May 31, 2016 held by ND LP. NanoDimension Management Ltd., or ND GP, serves as the general partner of ND LP and possesses power to direct the voting and disposition of the shares owned by ND LP and may be deemed to have indirect beneficial ownership of the shares held by ND LP. ND GP disclaims beneficial ownership of such shares, except to the extent of its pecuniary interest therein. The ND GP owns no securities of the issuer directly. Jonathan Nicholson and Richard Coles are the members of the board of directors of ND GP and share voting and dispositive power over the shares held by ND LP. Aymeric Sallin is a member of the investment advisory committee of NDGP that provide investment recommendation to NDGP. Each such person disclaims beneficial ownership of the shares reported herein, except to the extent of his respective pecuniary interest therein. The address for NanoDimension Limited Partnership is Governor's Square, Unit 3-213-6, 23 Lime Tree Bay Ave, Grand Cayman, Cayman Islands KY1-1302.</w:t>
      </w:r>
    </w:p>
    <w:p>
      <w:pPr>
        <w:spacing w:after="0" w:line="78" w:lineRule="exact"/>
        <w:rPr>
          <w:rFonts w:ascii="Arial" w:cs="Arial" w:eastAsia="Arial" w:hAnsi="Arial"/>
          <w:sz w:val="10"/>
          <w:szCs w:val="10"/>
          <w:color w:val="auto"/>
        </w:rPr>
      </w:pPr>
    </w:p>
    <w:p>
      <w:pPr>
        <w:ind w:left="1600" w:hanging="463"/>
        <w:spacing w:after="0"/>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110,894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108,172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Includes (i) 65,652 shares of common stock underlying outstanding stock options exercisable within 60 days of May 31, 2016; (ii) 202,051 shares of common stock held by a family trust for which</w:t>
      </w:r>
    </w:p>
    <w:p>
      <w:pPr>
        <w:spacing w:after="0" w:line="22" w:lineRule="exact"/>
        <w:rPr>
          <w:rFonts w:ascii="Arial" w:cs="Arial" w:eastAsia="Arial" w:hAnsi="Arial"/>
          <w:sz w:val="10"/>
          <w:szCs w:val="10"/>
          <w:color w:val="auto"/>
        </w:rPr>
      </w:pPr>
    </w:p>
    <w:p>
      <w:pPr>
        <w:ind w:left="1600" w:right="180"/>
        <w:spacing w:after="0" w:line="230" w:lineRule="auto"/>
        <w:rPr>
          <w:rFonts w:ascii="Arial" w:cs="Arial" w:eastAsia="Arial" w:hAnsi="Arial"/>
          <w:sz w:val="10"/>
          <w:szCs w:val="10"/>
          <w:color w:val="auto"/>
        </w:rPr>
      </w:pPr>
      <w:r>
        <w:rPr>
          <w:rFonts w:ascii="Arial" w:cs="Arial" w:eastAsia="Arial" w:hAnsi="Arial"/>
          <w:sz w:val="12"/>
          <w:szCs w:val="12"/>
          <w:color w:val="auto"/>
        </w:rPr>
        <w:t>Dr. Farokhzad's wife serves as trustee; and (iii) 20,609 shares of common stock held by BioDynamics Core, L.P., which is managed by BioDynamics, LLC, of which Dr. Farokhzad is a member. Dr. Farokhzad disclaims beneficial ownership over the shares held by the family trust and BioDynamics Core, L.P. except to the extent of any pecuniary interest therein.</w:t>
      </w:r>
    </w:p>
    <w:p>
      <w:pPr>
        <w:spacing w:after="0" w:line="96" w:lineRule="exact"/>
        <w:rPr>
          <w:rFonts w:ascii="Arial" w:cs="Arial" w:eastAsia="Arial" w:hAnsi="Arial"/>
          <w:sz w:val="10"/>
          <w:szCs w:val="10"/>
          <w:color w:val="auto"/>
        </w:rPr>
      </w:pPr>
    </w:p>
    <w:p>
      <w:pPr>
        <w:ind w:left="1600" w:hanging="463"/>
        <w:spacing w:after="0"/>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36,324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77,190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Includes 31,574 shares of common stock underlying outstanding stock options exercisable within 60 days of May 31, 2016.</w:t>
      </w:r>
    </w:p>
    <w:p>
      <w:pPr>
        <w:spacing w:after="0" w:line="105" w:lineRule="exact"/>
        <w:rPr>
          <w:rFonts w:ascii="Arial" w:cs="Arial" w:eastAsia="Arial" w:hAnsi="Arial"/>
          <w:sz w:val="12"/>
          <w:szCs w:val="12"/>
          <w:color w:val="auto"/>
        </w:rPr>
      </w:pPr>
    </w:p>
    <w:p>
      <w:pPr>
        <w:ind w:left="1600" w:hanging="463"/>
        <w:spacing w:after="0"/>
        <w:tabs>
          <w:tab w:leader="none" w:pos="1600" w:val="left"/>
        </w:tabs>
        <w:numPr>
          <w:ilvl w:val="0"/>
          <w:numId w:val="120"/>
        </w:numPr>
        <w:rPr>
          <w:rFonts w:ascii="Arial" w:cs="Arial" w:eastAsia="Arial" w:hAnsi="Arial"/>
          <w:sz w:val="10"/>
          <w:szCs w:val="10"/>
          <w:color w:val="auto"/>
        </w:rPr>
      </w:pPr>
      <w:r>
        <w:rPr>
          <w:rFonts w:ascii="Arial" w:cs="Arial" w:eastAsia="Arial" w:hAnsi="Arial"/>
          <w:sz w:val="10"/>
          <w:szCs w:val="10"/>
          <w:color w:val="auto"/>
        </w:rPr>
        <w:t>Includes (i) 833,588 shares of common stock underlying outstanding stock options and (ii) 57,180 shares of common stock underlying warrants exercisable within 60 days of May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266305"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Description of capital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right="120"/>
        <w:spacing w:after="0" w:line="313" w:lineRule="auto"/>
        <w:rPr>
          <w:sz w:val="20"/>
          <w:szCs w:val="20"/>
          <w:color w:val="auto"/>
        </w:rPr>
      </w:pPr>
      <w:r>
        <w:rPr>
          <w:rFonts w:ascii="Arial" w:cs="Arial" w:eastAsia="Arial" w:hAnsi="Arial"/>
          <w:sz w:val="13"/>
          <w:szCs w:val="13"/>
          <w:color w:val="auto"/>
        </w:rPr>
        <w:t>The following description summarizes some of the terms of our restated certificate of incorporation and restated bylaws that will become effective upon the closing of this offering, our outstanding warrants, the investors' rights agreement and of the General Corporation Law of the State of Delaware. Because it is only a summary, it does not contain all the information that may be important to you. For a complete description, you should refer to our restated certificate of incorporation, restated bylaws, warrants and investors' rights agreement, copies of which have been or will be filed as exhibits to the registration statement of which this prospectus is a part, as well as the relevant provisions of the General Corporation Law of the State of Delaware. The description of our common stock and preferred stock reflects changes to our capital structure that will occur upon the closing of this offering.</w:t>
      </w:r>
    </w:p>
    <w:p>
      <w:pPr>
        <w:spacing w:after="0" w:line="137" w:lineRule="exact"/>
        <w:rPr>
          <w:sz w:val="20"/>
          <w:szCs w:val="20"/>
          <w:color w:val="auto"/>
        </w:rPr>
      </w:pPr>
    </w:p>
    <w:p>
      <w:pPr>
        <w:ind w:right="360"/>
        <w:spacing w:after="0" w:line="282" w:lineRule="auto"/>
        <w:rPr>
          <w:sz w:val="20"/>
          <w:szCs w:val="20"/>
          <w:color w:val="auto"/>
        </w:rPr>
      </w:pPr>
      <w:r>
        <w:rPr>
          <w:rFonts w:ascii="Arial" w:cs="Arial" w:eastAsia="Arial" w:hAnsi="Arial"/>
          <w:sz w:val="15"/>
          <w:szCs w:val="15"/>
          <w:color w:val="auto"/>
        </w:rPr>
        <w:t>Following the closing of this offering, our authorized capital stock will consist of 200,000,000 shares of common stock, par value $0.0001 per share, and 10,000,000 shares of preferred stock, par value $0.0001 per share.</w:t>
      </w:r>
    </w:p>
    <w:p>
      <w:pPr>
        <w:spacing w:after="0" w:line="151" w:lineRule="exact"/>
        <w:rPr>
          <w:sz w:val="20"/>
          <w:szCs w:val="20"/>
          <w:color w:val="auto"/>
        </w:rPr>
      </w:pPr>
    </w:p>
    <w:p>
      <w:pPr>
        <w:jc w:val="both"/>
        <w:ind w:right="260"/>
        <w:spacing w:after="0" w:line="270" w:lineRule="auto"/>
        <w:rPr>
          <w:sz w:val="20"/>
          <w:szCs w:val="20"/>
          <w:color w:val="auto"/>
        </w:rPr>
      </w:pPr>
      <w:r>
        <w:rPr>
          <w:rFonts w:ascii="Arial" w:cs="Arial" w:eastAsia="Arial" w:hAnsi="Arial"/>
          <w:sz w:val="15"/>
          <w:szCs w:val="15"/>
          <w:color w:val="auto"/>
        </w:rPr>
        <w:t>On May 31, 2016, there were 2,773,468 shares of common stock outstanding, including 4,415 shares of unvested restricted common stock subject to repurchase by us, held of record by 80 stockholders. This amount does not include shares of common stock to be issued upon the conversion of outstanding shares of preferred stock that will convert automatically upon the closing of this offering.</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See below under "—Anti-takeover effects of Delaware law and our certificate of incorporation and bylaws" and "—Amendment of charter provisions."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Under the terms of our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9"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As of May 31, 2016, options to purchase 1,723,704 shares of our common stock were outstanding under our 2008 plan, of which 677,324 had not vested and 1,046,380 had vested as of that date, excluding 390,796 shares of common stock issuable upon the exercise of options to be granted in connection with this offering under our 2016 Plan, which will become effective in connection with this offering, to some of our executive officers and employees, at an exercise price per share equal to the initial public offering price in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jc w:val="both"/>
        <w:ind w:right="320"/>
        <w:spacing w:after="0" w:line="297" w:lineRule="auto"/>
        <w:rPr>
          <w:sz w:val="20"/>
          <w:szCs w:val="20"/>
          <w:color w:val="auto"/>
        </w:rPr>
      </w:pPr>
      <w:r>
        <w:rPr>
          <w:rFonts w:ascii="Arial" w:cs="Arial" w:eastAsia="Arial" w:hAnsi="Arial"/>
          <w:sz w:val="14"/>
          <w:szCs w:val="14"/>
          <w:color w:val="auto"/>
        </w:rPr>
        <w:t>In connection with our credit facility, on August 9, 2013 and July 25 2014, we issued warrants to Oxford and Pacific Western Bank exercisable for an aggregate of 66,668 shares of our series D preferred stock. Upon conversion of the series D preferred stock into common stock in connection with this offering, the warrants will become exercisable for 17,888 shares of common stock at a weighted average exercise price of $16.77. If unexercised, the warrants will expire on August 9, 2023 and July 25, 2024.</w:t>
      </w:r>
    </w:p>
    <w:p>
      <w:pPr>
        <w:spacing w:after="0" w:line="14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On July 24, 2015, we issued warrants to investors in a previous convertible note financing exercisable for an aggregate of 80,813 shares of common stock at an exercise price of $17.55 per share. If unexercised, the warrants will expire on July 24, 2018.</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On August 27, 2015, September 3, 2015 and September 17, 2015, we issued series E common warrants to the investors in our series E preferred stock financing exercisable for an aggregate of 569,791 shares of common stock at an exercise price of $0.04 per share. Upon the filing of the registration statement of which this prospectus forms a part, the warrants were automatically exercised on a cashless basis for an aggregate of 567,306 shares of common stock.</w:t>
      </w:r>
    </w:p>
    <w:p>
      <w:pPr>
        <w:spacing w:after="0" w:line="15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In connection with our credit facility, on December 31, 2015, we issued warrants to Oxford and Pacific Western Bank exercisable for an aggregate of 37,978 shares of our series E preferred stock. Upon conversion of the series E preferred stock into common stock in connection with this offering, the warrants will become exercisable for 14,088 shares of common stock at a weighted average exercise price of $17.55 per share of common stock based on an assumed initial public offering price of $15.00 per share, the midpoint of the price range set forth on the cover of this prospectus (see "Prospectus summary—The offering"). If unexercised, the warrants will expire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11" w:name="page212"/>
    <w:bookmarkEnd w:id="21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As of May 31, 2016, upon the closing of this offering, holders of approximately 12,016,162 shares of our common stock, including shares issuable upon the exercise of warrants, or their transferees will be entitled to the following rights with respect to the registration of such shares for public resale under the Securities Act, pursuant to an amended and restated investors' rights agreement by and among us and certain of our stockholders, until such shares can otherwise be sold without restriction under Rule 144, or until the rights otherwise terminate pursuant to the terms of the investors' rights agreement.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registration rights</w:t>
      </w:r>
    </w:p>
    <w:p>
      <w:pPr>
        <w:spacing w:after="0" w:line="195"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color w:val="auto"/>
        </w:rPr>
        <w:t>If at any time beginning 180 days after the closing date of this offering the holders of at least 50% of the registrable securities request in writing that we effect a registration with respect to all or part of such registrable securities then outstanding, we may be required to register their shares. We are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Piggyback registration rights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S-3 registration rights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If, at any time after we become entitled under the Securities Act to register our shares on a registration statement on Form S-3, the holders of the registrable securities request in writing that we effect a registration with respect to registrable securities at an aggregate price to the public in the offering of at least $2,000,000, we will be required to effect such registration; provided, however, that we will not be required to effect such a registration if, within a given calendar year, we have already effected two registrations on Form S-3 for the holders of registrable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Expenses</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and blue sky fees and expenses.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Termination of registration rights</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4"/>
          <w:szCs w:val="14"/>
          <w:color w:val="auto"/>
        </w:rPr>
        <w:t>The registration rights terminate upon the earlier of five years after the effective date of the registration statement of which this prospectus is a part, or, with respect to the registration rights of an individual holder, when the holder can sell all of such holder's registrable securities in a 90-day period without restriction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266305"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EFFECTS OF DELAWARE LAW AND OUR CERTIFICATE OF INCORPORATION AND BYLAWS</w:t>
      </w:r>
    </w:p>
    <w:p>
      <w:pPr>
        <w:spacing w:after="0" w:line="195"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Some provisions of Delaware law, our restated certificate of incorporation and our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Undesignated preferred stock</w:t>
      </w:r>
    </w:p>
    <w:p>
      <w:pPr>
        <w:spacing w:after="0" w:line="195" w:lineRule="exact"/>
        <w:rPr>
          <w:sz w:val="20"/>
          <w:szCs w:val="20"/>
          <w:color w:val="auto"/>
        </w:rPr>
      </w:pPr>
    </w:p>
    <w:p>
      <w:pPr>
        <w:jc w:val="both"/>
        <w:ind w:right="220"/>
        <w:spacing w:after="0" w:line="270" w:lineRule="auto"/>
        <w:rPr>
          <w:sz w:val="20"/>
          <w:szCs w:val="20"/>
          <w:color w:val="auto"/>
        </w:rPr>
      </w:pPr>
      <w:r>
        <w:rPr>
          <w:rFonts w:ascii="Arial" w:cs="Arial" w:eastAsia="Arial" w:hAnsi="Arial"/>
          <w:sz w:val="15"/>
          <w:szCs w:val="15"/>
          <w:color w:val="auto"/>
        </w:rPr>
        <w:t>The ability of our board of directors, without action by the stockholders, to issue shares of undesignated preferred stock under our restated certificate of incorporation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meetings</w:t>
      </w:r>
    </w:p>
    <w:p>
      <w:pPr>
        <w:spacing w:after="0" w:line="19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Our restated bylaws provide that a special meeting of stockholders may be called only by our chairman of the board, chief executive officer or president (in the absence of a chief executive officer), or by a resolution adopted by a majority of our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Requirements for advance notification of stockholder nominations and proposals</w:t>
      </w:r>
    </w:p>
    <w:p>
      <w:pPr>
        <w:spacing w:after="0" w:line="195"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Our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Elimination of stockholder action by written consent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restated certificate of incorporation eliminates the right of stockholders to act by written consent without a meeting.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Staggered board</w:t>
      </w:r>
    </w:p>
    <w:p>
      <w:pPr>
        <w:spacing w:after="0" w:line="195"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Our board of directors is divided into three classes. The directors in each class will serve for a three-year term,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Removal of directors</w:t>
      </w:r>
    </w:p>
    <w:p>
      <w:pPr>
        <w:spacing w:after="0" w:line="195" w:lineRule="exact"/>
        <w:rPr>
          <w:sz w:val="20"/>
          <w:szCs w:val="20"/>
          <w:color w:val="auto"/>
        </w:rPr>
      </w:pPr>
    </w:p>
    <w:p>
      <w:pPr>
        <w:ind w:right="280"/>
        <w:spacing w:after="0" w:line="319" w:lineRule="auto"/>
        <w:rPr>
          <w:sz w:val="20"/>
          <w:szCs w:val="20"/>
          <w:color w:val="auto"/>
        </w:rPr>
      </w:pPr>
      <w:r>
        <w:rPr>
          <w:rFonts w:ascii="Arial" w:cs="Arial" w:eastAsia="Arial" w:hAnsi="Arial"/>
          <w:sz w:val="14"/>
          <w:szCs w:val="14"/>
          <w:color w:val="auto"/>
        </w:rPr>
        <w:t>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not entitled to cumulative voting</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Delaware anti-takeover statute</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Choice of forum</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Our restated certificate of incorporation provides that, unless we consent in writing to the selection of an alternative form,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of charter provisions</w:t>
      </w:r>
    </w:p>
    <w:p>
      <w:pPr>
        <w:spacing w:after="0" w:line="195" w:lineRule="exact"/>
        <w:rPr>
          <w:sz w:val="20"/>
          <w:szCs w:val="20"/>
          <w:color w:val="auto"/>
        </w:rPr>
      </w:pPr>
    </w:p>
    <w:p>
      <w:pPr>
        <w:ind w:right="460"/>
        <w:spacing w:after="0" w:line="282" w:lineRule="auto"/>
        <w:rPr>
          <w:sz w:val="20"/>
          <w:szCs w:val="20"/>
          <w:color w:val="auto"/>
        </w:rPr>
      </w:pPr>
      <w:r>
        <w:rPr>
          <w:rFonts w:ascii="Arial" w:cs="Arial" w:eastAsia="Arial" w:hAnsi="Arial"/>
          <w:sz w:val="15"/>
          <w:szCs w:val="15"/>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51"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provisions of Delaware law, our restated certificate of incorporation and our restated bylaws could have the effect of discouraging others from attempting hostile takeovers and, as a consequence, they may also inhibit temporary fluctuations in the market price of our common stock that often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and registrar for our common stock is American Stock Transfer &amp; Trust Company, LLC.</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Shares eligible for future sale</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w:t>
      </w:r>
    </w:p>
    <w:p>
      <w:pPr>
        <w:spacing w:after="0" w:line="151" w:lineRule="exact"/>
        <w:rPr>
          <w:sz w:val="20"/>
          <w:szCs w:val="20"/>
          <w:color w:val="auto"/>
        </w:rPr>
      </w:pPr>
    </w:p>
    <w:p>
      <w:pPr>
        <w:ind w:right="20"/>
        <w:spacing w:after="0" w:line="319" w:lineRule="auto"/>
        <w:rPr>
          <w:sz w:val="20"/>
          <w:szCs w:val="20"/>
          <w:color w:val="auto"/>
        </w:rPr>
      </w:pPr>
      <w:r>
        <w:rPr>
          <w:rFonts w:ascii="Arial" w:cs="Arial" w:eastAsia="Arial" w:hAnsi="Arial"/>
          <w:sz w:val="13"/>
          <w:szCs w:val="13"/>
          <w:color w:val="auto"/>
        </w:rPr>
        <w:t>Upon the closing of this offering, we will have outstanding an aggregate of 16,914,048 shares of common stock, assuming the issuance of 4,250,000 shares of common stock offered by us in this offering, after giving effect to the assumptions described under "Prospectus summary—The offering," and assuming no exercise of options or warrants after May 31, 2016.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32"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 remaining 12,664,048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Additionally, any shares purchased in this offering by participants in our directed share program who purchase more than $1,000,000 of shares will be subject to a 25-day lock-up period and any shares purchased in this offering by our existing stockholders that are required to file reports pursuant to Section 16 of the Exchange Act will be subject to a 180-day lock-up period, in each case, unless the lock-up period is waived by UBS Securities LLC and Stifel, Nicolaus &amp; Company, Incorporated on behalf of the underwriters. Upon expiration of the lock-up period, we estimate that approximately 12,664,048 shares will be available for sale in the public market, subject in some cases to applicable volume limitations under Rule 144.</w:t>
      </w:r>
    </w:p>
    <w:p>
      <w:pPr>
        <w:spacing w:after="0" w:line="154" w:lineRule="exact"/>
        <w:rPr>
          <w:sz w:val="20"/>
          <w:szCs w:val="20"/>
          <w:color w:val="auto"/>
        </w:rPr>
      </w:pPr>
    </w:p>
    <w:p>
      <w:pPr>
        <w:ind w:right="280"/>
        <w:spacing w:after="0" w:line="362" w:lineRule="auto"/>
        <w:rPr>
          <w:sz w:val="20"/>
          <w:szCs w:val="20"/>
          <w:color w:val="auto"/>
        </w:rPr>
      </w:pPr>
      <w:r>
        <w:rPr>
          <w:rFonts w:ascii="Arial" w:cs="Arial" w:eastAsia="Arial" w:hAnsi="Arial"/>
          <w:sz w:val="13"/>
          <w:szCs w:val="13"/>
          <w:color w:val="auto"/>
        </w:rPr>
        <w:t>In addition, of the 1,723,704 shares of our common stock that were subject to stock options outstanding as of May 31, 2016, options to purchase 1,046,380 shares of common stock were vested as of May 31, 2016 and, upon exercise, these shares will be eligible for sale subject to the lock-up agreements described below and Rules 144 and 701 under the Securities Act.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LOCK-UP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We and each of our directors and executive officers and holders of substantially all of our outstanding capital stock, have agreed that, without the prior written consent of UBS</w:t>
      </w:r>
    </w:p>
    <w:p>
      <w:pPr>
        <w:spacing w:after="0" w:line="29" w:lineRule="exact"/>
        <w:rPr>
          <w:sz w:val="20"/>
          <w:szCs w:val="20"/>
          <w:color w:val="auto"/>
        </w:rPr>
      </w:pPr>
    </w:p>
    <w:p>
      <w:pPr>
        <w:ind w:right="140"/>
        <w:spacing w:after="0" w:line="275" w:lineRule="auto"/>
        <w:rPr>
          <w:sz w:val="20"/>
          <w:szCs w:val="20"/>
          <w:color w:val="auto"/>
        </w:rPr>
      </w:pPr>
      <w:r>
        <w:rPr>
          <w:rFonts w:ascii="Arial" w:cs="Arial" w:eastAsia="Arial" w:hAnsi="Arial"/>
          <w:sz w:val="15"/>
          <w:szCs w:val="15"/>
          <w:color w:val="auto"/>
        </w:rPr>
        <w:t>Securities LLC and Stifel, Nicolaus &amp; Company, Incorporated on behalf of the underwriters, we and they will not, subject to certain exceptions, during the period ending 180 days after the date of this prospectus:</w:t>
      </w:r>
    </w:p>
    <w:p>
      <w:pPr>
        <w:spacing w:after="0" w:line="167" w:lineRule="exact"/>
        <w:rPr>
          <w:sz w:val="20"/>
          <w:szCs w:val="20"/>
          <w:color w:val="auto"/>
        </w:rPr>
      </w:pPr>
    </w:p>
    <w:p>
      <w:pPr>
        <w:ind w:left="1380" w:right="120" w:hanging="461"/>
        <w:spacing w:after="0" w:line="270" w:lineRule="auto"/>
        <w:tabs>
          <w:tab w:leader="none" w:pos="13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common stock; or</w:t>
      </w:r>
    </w:p>
    <w:p>
      <w:pPr>
        <w:spacing w:after="0" w:line="182" w:lineRule="exact"/>
        <w:rPr>
          <w:rFonts w:ascii="Arial" w:cs="Arial" w:eastAsia="Arial" w:hAnsi="Arial"/>
          <w:sz w:val="15"/>
          <w:szCs w:val="15"/>
          <w:color w:val="auto"/>
        </w:rPr>
      </w:pPr>
    </w:p>
    <w:p>
      <w:pPr>
        <w:ind w:right="580" w:firstLine="919"/>
        <w:spacing w:after="0" w:line="540" w:lineRule="auto"/>
        <w:tabs>
          <w:tab w:leader="none" w:pos="139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our common stock, whether any transaction described above is to be settled by delivery of our common stock or such other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26630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 For a further description of these lock-up agreements, please see "Underwriting."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144</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 resales of restricted securities</w:t>
      </w:r>
    </w:p>
    <w:p>
      <w:pPr>
        <w:spacing w:after="0" w:line="195" w:lineRule="exact"/>
        <w:rPr>
          <w:sz w:val="20"/>
          <w:szCs w:val="20"/>
          <w:color w:val="auto"/>
        </w:rPr>
      </w:pPr>
    </w:p>
    <w:p>
      <w:pPr>
        <w:ind w:right="200"/>
        <w:spacing w:after="0" w:line="270" w:lineRule="auto"/>
        <w:rPr>
          <w:sz w:val="20"/>
          <w:szCs w:val="20"/>
          <w:color w:val="auto"/>
        </w:rPr>
      </w:pPr>
      <w:r>
        <w:rPr>
          <w:rFonts w:ascii="Arial" w:cs="Arial" w:eastAsia="Arial" w:hAnsi="Arial"/>
          <w:sz w:val="15"/>
          <w:szCs w:val="15"/>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171" w:lineRule="exact"/>
        <w:rPr>
          <w:sz w:val="20"/>
          <w:szCs w:val="20"/>
          <w:color w:val="auto"/>
        </w:rPr>
      </w:pPr>
    </w:p>
    <w:p>
      <w:pPr>
        <w:ind w:left="1380" w:hanging="461"/>
        <w:spacing w:after="0"/>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169,140 shares immediately after this offering; or</w:t>
      </w:r>
    </w:p>
    <w:p>
      <w:pPr>
        <w:spacing w:after="0" w:line="221" w:lineRule="exact"/>
        <w:rPr>
          <w:rFonts w:ascii="Arial" w:cs="Arial" w:eastAsia="Arial" w:hAnsi="Arial"/>
          <w:sz w:val="15"/>
          <w:szCs w:val="15"/>
          <w:color w:val="auto"/>
        </w:rPr>
      </w:pPr>
    </w:p>
    <w:p>
      <w:pPr>
        <w:ind w:left="1380" w:right="580" w:hanging="461"/>
        <w:spacing w:after="0" w:line="282" w:lineRule="auto"/>
        <w:tabs>
          <w:tab w:leader="none" w:pos="138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average weekly trading volume in our common stock on The NASDAQ Global Market during the four calendar weeks preceding the filing of a notice on Form 144 with respect to such sale.</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directly with a market maker.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Non-affiliate resales of restricted securities</w:t>
      </w:r>
    </w:p>
    <w:p>
      <w:pPr>
        <w:spacing w:after="0" w:line="195"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17" w:name="page218"/>
    <w:bookmarkEnd w:id="21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PLANS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all shares of common stock subject to outstanding stock options and common stock issued or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Holders of shares of our common stock, including shares issuable upon the exercise of warrants, or their transferees will be entitled to registration rights with respect to such shares for public resale under the Securities Act. See "Description of capital stock—Registration rights" for additional information. Shares covered by a registration statement will be eligible for sale in the public market upon the expiration or release from the terms of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18" w:name="page219"/>
    <w:bookmarkEnd w:id="218"/>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0910" cy="7620"/>
                    </a:xfrm>
                    <a:prstGeom prst="rect">
                      <a:avLst/>
                    </a:prstGeom>
                    <a:noFill/>
                  </pic:spPr>
                </pic:pic>
              </a:graphicData>
            </a:graphic>
          </wp:anchor>
        </w:drawing>
        <w:t>Material U.S. federal income tax consequences to non-U.S. holders</w:t>
      </w:r>
    </w:p>
    <w:p>
      <w:pPr>
        <w:spacing w:after="0" w:line="183"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color w:val="auto"/>
        </w:rPr>
        <w:t>The following discussion is a summary of certain material U.S. federal income tax consequences to non-U.S. holders (as defined below) of the purchase, ownership and disposition of our common stock issued pursuant to this offering, but does not purport to be a complete analysis of all potential tax consequences. The consequences of other U.S. federal tax laws, such as estate and gift tax laws, and any applicable state, local, or non-U.S. tax laws are not discussed. This discussion is based on the United States Internal Revenue Code of 1986, as amended, or the Code, Treasury Regulations promulgated thereunder, judicial decisions, and published rulings and administrative pronouncements of the United States Internal Revenue Service, or the IRS, in effect as of the date of this offering. These authorities may change or be subject to differing interpretations. Any such change or differing interpretation may be applied retroactively in a manner that could adversely affect a non-U.S. holder of our common stock. We have not sought and do not intend to seek any rulings from the IRS regarding the matters discussed below. There can be no assurance the IRS or a court will not take a contrary position regarding the tax consequences of the purchase, ownership, and disposition of our common stock.</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that may be relevant to a non-U.S. holder in light of such non-U.S. holder's particular circumstances, including the impact of the Medicare contribution tax on net investment income. In addition, it does not address consequences relevant to non-U.S. holders subject to particular rules, including, without limitation:</w:t>
      </w:r>
    </w:p>
    <w:p>
      <w:pPr>
        <w:spacing w:after="0" w:line="173" w:lineRule="exact"/>
        <w:rPr>
          <w:sz w:val="20"/>
          <w:szCs w:val="20"/>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persons holding our common stock as part of a hedge, straddle, or other risk reduction strategy or as part of a conversion transaction or other integrated investment;</w:t>
      </w:r>
    </w:p>
    <w:p>
      <w:pPr>
        <w:spacing w:after="0" w:line="232" w:lineRule="exact"/>
        <w:rPr>
          <w:rFonts w:ascii="Arial" w:cs="Arial" w:eastAsia="Arial" w:hAnsi="Arial"/>
          <w:sz w:val="13"/>
          <w:szCs w:val="13"/>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real estate investment trusts or regulated investment companies;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brokers, dealers, or traders in securities or currencies;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S corporations, partnerships, or other entities or arrangements treated as partnerships for U.S. federal income tax purposes, or investors in any such entities;</w:t>
      </w:r>
    </w:p>
    <w:p>
      <w:pPr>
        <w:spacing w:after="0" w:line="221" w:lineRule="exact"/>
        <w:rPr>
          <w:rFonts w:ascii="Arial" w:cs="Arial" w:eastAsia="Arial" w:hAnsi="Arial"/>
          <w:sz w:val="14"/>
          <w:szCs w:val="14"/>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tax-exempt or governmental organizations;</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221"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persons for whom our stock constitutes "qualified small business stock" within the meaning of Section 1202 of the Code; and</w:t>
      </w:r>
    </w:p>
    <w:p>
      <w:pPr>
        <w:spacing w:after="0" w:line="209" w:lineRule="exact"/>
        <w:rPr>
          <w:rFonts w:ascii="Arial" w:cs="Arial" w:eastAsia="Arial" w:hAnsi="Arial"/>
          <w:sz w:val="15"/>
          <w:szCs w:val="15"/>
          <w:color w:val="auto"/>
        </w:rPr>
      </w:pPr>
    </w:p>
    <w:p>
      <w:pPr>
        <w:ind w:left="1380" w:hanging="461"/>
        <w:spacing w:after="0"/>
        <w:tabs>
          <w:tab w:leader="none" w:pos="13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98"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If a partnership (or other entity treated as a partnership for U.S. federal income tax purposes) holds our common stock, the tax treatment of a partner in the partnership will depend on the status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260"/>
        <w:spacing w:after="0" w:line="319" w:lineRule="auto"/>
        <w:rPr>
          <w:sz w:val="20"/>
          <w:szCs w:val="20"/>
          <w:color w:val="auto"/>
        </w:rPr>
      </w:pPr>
      <w:r>
        <w:rPr>
          <w:rFonts w:ascii="Arial" w:cs="Arial" w:eastAsia="Arial" w:hAnsi="Arial"/>
          <w:sz w:val="14"/>
          <w:szCs w:val="14"/>
          <w:color w:val="auto"/>
        </w:rPr>
        <w:t>partner, the activities of the partnership, and certain determinations made at the partner level. Partnerships holding our common stock and the partners in such partnerships should consult their tax advisors regarding the U.S. federal income tax consequences to them of the purchase, ownership, and disposition of our common stock.</w:t>
      </w:r>
    </w:p>
    <w:p>
      <w:pPr>
        <w:spacing w:after="0" w:line="124"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b w:val="1"/>
          <w:bCs w:val="1"/>
          <w:color w:val="auto"/>
        </w:rPr>
        <w:t>THIS DISCUSSION IS FOR INFORMATION PURPOSES ONLY AND IS NOT INTENDED AS, LEGAL OR TAX ADVICE. INVESTORS SHOULD CONSULT THEIR TAX ADVISORS WITH RESPECT TO THE APPLICATION OF THE U.S. FEDERAL INCOME TAX LAWS TO THEIR PARTICULAR SITUATIONS AS WELL AS ANY TAX CONSEQUENCES OF THE PURCHASE, OWNERSHIP, AND DISPOSITION OF OUR COMMON STOCK ARISING UNDER OTHER U.S. FEDERAL TAX LAWS OR UNDER THE LAWS OF ANY STATE, LOCAL, OR NON-U.S. TAXING JURISDICTION, OR UNDER ANY APPLICABLE INCOME TAX TREATY.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A NON-U.S. HOLDER</w:t>
      </w:r>
    </w:p>
    <w:p>
      <w:pPr>
        <w:spacing w:after="0" w:line="195"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not a "U.S. person," a partnership, or an entity disregarded as separate from its owner, each for U.S. federal income tax purposes. A U.S. person is any person that, for U.S. federal income tax purposes, is or is treated as any of the following:</w:t>
      </w:r>
    </w:p>
    <w:p>
      <w:pPr>
        <w:spacing w:after="0" w:line="140" w:lineRule="exact"/>
        <w:rPr>
          <w:sz w:val="20"/>
          <w:szCs w:val="20"/>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221" w:lineRule="exact"/>
        <w:rPr>
          <w:rFonts w:ascii="Arial" w:cs="Arial" w:eastAsia="Arial" w:hAnsi="Arial"/>
          <w:sz w:val="15"/>
          <w:szCs w:val="15"/>
          <w:color w:val="auto"/>
        </w:rPr>
      </w:pPr>
    </w:p>
    <w:p>
      <w:pPr>
        <w:ind w:left="1380" w:right="40" w:hanging="461"/>
        <w:spacing w:after="0" w:line="282" w:lineRule="auto"/>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for U.S. federal income tax purposes) created or organized under the laws of the United States, any state thereof, or the District of Columbia;</w:t>
      </w:r>
    </w:p>
    <w:p>
      <w:pPr>
        <w:spacing w:after="0" w:line="162" w:lineRule="exact"/>
        <w:rPr>
          <w:rFonts w:ascii="Arial" w:cs="Arial" w:eastAsia="Arial" w:hAnsi="Arial"/>
          <w:sz w:val="15"/>
          <w:szCs w:val="15"/>
          <w:color w:val="auto"/>
        </w:rPr>
      </w:pPr>
    </w:p>
    <w:p>
      <w:pPr>
        <w:ind w:left="1380" w:hanging="461"/>
        <w:spacing w:after="0"/>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209" w:lineRule="exact"/>
        <w:rPr>
          <w:rFonts w:ascii="Arial" w:cs="Arial" w:eastAsia="Arial" w:hAnsi="Arial"/>
          <w:sz w:val="15"/>
          <w:szCs w:val="15"/>
          <w:color w:val="auto"/>
        </w:rPr>
      </w:pPr>
    </w:p>
    <w:p>
      <w:pPr>
        <w:ind w:left="1380" w:right="340" w:hanging="461"/>
        <w:spacing w:after="0" w:line="282" w:lineRule="auto"/>
        <w:tabs>
          <w:tab w:leader="none" w:pos="13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color w:val="auto"/>
        </w:rPr>
        <w:t>As described in the section entitled "Dividend policy," we do not expect to declare or pay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7266305"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1385" cy="203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0" w:name="page221"/>
    <w:bookmarkEnd w:id="220"/>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jc w:val="both"/>
        <w:ind w:left="7" w:right="120"/>
        <w:spacing w:after="0" w:line="266"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62"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Any such effectively connected dividends will be subject to U.S. federal income tax on a net basis at regular graduated rates. A non-U.S. holder that is a corporation also may be subject to a branch profits taxed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SALE OR OTHER TAXABLE DISPOSITION</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A non-U.S. holder will not be subject to U.S. federal income tax on any gain realized upon the sale or other taxable disposition of our common stock unless:</w:t>
      </w:r>
    </w:p>
    <w:p>
      <w:pPr>
        <w:spacing w:after="0" w:line="210" w:lineRule="exact"/>
        <w:rPr>
          <w:sz w:val="20"/>
          <w:szCs w:val="20"/>
          <w:color w:val="auto"/>
        </w:rPr>
      </w:pPr>
    </w:p>
    <w:p>
      <w:pPr>
        <w:ind w:left="1387" w:hanging="461"/>
        <w:spacing w:after="0" w:line="282" w:lineRule="auto"/>
        <w:tabs>
          <w:tab w:leader="none" w:pos="138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73"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162" w:lineRule="exact"/>
        <w:rPr>
          <w:rFonts w:ascii="Arial" w:cs="Arial" w:eastAsia="Arial" w:hAnsi="Arial"/>
          <w:sz w:val="15"/>
          <w:szCs w:val="15"/>
          <w:color w:val="auto"/>
        </w:rPr>
      </w:pPr>
    </w:p>
    <w:p>
      <w:pPr>
        <w:ind w:left="1387" w:right="340" w:hanging="461"/>
        <w:spacing w:after="0" w:line="282" w:lineRule="auto"/>
        <w:tabs>
          <w:tab w:leader="none" w:pos="1387" w:val="left"/>
        </w:tabs>
        <w:numPr>
          <w:ilvl w:val="0"/>
          <w:numId w:val="125"/>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or USRPI, by reason of our status as a U.S. real property holding corporation, or a USRPHC, for U.S. federal income tax purposes.</w:t>
      </w:r>
    </w:p>
    <w:p>
      <w:pPr>
        <w:spacing w:after="0" w:line="151"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Gain described in the first bullet point above will generally be subject to U.S. federal income tax on a net income basis at regular graduated U.S. federal income tax rates. A non-U.S. holder that is taxed as a corporation for U.S. federal income tax purposes also may be subject to a branch profits tax at a rate of 30% (or such lower rate specified by an applicable income tax treaty) on such effectively connected gain, as adjusted for certain items.</w:t>
      </w:r>
    </w:p>
    <w:p>
      <w:pPr>
        <w:spacing w:after="0" w:line="159" w:lineRule="exact"/>
        <w:rPr>
          <w:sz w:val="20"/>
          <w:szCs w:val="20"/>
          <w:color w:val="auto"/>
        </w:rPr>
      </w:pPr>
    </w:p>
    <w:p>
      <w:pPr>
        <w:jc w:val="both"/>
        <w:ind w:left="7" w:right="80"/>
        <w:spacing w:after="0" w:line="270"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any gain derived from the disposition,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9" w:lineRule="exact"/>
        <w:rPr>
          <w:sz w:val="20"/>
          <w:szCs w:val="20"/>
          <w:color w:val="auto"/>
        </w:rPr>
      </w:pPr>
    </w:p>
    <w:p>
      <w:pPr>
        <w:ind w:left="7" w:right="140"/>
        <w:spacing w:after="0" w:line="299" w:lineRule="auto"/>
        <w:rPr>
          <w:sz w:val="20"/>
          <w:szCs w:val="20"/>
          <w:color w:val="auto"/>
        </w:rPr>
      </w:pPr>
      <w:r>
        <w:rPr>
          <w:rFonts w:ascii="Arial" w:cs="Arial" w:eastAsia="Arial" w:hAnsi="Arial"/>
          <w:sz w:val="13"/>
          <w:szCs w:val="13"/>
          <w:color w:val="auto"/>
        </w:rPr>
        <w:t>With respect to the third bullet point above, we believe we are not currently and do not expect to become a USRPHC. Because the determination of whether we are a USRPHC depends on the fair market value of our USRPIs relative to the fair market value of our other business assets and our non-U.S. real property interests, however, there can be no assurance we are not a USRPHC or will not become one in the future. Even if we are or were to become a USRPHC, gain arising from the sale or other taxable disposition by a non-U.S. holder of our common stock will not be subject to U.S. federal income tax if (i) such class of stock is "regularly traded," as defined by applicable Treasury Regulations, on an established securities market, and</w:t>
      </w:r>
    </w:p>
    <w:p>
      <w:pPr>
        <w:spacing w:after="0" w:line="1" w:lineRule="exact"/>
        <w:rPr>
          <w:sz w:val="20"/>
          <w:szCs w:val="20"/>
          <w:color w:val="auto"/>
        </w:rPr>
      </w:pPr>
    </w:p>
    <w:p>
      <w:pPr>
        <w:ind w:left="7" w:right="540" w:hanging="7"/>
        <w:spacing w:after="0" w:line="312" w:lineRule="auto"/>
        <w:tabs>
          <w:tab w:leader="none" w:pos="229" w:val="left"/>
        </w:tabs>
        <w:numPr>
          <w:ilvl w:val="0"/>
          <w:numId w:val="126"/>
        </w:numPr>
        <w:rPr>
          <w:rFonts w:ascii="Arial" w:cs="Arial" w:eastAsia="Arial" w:hAnsi="Arial"/>
          <w:sz w:val="14"/>
          <w:szCs w:val="14"/>
          <w:color w:val="auto"/>
        </w:rPr>
      </w:pPr>
      <w:r>
        <w:rPr>
          <w:rFonts w:ascii="Arial" w:cs="Arial" w:eastAsia="Arial" w:hAnsi="Arial"/>
          <w:sz w:val="14"/>
          <w:szCs w:val="14"/>
          <w:color w:val="auto"/>
        </w:rPr>
        <w:t>such non-U.S. holder owned, actually or constructively, 5% or less of such class of our stock throughout the shorter of the five-year period ending on the date of the sale or other disposition or the non-U.S. holder's holding period for such stock. If the foregoing exception does not apply, and if we are or were to become a USRPHC,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6630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21" w:name="page222"/>
    <w:bookmarkEnd w:id="22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federal income tax consequences to non-U.S.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purchaser may be required to withhold 15% of the proceeds payable to a non-U.S. holder from a sale of our common stock and such non-U.S. holder generally will be taxed on its net gain derived from the disposition at the graduated U.S. federal income tax rates applicable to United States persons (as defined in the Code).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9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Payments of dividends on our common stock will not generally be subject to backup withholding provided the applicable withholding agent does not have actual knowledge or reason to know such holder is a U.S. person and the holder either certifies its non-U.S. status, such as by providing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Copies of these information returns that are filed with the IRS may also be made available under the provisions of a specific treaty or agreement to the tax authorities of the country in which the non-U.S. holder resides or is established.</w:t>
      </w:r>
    </w:p>
    <w:p>
      <w:pPr>
        <w:spacing w:after="0" w:line="151" w:lineRule="exact"/>
        <w:rPr>
          <w:sz w:val="20"/>
          <w:szCs w:val="20"/>
          <w:color w:val="auto"/>
        </w:rPr>
      </w:pPr>
    </w:p>
    <w:p>
      <w:pPr>
        <w:ind w:right="440"/>
        <w:spacing w:after="0" w:line="282"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WITHHOLDING TAX ON PAYMENTS MADE TO FOREIGN ACCOUNTS</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Withholding taxes may be imposed under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IRS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7" w:lineRule="exact"/>
        <w:rPr>
          <w:sz w:val="20"/>
          <w:szCs w:val="20"/>
          <w:color w:val="auto"/>
        </w:rPr>
      </w:pPr>
    </w:p>
    <w:p>
      <w:pPr>
        <w:ind w:right="400"/>
        <w:spacing w:after="0" w:line="270" w:lineRule="auto"/>
        <w:rPr>
          <w:sz w:val="20"/>
          <w:szCs w:val="20"/>
          <w:color w:val="auto"/>
        </w:rPr>
      </w:pPr>
      <w:r>
        <w:rPr>
          <w:rFonts w:ascii="Arial" w:cs="Arial" w:eastAsia="Arial" w:hAnsi="Arial"/>
          <w:sz w:val="15"/>
          <w:szCs w:val="15"/>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 Prospective investors should consult their tax advisors regarding the potential application of these withholding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22" w:name="page223"/>
    <w:bookmarkEnd w:id="222"/>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8091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rPr>
          <w:sz w:val="20"/>
          <w:szCs w:val="20"/>
          <w:color w:val="auto"/>
        </w:rPr>
      </w:pPr>
      <w:r>
        <w:rPr>
          <w:rFonts w:ascii="Arial" w:cs="Arial" w:eastAsia="Arial" w:hAnsi="Arial"/>
          <w:sz w:val="21"/>
          <w:szCs w:val="21"/>
          <w:color w:val="auto"/>
        </w:rPr>
        <w:t>Underwriting</w:t>
      </w:r>
    </w:p>
    <w:p>
      <w:pPr>
        <w:spacing w:after="0" w:line="183"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We are offering the shares of our common stock described in this prospectus through the underwriters named below. UBS Securities LLC and Stifel, Nicolaus &amp; Company, Incorporated are acting as joint book-running managers of this offering and as representatives of the underwriters. We have entered into an underwriting agreement with the representatives. Subject to the terms and conditions of the underwriting agreement, each of the underwriters has severally agreed to purchase, and we have agreed to sell to the underwriters, the number of shares of common stock listed next to its name in the following table.</w:t>
      </w:r>
    </w:p>
    <w:p>
      <w:pPr>
        <w:spacing w:after="0" w:line="159"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Number</w:t>
            </w:r>
          </w:p>
        </w:tc>
      </w:tr>
      <w:tr>
        <w:trPr>
          <w:trHeight w:val="149"/>
        </w:trPr>
        <w:tc>
          <w:tcPr>
            <w:tcW w:w="8240" w:type="dxa"/>
            <w:vAlign w:val="bottom"/>
            <w:gridSpan w:val="2"/>
          </w:tcPr>
          <w:p>
            <w:pPr>
              <w:spacing w:after="0"/>
              <w:rPr>
                <w:sz w:val="20"/>
                <w:szCs w:val="20"/>
                <w:color w:val="auto"/>
              </w:rPr>
            </w:pPr>
            <w:r>
              <w:rPr>
                <w:rFonts w:ascii="Arial" w:cs="Arial" w:eastAsia="Arial" w:hAnsi="Arial"/>
                <w:sz w:val="12"/>
                <w:szCs w:val="12"/>
                <w:b w:val="1"/>
                <w:bCs w:val="1"/>
                <w:color w:val="auto"/>
              </w:rPr>
              <w:t>Underwriters</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r>
      <w:tr>
        <w:trPr>
          <w:trHeight w:val="177"/>
        </w:trPr>
        <w:tc>
          <w:tcPr>
            <w:tcW w:w="20" w:type="dxa"/>
            <w:vAlign w:val="bottom"/>
          </w:tcPr>
          <w:p>
            <w:pPr>
              <w:spacing w:after="0"/>
              <w:rPr>
                <w:sz w:val="15"/>
                <w:szCs w:val="15"/>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Stifel, Nicolaus &amp; Company, Incorporated</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5"/>
                <w:szCs w:val="15"/>
                <w:color w:val="auto"/>
              </w:rPr>
              <w:t>Canaccord Genuity Inc.</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220" w:type="dxa"/>
            <w:vAlign w:val="bottom"/>
          </w:tcPr>
          <w:p>
            <w:pPr>
              <w:spacing w:after="0"/>
              <w:rPr>
                <w:sz w:val="20"/>
                <w:szCs w:val="20"/>
                <w:color w:val="auto"/>
              </w:rPr>
            </w:pPr>
            <w:r>
              <w:rPr>
                <w:rFonts w:ascii="Arial" w:cs="Arial" w:eastAsia="Arial" w:hAnsi="Arial"/>
                <w:sz w:val="15"/>
                <w:szCs w:val="15"/>
                <w:color w:val="auto"/>
              </w:rPr>
              <w:t>Needham &amp; Company, LLC</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7"/>
        </w:trPr>
        <w:tc>
          <w:tcPr>
            <w:tcW w:w="20" w:type="dxa"/>
            <w:vAlign w:val="bottom"/>
          </w:tcPr>
          <w:p>
            <w:pPr>
              <w:spacing w:after="0"/>
              <w:rPr>
                <w:sz w:val="15"/>
                <w:szCs w:val="15"/>
                <w:color w:val="auto"/>
              </w:rPr>
            </w:pPr>
          </w:p>
        </w:tc>
        <w:tc>
          <w:tcPr>
            <w:tcW w:w="8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w w:val="86"/>
              </w:rPr>
              <w:t>4,250,000</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260"/>
        <w:spacing w:after="0" w:line="282" w:lineRule="auto"/>
        <w:rPr>
          <w:sz w:val="20"/>
          <w:szCs w:val="20"/>
          <w:color w:val="auto"/>
        </w:rPr>
      </w:pPr>
      <w:r>
        <w:rPr>
          <w:rFonts w:ascii="Arial" w:cs="Arial" w:eastAsia="Arial" w:hAnsi="Arial"/>
          <w:sz w:val="15"/>
          <w:szCs w:val="15"/>
          <w:color w:val="auto"/>
        </w:rPr>
        <w:t>The underwriting agreement provides that the underwriters must buy all of the shares of common stock if they buy any of them. However, the underwriters are not required to pay for the shares covered by the underwriters' option to purchase additional shares as described below.</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is offered subject to a number of conditions, including:</w:t>
      </w:r>
    </w:p>
    <w:p>
      <w:pPr>
        <w:spacing w:after="0" w:line="210" w:lineRule="exact"/>
        <w:rPr>
          <w:sz w:val="20"/>
          <w:szCs w:val="20"/>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receipt and acceptance of our common stock by the underwriters;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underwriters' right to reject orders in whole or in part.</w:t>
      </w:r>
    </w:p>
    <w:p>
      <w:pPr>
        <w:spacing w:after="0" w:line="198" w:lineRule="exact"/>
        <w:rPr>
          <w:sz w:val="20"/>
          <w:szCs w:val="20"/>
          <w:color w:val="auto"/>
        </w:rPr>
      </w:pPr>
    </w:p>
    <w:p>
      <w:pPr>
        <w:ind w:left="7" w:right="440"/>
        <w:spacing w:after="0" w:line="282" w:lineRule="auto"/>
        <w:rPr>
          <w:sz w:val="20"/>
          <w:szCs w:val="20"/>
          <w:color w:val="auto"/>
        </w:rPr>
      </w:pPr>
      <w:r>
        <w:rPr>
          <w:rFonts w:ascii="Arial" w:cs="Arial" w:eastAsia="Arial" w:hAnsi="Arial"/>
          <w:sz w:val="15"/>
          <w:szCs w:val="15"/>
          <w:color w:val="auto"/>
        </w:rPr>
        <w:t>We have been advised by the representatives that the underwriters intend to make a market in our common stock but that they are not obligated to do so and may discontinue making a market at any time without notice.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connection with this offering, certain of the underwriters or securities dealers may distribute prospectuses electronically.</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TO PURCHASE ADDITIONAL SHARES</w:t>
      </w:r>
    </w:p>
    <w:p>
      <w:pPr>
        <w:spacing w:after="0" w:line="195" w:lineRule="exact"/>
        <w:rPr>
          <w:sz w:val="20"/>
          <w:szCs w:val="20"/>
          <w:color w:val="auto"/>
        </w:rPr>
      </w:pPr>
    </w:p>
    <w:p>
      <w:pPr>
        <w:ind w:left="7" w:right="160"/>
        <w:spacing w:after="0" w:line="270" w:lineRule="auto"/>
        <w:rPr>
          <w:sz w:val="20"/>
          <w:szCs w:val="20"/>
          <w:color w:val="auto"/>
        </w:rPr>
      </w:pPr>
      <w:r>
        <w:rPr>
          <w:rFonts w:ascii="Arial" w:cs="Arial" w:eastAsia="Arial" w:hAnsi="Arial"/>
          <w:sz w:val="15"/>
          <w:szCs w:val="15"/>
          <w:color w:val="auto"/>
        </w:rPr>
        <w:t>We have granted the underwriters an option to buy up to an aggregate of 637,500 additional shares of our common stock. The underwriters have 30 days from the date of this prospectus to exercise this option. If the underwriters exercise this option, they will each purchase additional shares of common stock approximately in proportion to the amounts specified in the table above.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 DISCOUNT</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w:t>
      </w:r>
    </w:p>
    <w:p>
      <w:pPr>
        <w:spacing w:after="0" w:line="29" w:lineRule="exact"/>
        <w:rPr>
          <w:sz w:val="20"/>
          <w:szCs w:val="20"/>
          <w:color w:val="auto"/>
        </w:rPr>
      </w:pPr>
    </w:p>
    <w:p>
      <w:pPr>
        <w:ind w:left="7"/>
        <w:spacing w:after="0" w:line="266" w:lineRule="auto"/>
        <w:rPr>
          <w:sz w:val="20"/>
          <w:szCs w:val="20"/>
          <w:color w:val="auto"/>
        </w:rPr>
      </w:pPr>
      <w:r>
        <w:rPr>
          <w:rFonts w:ascii="Arial" w:cs="Arial" w:eastAsia="Arial" w:hAnsi="Arial"/>
          <w:sz w:val="15"/>
          <w:szCs w:val="15"/>
          <w:color w:val="auto"/>
        </w:rPr>
        <w:t>dealers may be sold at a discount of up to $ per share from the initial public offering price. Sales of shares made outside of the United States may be made by affiliates of the underwriters. If all the shares are not sold at the initial public offering price, the representatives may change the offering price and the other selling terms. Upon execution of the underwriting agreement, the underwriters will be obligated to purchase the shares at the prices and upon the terms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6305"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9"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3" w:name="page224"/>
    <w:bookmarkEnd w:id="22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180"/>
        <w:spacing w:after="0" w:line="282" w:lineRule="auto"/>
        <w:rPr>
          <w:sz w:val="20"/>
          <w:szCs w:val="20"/>
          <w:color w:val="auto"/>
        </w:rPr>
      </w:pPr>
      <w:r>
        <w:rPr>
          <w:rFonts w:ascii="Arial" w:cs="Arial" w:eastAsia="Arial" w:hAnsi="Arial"/>
          <w:sz w:val="15"/>
          <w:szCs w:val="15"/>
          <w:color w:val="auto"/>
        </w:rPr>
        <w:t>The following table shows the per share and total underwriting discount we will pay to the underwriters assuming both no exercise and full exercise of the underwriters' option to purchase up to 637,500 additional shares.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60" w:type="dxa"/>
            <w:vAlign w:val="bottom"/>
          </w:tcPr>
          <w:p>
            <w:pPr>
              <w:jc w:val="right"/>
              <w:ind w:right="47"/>
              <w:spacing w:after="0"/>
              <w:rPr>
                <w:sz w:val="20"/>
                <w:szCs w:val="20"/>
                <w:color w:val="auto"/>
              </w:rPr>
            </w:pPr>
            <w:r>
              <w:rPr>
                <w:rFonts w:ascii="Arial" w:cs="Arial" w:eastAsia="Arial" w:hAnsi="Arial"/>
                <w:sz w:val="12"/>
                <w:szCs w:val="12"/>
                <w:b w:val="1"/>
                <w:bCs w:val="1"/>
                <w:color w:val="auto"/>
              </w:rPr>
              <w:t>No exercise</w:t>
            </w:r>
          </w:p>
        </w:tc>
        <w:tc>
          <w:tcPr>
            <w:tcW w:w="14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20" w:type="dxa"/>
            <w:vAlign w:val="bottom"/>
          </w:tcPr>
          <w:p>
            <w:pPr>
              <w:spacing w:after="0"/>
              <w:rPr>
                <w:sz w:val="15"/>
                <w:szCs w:val="15"/>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Per share</w:t>
            </w:r>
          </w:p>
        </w:tc>
        <w:tc>
          <w:tcPr>
            <w:tcW w:w="86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shd w:val="clear" w:color="auto" w:fill="CCEEFF"/>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1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718"/>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left="7" w:right="180"/>
        <w:spacing w:after="0" w:line="270" w:lineRule="auto"/>
        <w:rPr>
          <w:sz w:val="20"/>
          <w:szCs w:val="20"/>
          <w:color w:val="auto"/>
        </w:rPr>
      </w:pPr>
      <w:r>
        <w:rPr>
          <w:rFonts w:ascii="Arial" w:cs="Arial" w:eastAsia="Arial" w:hAnsi="Arial"/>
          <w:sz w:val="15"/>
          <w:szCs w:val="15"/>
          <w:color w:val="auto"/>
        </w:rPr>
        <w:t>We estimate that the total expenses of the offering payable by us, not including the underwriting discount, will be approximately $3.9 million. We have agreed with the underwriters to pay certain fees and expenses related to the review and qualification of this offering by the Financial Industry Regulatory Authority, Inc. and "blue sky" expenses in an amount not to exceed $35,000.</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 SALES OF SIMILAR SECURITIES</w:t>
      </w:r>
    </w:p>
    <w:p>
      <w:pPr>
        <w:spacing w:after="0" w:line="195" w:lineRule="exact"/>
        <w:rPr>
          <w:sz w:val="20"/>
          <w:szCs w:val="20"/>
          <w:color w:val="auto"/>
        </w:rPr>
      </w:pPr>
    </w:p>
    <w:p>
      <w:pPr>
        <w:ind w:left="7" w:right="80"/>
        <w:spacing w:after="0" w:line="290" w:lineRule="auto"/>
        <w:rPr>
          <w:sz w:val="20"/>
          <w:szCs w:val="20"/>
          <w:color w:val="auto"/>
        </w:rPr>
      </w:pPr>
      <w:r>
        <w:rPr>
          <w:rFonts w:ascii="Arial" w:cs="Arial" w:eastAsia="Arial" w:hAnsi="Arial"/>
          <w:sz w:val="14"/>
          <w:szCs w:val="14"/>
          <w:color w:val="auto"/>
        </w:rPr>
        <w:t>We, our executive officers and directors, and holders of substantially all of our common stock have entered into lock-up agreements with the underwriters. Under the lock-up agreements, subject to certain exceptions, we and each of these persons may not, without the prior written approval of UBS Securities LLC and Stifel, Nicolaus &amp; Company, Incorporated, offer, sell, contract to sell, pledge, or otherwise dispose of, directly or indirectly, or hedge our common stock or securities convertible into or exchangeable or exercisable for our common stock. These restrictions will be in effect for a period ending on and including the date that is 180 days after the date of this prospectus.</w:t>
      </w:r>
    </w:p>
    <w:p>
      <w:pPr>
        <w:spacing w:after="0" w:line="148" w:lineRule="exact"/>
        <w:rPr>
          <w:sz w:val="20"/>
          <w:szCs w:val="20"/>
          <w:color w:val="auto"/>
        </w:rPr>
      </w:pPr>
    </w:p>
    <w:p>
      <w:pPr>
        <w:ind w:left="7" w:right="60"/>
        <w:spacing w:after="0" w:line="270" w:lineRule="auto"/>
        <w:rPr>
          <w:sz w:val="20"/>
          <w:szCs w:val="20"/>
          <w:color w:val="auto"/>
        </w:rPr>
      </w:pPr>
      <w:r>
        <w:rPr>
          <w:rFonts w:ascii="Arial" w:cs="Arial" w:eastAsia="Arial" w:hAnsi="Arial"/>
          <w:sz w:val="15"/>
          <w:szCs w:val="15"/>
          <w:color w:val="auto"/>
        </w:rPr>
        <w:t>UBS Securities LLC and Stifel, Nicolaus &amp; Company, Incorporated may, at any time and in their sole discretion, release some or all the securities from these lock-up agreements. If the restrictions under the lock-up agreements are waived, shares of our common stock may become available for resale into the market, subject to applicable law, which could reduce the market price of our common stock.</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INDEMNIFICATION</w:t>
      </w:r>
    </w:p>
    <w:p>
      <w:pPr>
        <w:spacing w:after="0" w:line="195" w:lineRule="exact"/>
        <w:rPr>
          <w:sz w:val="20"/>
          <w:szCs w:val="20"/>
          <w:color w:val="auto"/>
        </w:rPr>
      </w:pPr>
    </w:p>
    <w:p>
      <w:pPr>
        <w:ind w:left="7" w:right="300"/>
        <w:spacing w:after="0" w:line="282" w:lineRule="auto"/>
        <w:rPr>
          <w:sz w:val="20"/>
          <w:szCs w:val="20"/>
          <w:color w:val="auto"/>
        </w:rPr>
      </w:pPr>
      <w:r>
        <w:rPr>
          <w:rFonts w:ascii="Arial" w:cs="Arial" w:eastAsia="Arial" w:hAnsi="Arial"/>
          <w:sz w:val="15"/>
          <w:szCs w:val="15"/>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NASDAQ LISTING</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5"/>
          <w:szCs w:val="15"/>
          <w:color w:val="auto"/>
        </w:rPr>
        <w:t>Our common stock has been approved for listing on The NASDAQ Global Market under the symbol "SELB."</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PRICE STABILIZATION, SHORT POSITIONS</w:t>
      </w:r>
    </w:p>
    <w:p>
      <w:pPr>
        <w:spacing w:after="0" w:line="195" w:lineRule="exact"/>
        <w:rPr>
          <w:sz w:val="20"/>
          <w:szCs w:val="20"/>
          <w:color w:val="auto"/>
        </w:rPr>
      </w:pPr>
    </w:p>
    <w:p>
      <w:pPr>
        <w:ind w:left="7"/>
        <w:spacing w:after="0"/>
        <w:rPr>
          <w:sz w:val="20"/>
          <w:szCs w:val="20"/>
          <w:color w:val="auto"/>
        </w:rPr>
      </w:pPr>
      <w:r>
        <w:rPr>
          <w:rFonts w:ascii="Arial" w:cs="Arial" w:eastAsia="Arial" w:hAnsi="Arial"/>
          <w:sz w:val="13"/>
          <w:szCs w:val="13"/>
          <w:color w:val="auto"/>
        </w:rPr>
        <w:t>In connection with this offering, the underwriters may engage in activities that stabilize, maintain or otherwise affect the price of our common stock during and after this offering, including:</w:t>
      </w:r>
    </w:p>
    <w:p>
      <w:pPr>
        <w:spacing w:after="0" w:line="233" w:lineRule="exact"/>
        <w:rPr>
          <w:sz w:val="20"/>
          <w:szCs w:val="20"/>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stabilizing transactions;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purchases to cover positions created by short sales;</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imposition of penalty bids;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syndicate covering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24" w:name="page225"/>
    <w:bookmarkEnd w:id="224"/>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Stabilizing transactions consist of bids or purchases made for the purpose of preventing or retarding a decline in the market price of our common stock while this offering is in progress. Stabilization transactions permit bids to purchase the underlying security so long as the stabilizing bids do not exceed a specified maximum. These transactions may also include making short sales of our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49"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59" w:lineRule="exact"/>
        <w:rPr>
          <w:sz w:val="20"/>
          <w:szCs w:val="20"/>
          <w:color w:val="auto"/>
        </w:rPr>
      </w:pPr>
    </w:p>
    <w:p>
      <w:pPr>
        <w:jc w:val="both"/>
        <w:ind w:left="7" w:right="140"/>
        <w:spacing w:after="0" w:line="270" w:lineRule="auto"/>
        <w:rPr>
          <w:sz w:val="20"/>
          <w:szCs w:val="20"/>
          <w:color w:val="auto"/>
        </w:rPr>
      </w:pPr>
      <w:r>
        <w:rPr>
          <w:rFonts w:ascii="Arial" w:cs="Arial" w:eastAsia="Arial" w:hAnsi="Arial"/>
          <w:sz w:val="15"/>
          <w:szCs w:val="15"/>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59" w:lineRule="exact"/>
        <w:rPr>
          <w:sz w:val="20"/>
          <w:szCs w:val="20"/>
          <w:color w:val="auto"/>
        </w:rPr>
      </w:pPr>
    </w:p>
    <w:p>
      <w:pPr>
        <w:ind w:left="7" w:right="400"/>
        <w:spacing w:after="0" w:line="282"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151" w:lineRule="exact"/>
        <w:rPr>
          <w:sz w:val="20"/>
          <w:szCs w:val="20"/>
          <w:color w:val="auto"/>
        </w:rPr>
      </w:pPr>
    </w:p>
    <w:p>
      <w:pPr>
        <w:ind w:left="7" w:right="20"/>
        <w:spacing w:after="0" w:line="262" w:lineRule="auto"/>
        <w:rPr>
          <w:sz w:val="20"/>
          <w:szCs w:val="20"/>
          <w:color w:val="auto"/>
        </w:rPr>
      </w:pPr>
      <w:r>
        <w:rPr>
          <w:rFonts w:ascii="Arial" w:cs="Arial" w:eastAsia="Arial" w:hAnsi="Arial"/>
          <w:sz w:val="15"/>
          <w:szCs w:val="15"/>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NASDAQ,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DETERMINATION OF OFFERING PRICE</w:t>
      </w:r>
    </w:p>
    <w:p>
      <w:pPr>
        <w:spacing w:after="0" w:line="195" w:lineRule="exact"/>
        <w:rPr>
          <w:sz w:val="20"/>
          <w:szCs w:val="20"/>
          <w:color w:val="auto"/>
        </w:rPr>
      </w:pPr>
    </w:p>
    <w:p>
      <w:pPr>
        <w:ind w:left="7" w:right="660"/>
        <w:spacing w:after="0" w:line="282" w:lineRule="auto"/>
        <w:rPr>
          <w:sz w:val="20"/>
          <w:szCs w:val="20"/>
          <w:color w:val="auto"/>
        </w:rPr>
      </w:pPr>
      <w:r>
        <w:rPr>
          <w:rFonts w:ascii="Arial" w:cs="Arial" w:eastAsia="Arial" w:hAnsi="Arial"/>
          <w:sz w:val="15"/>
          <w:szCs w:val="15"/>
          <w:color w:val="auto"/>
        </w:rPr>
        <w:t>Prior to this offering, there was no public market for our common stock. The initial public offering price will be determined by negotiation among us and the representatives of the underwriters. The principal factors to be considered in determining the initial public offering price include:</w:t>
      </w:r>
    </w:p>
    <w:p>
      <w:pPr>
        <w:spacing w:after="0" w:line="162" w:lineRule="exact"/>
        <w:rPr>
          <w:sz w:val="20"/>
          <w:szCs w:val="20"/>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our past and present financial performance;</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our prospects for future earnings and the present state of our development;</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66305"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25" w:name="page226"/>
    <w:bookmarkEnd w:id="22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91" w:lineRule="exact"/>
        <w:rPr>
          <w:sz w:val="20"/>
          <w:szCs w:val="20"/>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98" w:lineRule="exact"/>
        <w:rPr>
          <w:sz w:val="20"/>
          <w:szCs w:val="20"/>
          <w:color w:val="auto"/>
        </w:rPr>
      </w:pPr>
    </w:p>
    <w:p>
      <w:pPr>
        <w:ind w:left="7" w:right="80"/>
        <w:spacing w:after="0" w:line="27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common stock or that the common stock will trade in the public market at or above the initial public offering price.</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7" w:right="60"/>
        <w:spacing w:after="0" w:line="283" w:lineRule="auto"/>
        <w:rPr>
          <w:sz w:val="20"/>
          <w:szCs w:val="20"/>
          <w:color w:val="auto"/>
        </w:rPr>
      </w:pPr>
      <w:r>
        <w:rPr>
          <w:rFonts w:ascii="Arial" w:cs="Arial" w:eastAsia="Arial" w:hAnsi="Arial"/>
          <w:sz w:val="14"/>
          <w:szCs w:val="14"/>
          <w:color w:val="auto"/>
        </w:rPr>
        <w:t>At our request, the underwriters have reserved up to 5% of the common stock being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common stock. Participants in the directed share program who purchase more than $1,000,000 of shares shall be subject to a 25-day lock-up with respect to any shares sold to them pursuant to that program. This lock-up will have similar restrictions to the lock-up agreements described in "Shares eligible for future sale—Lock-up agreements." Any shares sold in the directed share program to our directors or executive officers shall be subject to the lock-up agreements described above.</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AFFILIATIONS</w:t>
      </w:r>
    </w:p>
    <w:p>
      <w:pPr>
        <w:spacing w:after="0" w:line="195" w:lineRule="exact"/>
        <w:rPr>
          <w:sz w:val="20"/>
          <w:szCs w:val="20"/>
          <w:color w:val="auto"/>
        </w:rPr>
      </w:pPr>
    </w:p>
    <w:p>
      <w:pPr>
        <w:ind w:left="7" w:right="80"/>
        <w:spacing w:after="0" w:line="308"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or instruments of us. The underwriters and their respective affiliates may also make investment recommendations or publish or express independent research views in respect of these securities or instruments and may at any time hold, or recommend to clients that they acquire, long or short positions in these securities and instruments.</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ELECTRONIC DISTRIBUTION</w:t>
      </w:r>
    </w:p>
    <w:p>
      <w:pPr>
        <w:spacing w:after="0" w:line="195" w:lineRule="exact"/>
        <w:rPr>
          <w:sz w:val="20"/>
          <w:szCs w:val="20"/>
          <w:color w:val="auto"/>
        </w:rPr>
      </w:pPr>
    </w:p>
    <w:p>
      <w:pPr>
        <w:ind w:left="7" w:right="100"/>
        <w:spacing w:after="0" w:line="290" w:lineRule="auto"/>
        <w:rPr>
          <w:sz w:val="20"/>
          <w:szCs w:val="20"/>
          <w:color w:val="auto"/>
        </w:rPr>
      </w:pPr>
      <w:r>
        <w:rPr>
          <w:rFonts w:ascii="Arial" w:cs="Arial" w:eastAsia="Arial" w:hAnsi="Arial"/>
          <w:sz w:val="14"/>
          <w:szCs w:val="14"/>
          <w:color w:val="auto"/>
        </w:rPr>
        <w:t>A prospectus in electronic format may be made available on the internet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266305"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26" w:name="page227"/>
    <w:bookmarkEnd w:id="22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right="40"/>
        <w:spacing w:after="0" w:line="282" w:lineRule="auto"/>
        <w:rPr>
          <w:sz w:val="20"/>
          <w:szCs w:val="20"/>
          <w:color w:val="auto"/>
        </w:rPr>
      </w:pPr>
      <w:r>
        <w:rPr>
          <w:rFonts w:ascii="Arial" w:cs="Arial" w:eastAsia="Arial" w:hAnsi="Arial"/>
          <w:sz w:val="15"/>
          <w:szCs w:val="15"/>
          <w:color w:val="auto"/>
        </w:rPr>
        <w:t>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NOTICE TO PROSPECTIVE INVESTORS</w:t>
      </w:r>
    </w:p>
    <w:p>
      <w:pPr>
        <w:spacing w:after="0" w:line="18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European Economic Area</w:t>
      </w:r>
    </w:p>
    <w:p>
      <w:pPr>
        <w:spacing w:after="0" w:line="195" w:lineRule="exact"/>
        <w:rPr>
          <w:sz w:val="20"/>
          <w:szCs w:val="20"/>
          <w:color w:val="auto"/>
        </w:rPr>
      </w:pPr>
    </w:p>
    <w:p>
      <w:pPr>
        <w:ind w:left="7" w:right="60"/>
        <w:spacing w:after="0" w:line="266"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an offer to the public of any shares of common stock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73" w:lineRule="exact"/>
        <w:rPr>
          <w:sz w:val="20"/>
          <w:szCs w:val="20"/>
          <w:color w:val="auto"/>
        </w:rPr>
      </w:pPr>
    </w:p>
    <w:p>
      <w:pPr>
        <w:ind w:left="467" w:hanging="467"/>
        <w:spacing w:after="0"/>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Directive;</w:t>
      </w:r>
    </w:p>
    <w:p>
      <w:pPr>
        <w:spacing w:after="0" w:line="221" w:lineRule="exact"/>
        <w:rPr>
          <w:rFonts w:ascii="Arial" w:cs="Arial" w:eastAsia="Arial" w:hAnsi="Arial"/>
          <w:sz w:val="15"/>
          <w:szCs w:val="15"/>
          <w:color w:val="auto"/>
        </w:rPr>
      </w:pPr>
    </w:p>
    <w:p>
      <w:pPr>
        <w:ind w:left="467" w:right="180" w:hanging="467"/>
        <w:spacing w:after="0" w:line="362" w:lineRule="auto"/>
        <w:tabs>
          <w:tab w:leader="none" w:pos="467"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by the underwriters to fewer than 100, or, if the Relevant Member State has implemented the relevant provisions of the 2010 PD Amending Directive, 150, natural or legal persons (other than qualified investors as defined in the Prospectus Directive) subject to obtaining the prior consent of the representatives of the underwriters for any such offer; or</w:t>
      </w:r>
    </w:p>
    <w:p>
      <w:pPr>
        <w:spacing w:after="0" w:line="116" w:lineRule="exact"/>
        <w:rPr>
          <w:rFonts w:ascii="Arial" w:cs="Arial" w:eastAsia="Arial" w:hAnsi="Arial"/>
          <w:sz w:val="13"/>
          <w:szCs w:val="13"/>
          <w:color w:val="auto"/>
        </w:rPr>
      </w:pPr>
    </w:p>
    <w:p>
      <w:pPr>
        <w:ind w:left="467" w:hanging="467"/>
        <w:spacing w:after="0" w:line="282" w:lineRule="auto"/>
        <w:tabs>
          <w:tab w:leader="none" w:pos="46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shall result in a requirement us or any underwriter to publish a prospectus pursuant to Article 3 of the Prospectus Directive or supplement a prospectus pursuant to Article 16 of the Prospectus Directive.</w:t>
      </w:r>
    </w:p>
    <w:p>
      <w:pPr>
        <w:spacing w:after="0" w:line="151"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EEA selling restriction is in addition to any other selling restrictions set out in this prospectus.</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United Kingdom</w:t>
      </w:r>
    </w:p>
    <w:p>
      <w:pPr>
        <w:spacing w:after="0" w:line="195" w:lineRule="exact"/>
        <w:rPr>
          <w:sz w:val="20"/>
          <w:szCs w:val="20"/>
          <w:color w:val="auto"/>
        </w:rPr>
      </w:pPr>
    </w:p>
    <w:p>
      <w:pPr>
        <w:ind w:left="7"/>
        <w:spacing w:after="0" w:line="263" w:lineRule="auto"/>
        <w:rPr>
          <w:sz w:val="20"/>
          <w:szCs w:val="20"/>
          <w:color w:val="auto"/>
        </w:rPr>
      </w:pPr>
      <w:r>
        <w:rPr>
          <w:rFonts w:ascii="Arial" w:cs="Arial" w:eastAsia="Arial" w:hAnsi="Arial"/>
          <w:sz w:val="15"/>
          <w:szCs w:val="15"/>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shares are only available to, and any invitation, offer or agreement to subscribe, purchase or otherwise acquire such shares will be engaged in only with, relevant persons. Any person who is not a relevant person should not act or rely on this prospectus or any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2"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5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This prospectus does not constitute an offer in Australia other than to persons who do not require disclosure under Part 6D.2 of the Corporations Act 2001 (Australia) and who are wholesale clients for the purposes of section 761G of the Corporations Act 2001 (Australia). By submitting an application for our securities, you represent and warrant to us that you are a person who does not require disclosure under Part 6D.2 and who is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person who does not require disclosure under Part 6D.2 and who is a wholesale client.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195" w:lineRule="exact"/>
        <w:rPr>
          <w:sz w:val="20"/>
          <w:szCs w:val="20"/>
          <w:color w:val="auto"/>
        </w:rPr>
      </w:pPr>
    </w:p>
    <w:p>
      <w:pPr>
        <w:ind w:right="40"/>
        <w:spacing w:after="0" w:line="306" w:lineRule="auto"/>
        <w:rPr>
          <w:sz w:val="20"/>
          <w:szCs w:val="20"/>
          <w:color w:val="auto"/>
        </w:rPr>
      </w:pPr>
      <w:r>
        <w:rPr>
          <w:rFonts w:ascii="Arial" w:cs="Arial" w:eastAsia="Arial" w:hAnsi="Arial"/>
          <w:sz w:val="13"/>
          <w:szCs w:val="13"/>
          <w:color w:val="auto"/>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SFO and any rules made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Japan</w:t>
      </w:r>
    </w:p>
    <w:p>
      <w:pPr>
        <w:spacing w:after="0" w:line="19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Our securities have not been and will not be registered under the Financial Instruments and Exchange Law of Japan (the Financial Instruments and Exchange Law) and our securities will not be offered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28" w:name="page229"/>
    <w:bookmarkEnd w:id="228"/>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left="7"/>
        <w:spacing w:after="0" w:line="330" w:lineRule="auto"/>
        <w:rPr>
          <w:sz w:val="20"/>
          <w:szCs w:val="20"/>
          <w:color w:val="auto"/>
        </w:rPr>
      </w:pPr>
      <w:r>
        <w:rPr>
          <w:rFonts w:ascii="Arial" w:cs="Arial" w:eastAsia="Arial" w:hAnsi="Arial"/>
          <w:sz w:val="13"/>
          <w:szCs w:val="13"/>
          <w:color w:val="auto"/>
        </w:rPr>
        <w:t>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Singapore</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5"/>
          <w:szCs w:val="15"/>
          <w:color w:val="auto"/>
        </w:rPr>
        <w:t>Where our securities are subscribed or purchased under Section 275 by a relevant person which is:</w:t>
      </w:r>
    </w:p>
    <w:p>
      <w:pPr>
        <w:spacing w:after="0" w:line="210" w:lineRule="exact"/>
        <w:rPr>
          <w:sz w:val="20"/>
          <w:szCs w:val="20"/>
          <w:color w:val="auto"/>
        </w:rPr>
      </w:pPr>
    </w:p>
    <w:p>
      <w:pPr>
        <w:ind w:left="467" w:right="300" w:hanging="467"/>
        <w:spacing w:after="0" w:line="282" w:lineRule="auto"/>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5"/>
          <w:szCs w:val="15"/>
          <w:color w:val="auto"/>
        </w:rPr>
      </w:pPr>
    </w:p>
    <w:p>
      <w:pPr>
        <w:ind w:left="467" w:right="200" w:hanging="467"/>
        <w:spacing w:after="0" w:line="270" w:lineRule="auto"/>
        <w:tabs>
          <w:tab w:leader="none" w:pos="46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our securities pursuant to an offer made under Section 275 except:</w:t>
      </w:r>
    </w:p>
    <w:p>
      <w:pPr>
        <w:spacing w:after="0" w:line="355" w:lineRule="exact"/>
        <w:rPr>
          <w:rFonts w:ascii="Arial" w:cs="Arial" w:eastAsia="Arial" w:hAnsi="Arial"/>
          <w:sz w:val="15"/>
          <w:szCs w:val="15"/>
          <w:color w:val="auto"/>
        </w:rPr>
      </w:pPr>
    </w:p>
    <w:p>
      <w:pPr>
        <w:ind w:left="927" w:hanging="464"/>
        <w:spacing w:after="0" w:line="282" w:lineRule="auto"/>
        <w:tabs>
          <w:tab w:leader="none" w:pos="927" w:val="left"/>
        </w:tabs>
        <w:numPr>
          <w:ilvl w:val="1"/>
          <w:numId w:val="132"/>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 (i)(B) of the SFA;</w:t>
      </w:r>
    </w:p>
    <w:p>
      <w:pPr>
        <w:spacing w:after="0" w:line="162" w:lineRule="exact"/>
        <w:rPr>
          <w:rFonts w:ascii="Arial" w:cs="Arial" w:eastAsia="Arial" w:hAnsi="Arial"/>
          <w:sz w:val="15"/>
          <w:szCs w:val="15"/>
          <w:color w:val="auto"/>
        </w:rPr>
      </w:pPr>
    </w:p>
    <w:p>
      <w:pPr>
        <w:ind w:left="927" w:hanging="464"/>
        <w:spacing w:after="0"/>
        <w:tabs>
          <w:tab w:leader="none" w:pos="927" w:val="left"/>
        </w:tabs>
        <w:numPr>
          <w:ilvl w:val="1"/>
          <w:numId w:val="132"/>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221" w:lineRule="exact"/>
        <w:rPr>
          <w:rFonts w:ascii="Arial" w:cs="Arial" w:eastAsia="Arial" w:hAnsi="Arial"/>
          <w:sz w:val="15"/>
          <w:szCs w:val="15"/>
          <w:color w:val="auto"/>
        </w:rPr>
      </w:pPr>
    </w:p>
    <w:p>
      <w:pPr>
        <w:ind w:left="927" w:hanging="464"/>
        <w:spacing w:after="0"/>
        <w:tabs>
          <w:tab w:leader="none" w:pos="927" w:val="left"/>
        </w:tabs>
        <w:numPr>
          <w:ilvl w:val="1"/>
          <w:numId w:val="132"/>
        </w:numPr>
        <w:rPr>
          <w:rFonts w:ascii="Arial" w:cs="Arial" w:eastAsia="Arial" w:hAnsi="Arial"/>
          <w:sz w:val="15"/>
          <w:szCs w:val="15"/>
          <w:color w:val="auto"/>
        </w:rPr>
      </w:pPr>
      <w:r>
        <w:rPr>
          <w:rFonts w:ascii="Arial" w:cs="Arial" w:eastAsia="Arial" w:hAnsi="Arial"/>
          <w:sz w:val="15"/>
          <w:szCs w:val="15"/>
          <w:color w:val="auto"/>
        </w:rPr>
        <w:t>where the transfer is by operation of law; or</w:t>
      </w:r>
    </w:p>
    <w:p>
      <w:pPr>
        <w:spacing w:after="0" w:line="209" w:lineRule="exact"/>
        <w:rPr>
          <w:rFonts w:ascii="Arial" w:cs="Arial" w:eastAsia="Arial" w:hAnsi="Arial"/>
          <w:sz w:val="15"/>
          <w:szCs w:val="15"/>
          <w:color w:val="auto"/>
        </w:rPr>
      </w:pPr>
    </w:p>
    <w:p>
      <w:pPr>
        <w:ind w:left="927" w:hanging="464"/>
        <w:spacing w:after="0"/>
        <w:tabs>
          <w:tab w:leader="none" w:pos="927" w:val="left"/>
        </w:tabs>
        <w:numPr>
          <w:ilvl w:val="1"/>
          <w:numId w:val="132"/>
        </w:numPr>
        <w:rPr>
          <w:rFonts w:ascii="Arial" w:cs="Arial" w:eastAsia="Arial" w:hAnsi="Arial"/>
          <w:sz w:val="15"/>
          <w:szCs w:val="15"/>
          <w:color w:val="auto"/>
        </w:rPr>
      </w:pPr>
      <w:r>
        <w:rPr>
          <w:rFonts w:ascii="Arial" w:cs="Arial" w:eastAsia="Arial" w:hAnsi="Arial"/>
          <w:sz w:val="15"/>
          <w:szCs w:val="15"/>
          <w:color w:val="auto"/>
        </w:rPr>
        <w:t>as specified in Section 276(7) of the SFA.</w:t>
      </w:r>
    </w:p>
    <w:p>
      <w:pPr>
        <w:spacing w:after="0" w:line="19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Switzerland</w:t>
      </w:r>
    </w:p>
    <w:p>
      <w:pPr>
        <w:spacing w:after="0" w:line="195" w:lineRule="exact"/>
        <w:rPr>
          <w:sz w:val="20"/>
          <w:szCs w:val="20"/>
          <w:color w:val="auto"/>
        </w:rPr>
      </w:pPr>
    </w:p>
    <w:p>
      <w:pPr>
        <w:ind w:left="7" w:right="260"/>
        <w:spacing w:after="0" w:line="266" w:lineRule="auto"/>
        <w:rPr>
          <w:sz w:val="20"/>
          <w:szCs w:val="20"/>
          <w:color w:val="auto"/>
        </w:rPr>
      </w:pPr>
      <w:r>
        <w:rPr>
          <w:rFonts w:ascii="Arial" w:cs="Arial" w:eastAsia="Arial" w:hAnsi="Arial"/>
          <w:sz w:val="15"/>
          <w:szCs w:val="15"/>
          <w:color w:val="auto"/>
        </w:rPr>
        <w:t>This Prospectus does not constitute an issue prospectus pursuant to Article 652a or Article 1156 of the Swiss Code of Obligations (CO) and the shares will not be listed on the SIX Swiss Exchange. Therefore, the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Greece</w:t>
      </w:r>
    </w:p>
    <w:p>
      <w:pPr>
        <w:spacing w:after="0" w:line="195" w:lineRule="exact"/>
        <w:rPr>
          <w:sz w:val="20"/>
          <w:szCs w:val="20"/>
          <w:color w:val="auto"/>
        </w:rPr>
      </w:pPr>
    </w:p>
    <w:p>
      <w:pPr>
        <w:jc w:val="both"/>
        <w:ind w:right="180"/>
        <w:spacing w:after="0" w:line="270" w:lineRule="auto"/>
        <w:rPr>
          <w:sz w:val="20"/>
          <w:szCs w:val="20"/>
          <w:color w:val="auto"/>
        </w:rPr>
      </w:pPr>
      <w:r>
        <w:rPr>
          <w:rFonts w:ascii="Arial" w:cs="Arial" w:eastAsia="Arial" w:hAnsi="Arial"/>
          <w:sz w:val="15"/>
          <w:szCs w:val="15"/>
          <w:color w:val="auto"/>
        </w:rPr>
        <w:t>The securities have not been approved by the Hellenic Capital Markets Commission for distribution and marketing in Greece. This document and the information contained therein do not and shall not be deemed to constitute an invitation to the public in Greece to purchase the securities. The securities may not be advertised, distributed, offered or in any way sold in Greece except as permitted by Greek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Dubai International Finance Centre</w:t>
      </w:r>
    </w:p>
    <w:p>
      <w:pPr>
        <w:spacing w:after="0" w:line="195"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This prospectus relates to an Exempt Offer in accordance with the Markets Rules of the Dubai Financial Services Authority. This prospectus is intended for distribution only to Professional Clients who are not natural persons.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securities to which this prospectus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0" w:name="page231"/>
    <w:bookmarkEnd w:id="230"/>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0910" cy="7620"/>
                    </a:xfrm>
                    <a:prstGeom prst="rect">
                      <a:avLst/>
                    </a:prstGeom>
                    <a:noFill/>
                  </pic:spPr>
                </pic:pic>
              </a:graphicData>
            </a:graphic>
          </wp:anchor>
        </w:drawing>
        <w:t>Legal matters</w:t>
      </w:r>
    </w:p>
    <w:p>
      <w:pPr>
        <w:spacing w:after="0" w:line="183" w:lineRule="exact"/>
        <w:rPr>
          <w:sz w:val="20"/>
          <w:szCs w:val="20"/>
          <w:color w:val="auto"/>
        </w:rPr>
      </w:pPr>
    </w:p>
    <w:p>
      <w:pPr>
        <w:ind w:right="620"/>
        <w:spacing w:after="0" w:line="282" w:lineRule="auto"/>
        <w:rPr>
          <w:sz w:val="20"/>
          <w:szCs w:val="20"/>
          <w:color w:val="auto"/>
        </w:rPr>
      </w:pPr>
      <w:r>
        <w:rPr>
          <w:rFonts w:ascii="Arial" w:cs="Arial" w:eastAsia="Arial" w:hAnsi="Arial"/>
          <w:sz w:val="15"/>
          <w:szCs w:val="15"/>
          <w:color w:val="auto"/>
        </w:rPr>
        <w:t>The validity of the shares of common stock offered hereby will be passed upon for us by Latham &amp; Watkins LLP. Certain legal matters will be passed upon for the underwriters by Cooley LLP.</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Experts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Our consolidated financial statements as of December 31, 2014 and December 31, 2015, and for the years then ended, appearing in this prospectus and the related registration statement have been audited by Ernst &amp; Young LLP, independent registered public accounting firm, as set forth in their report thereon (which contains an explanatory paragraph describing conditions that raise substantial doubt about our ability to continue as a going concern as described in Note 1 to the consolidated financial statements) appearing elsewhere herein, and are included in reliance on such report given on the authority of such firm as experts in accounting and auditing.</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Where you can find more information</w:t>
      </w:r>
    </w:p>
    <w:p>
      <w:pPr>
        <w:spacing w:after="0" w:line="183"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Exchange Act. You may read and copy this information at the Public Reference Room of the SEC, 100 F Street, N.E., Room 1580, Washington, District of Columbia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site is </w:t>
      </w:r>
      <w:r>
        <w:rPr>
          <w:rFonts w:ascii="Arial" w:cs="Arial" w:eastAsia="Arial" w:hAnsi="Arial"/>
          <w:sz w:val="15"/>
          <w:szCs w:val="15"/>
          <w:i w:val="1"/>
          <w:iCs w:val="1"/>
          <w:color w:val="auto"/>
        </w:rPr>
        <w:t>www.sec.gov</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266305"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Selecta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8091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INDEX TO CONSOLIDATED FINANCIAL STATEMENTS</w:t>
      </w:r>
    </w:p>
    <w:p>
      <w:pPr>
        <w:spacing w:after="0" w:line="183" w:lineRule="exact"/>
        <w:rPr>
          <w:sz w:val="20"/>
          <w:szCs w:val="20"/>
          <w:color w:val="auto"/>
        </w:rPr>
      </w:pPr>
    </w:p>
    <w:p>
      <w:pPr>
        <w:ind w:left="1140"/>
        <w:spacing w:after="0"/>
        <w:rPr>
          <w:rFonts w:ascii="Arial" w:cs="Arial" w:eastAsia="Arial" w:hAnsi="Arial"/>
          <w:sz w:val="15"/>
          <w:szCs w:val="15"/>
          <w:u w:val="single" w:color="auto"/>
          <w:color w:val="0000EE"/>
        </w:rPr>
      </w:pPr>
      <w:hyperlink w:anchor="page233">
        <w:r>
          <w:rPr>
            <w:rFonts w:ascii="Arial" w:cs="Arial" w:eastAsia="Arial" w:hAnsi="Arial"/>
            <w:sz w:val="15"/>
            <w:szCs w:val="15"/>
            <w:u w:val="single" w:color="auto"/>
            <w:color w:val="0000EE"/>
          </w:rPr>
          <w:t>Report of Independent Registered Public Accounting Firm</w:t>
        </w:r>
      </w:hyperlink>
    </w:p>
    <w:p>
      <w:pPr>
        <w:spacing w:after="0" w:line="18" w:lineRule="exact"/>
        <w:rPr>
          <w:sz w:val="20"/>
          <w:szCs w:val="20"/>
          <w:color w:val="auto"/>
        </w:rPr>
      </w:pPr>
    </w:p>
    <w:p>
      <w:pPr>
        <w:ind w:left="1140" w:right="160"/>
        <w:spacing w:after="0" w:line="297" w:lineRule="auto"/>
        <w:rPr>
          <w:rFonts w:ascii="Arial" w:cs="Arial" w:eastAsia="Arial" w:hAnsi="Arial"/>
          <w:sz w:val="13"/>
          <w:szCs w:val="13"/>
          <w:u w:val="single" w:color="auto"/>
          <w:color w:val="0000EE"/>
        </w:rPr>
      </w:pPr>
      <w:hyperlink w:anchor="page234">
        <w:r>
          <w:rPr>
            <w:rFonts w:ascii="Arial" w:cs="Arial" w:eastAsia="Arial" w:hAnsi="Arial"/>
            <w:sz w:val="13"/>
            <w:szCs w:val="13"/>
            <w:u w:val="single" w:color="auto"/>
            <w:color w:val="0000EE"/>
          </w:rPr>
          <w:t>Consolidated Balance Sheets as of December 31, 2014 and 2015 and as of March 31, 2016 Actual and Pro Forma (unaudited)</w:t>
        </w:r>
      </w:hyperlink>
      <w:r>
        <w:rPr>
          <w:rFonts w:ascii="Arial" w:cs="Arial" w:eastAsia="Arial" w:hAnsi="Arial"/>
          <w:sz w:val="13"/>
          <w:szCs w:val="13"/>
          <w:u w:val="single" w:color="auto"/>
          <w:color w:val="0000EE"/>
        </w:rPr>
        <w:t xml:space="preserve"> </w:t>
      </w:r>
      <w:hyperlink w:anchor="page235">
        <w:r>
          <w:rPr>
            <w:rFonts w:ascii="Arial" w:cs="Arial" w:eastAsia="Arial" w:hAnsi="Arial"/>
            <w:sz w:val="13"/>
            <w:szCs w:val="13"/>
            <w:u w:val="single" w:color="auto"/>
            <w:color w:val="0000EE"/>
          </w:rPr>
          <w:t>Consolidated Statements of Operations and Comprehensive Loss for the years ended December 31, 2014 and 2015 and the three months</w:t>
        </w:r>
      </w:hyperlink>
    </w:p>
    <w:p>
      <w:pPr>
        <w:spacing w:after="0" w:line="1" w:lineRule="exact"/>
        <w:rPr>
          <w:sz w:val="20"/>
          <w:szCs w:val="20"/>
          <w:color w:val="auto"/>
        </w:rPr>
      </w:pPr>
    </w:p>
    <w:p>
      <w:pPr>
        <w:ind w:left="1300"/>
        <w:spacing w:after="0"/>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ended March 31, 2015 and 2016 (unaudited)</w:t>
        </w:r>
      </w:hyperlink>
    </w:p>
    <w:p>
      <w:pPr>
        <w:spacing w:after="0" w:line="13" w:lineRule="exact"/>
        <w:rPr>
          <w:sz w:val="20"/>
          <w:szCs w:val="20"/>
          <w:color w:val="auto"/>
        </w:rPr>
      </w:pPr>
    </w:p>
    <w:p>
      <w:pPr>
        <w:ind w:left="1300" w:hanging="153"/>
        <w:spacing w:after="0" w:line="257" w:lineRule="auto"/>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Consolidated Statements of Redeemable Convertible Preferred Stock and Stockholders' Deficit for the years ended December 31, 2014 and</w:t>
        </w:r>
      </w:hyperlink>
      <w:r>
        <w:rPr>
          <w:rFonts w:ascii="Arial" w:cs="Arial" w:eastAsia="Arial" w:hAnsi="Arial"/>
          <w:sz w:val="15"/>
          <w:szCs w:val="15"/>
          <w:u w:val="single" w:color="auto"/>
          <w:color w:val="0000EE"/>
        </w:rPr>
        <w:t xml:space="preserve"> </w:t>
      </w:r>
      <w:hyperlink w:anchor="page236">
        <w:r>
          <w:rPr>
            <w:rFonts w:ascii="Arial" w:cs="Arial" w:eastAsia="Arial" w:hAnsi="Arial"/>
            <w:sz w:val="15"/>
            <w:szCs w:val="15"/>
            <w:u w:val="single" w:color="auto"/>
            <w:color w:val="0000EE"/>
          </w:rPr>
          <w:t>2015 and the three months ended March 31, 2015 and 2016 (unaudited)</w:t>
        </w:r>
      </w:hyperlink>
    </w:p>
    <w:p>
      <w:pPr>
        <w:spacing w:after="0" w:line="1" w:lineRule="exact"/>
        <w:rPr>
          <w:sz w:val="20"/>
          <w:szCs w:val="20"/>
          <w:color w:val="auto"/>
        </w:rPr>
      </w:pPr>
    </w:p>
    <w:p>
      <w:pPr>
        <w:ind w:left="1300" w:right="40" w:hanging="153"/>
        <w:spacing w:after="0" w:line="257" w:lineRule="auto"/>
        <w:rPr>
          <w:rFonts w:ascii="Arial" w:cs="Arial" w:eastAsia="Arial" w:hAnsi="Arial"/>
          <w:sz w:val="15"/>
          <w:szCs w:val="15"/>
          <w:u w:val="single" w:color="auto"/>
          <w:color w:val="0000EE"/>
        </w:rPr>
      </w:pPr>
      <w:hyperlink w:anchor="page238">
        <w:r>
          <w:rPr>
            <w:rFonts w:ascii="Arial" w:cs="Arial" w:eastAsia="Arial" w:hAnsi="Arial"/>
            <w:sz w:val="15"/>
            <w:szCs w:val="15"/>
            <w:u w:val="single" w:color="auto"/>
            <w:color w:val="0000EE"/>
          </w:rPr>
          <w:t>Consolidated Statements of Cash Flows for the years ended December 31, 2014 and 2015 and the three months ended March 31, 2015 and</w:t>
        </w:r>
      </w:hyperlink>
      <w:r>
        <w:rPr>
          <w:rFonts w:ascii="Arial" w:cs="Arial" w:eastAsia="Arial" w:hAnsi="Arial"/>
          <w:sz w:val="15"/>
          <w:szCs w:val="15"/>
          <w:u w:val="single" w:color="auto"/>
          <w:color w:val="0000EE"/>
        </w:rPr>
        <w:t xml:space="preserve"> </w:t>
      </w:r>
      <w:hyperlink w:anchor="page238">
        <w:r>
          <w:rPr>
            <w:rFonts w:ascii="Arial" w:cs="Arial" w:eastAsia="Arial" w:hAnsi="Arial"/>
            <w:sz w:val="15"/>
            <w:szCs w:val="15"/>
            <w:u w:val="single" w:color="auto"/>
            <w:color w:val="0000EE"/>
          </w:rPr>
          <w:t>2016 (unaudited)</w:t>
        </w:r>
      </w:hyperlink>
    </w:p>
    <w:p>
      <w:pPr>
        <w:spacing w:after="0" w:line="1" w:lineRule="exact"/>
        <w:rPr>
          <w:sz w:val="20"/>
          <w:szCs w:val="20"/>
          <w:color w:val="auto"/>
        </w:rPr>
      </w:pPr>
    </w:p>
    <w:p>
      <w:pPr>
        <w:ind w:left="1140"/>
        <w:spacing w:after="0"/>
        <w:rPr>
          <w:rFonts w:ascii="Arial" w:cs="Arial" w:eastAsia="Arial" w:hAnsi="Arial"/>
          <w:sz w:val="15"/>
          <w:szCs w:val="15"/>
          <w:u w:val="single" w:color="auto"/>
          <w:color w:val="0000EE"/>
        </w:rPr>
      </w:pPr>
      <w:hyperlink w:anchor="page239">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3">
        <w:r>
          <w:rPr>
            <w:rFonts w:ascii="Arial" w:cs="Arial" w:eastAsia="Arial" w:hAnsi="Arial"/>
            <w:sz w:val="14"/>
            <w:szCs w:val="14"/>
            <w:b w:val="1"/>
            <w:bCs w:val="1"/>
            <w:u w:val="single" w:color="auto"/>
            <w:color w:val="0000EE"/>
          </w:rPr>
          <w:t>F-2</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4">
        <w:r>
          <w:rPr>
            <w:rFonts w:ascii="Arial" w:cs="Arial" w:eastAsia="Arial" w:hAnsi="Arial"/>
            <w:sz w:val="14"/>
            <w:szCs w:val="14"/>
            <w:b w:val="1"/>
            <w:bCs w:val="1"/>
            <w:u w:val="single" w:color="auto"/>
            <w:color w:val="0000EE"/>
          </w:rPr>
          <w:t>F-3</w:t>
        </w:r>
      </w:hyperlink>
    </w:p>
    <w:p>
      <w:pPr>
        <w:spacing w:after="0" w:line="19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5">
        <w:r>
          <w:rPr>
            <w:rFonts w:ascii="Arial" w:cs="Arial" w:eastAsia="Arial" w:hAnsi="Arial"/>
            <w:sz w:val="14"/>
            <w:szCs w:val="14"/>
            <w:b w:val="1"/>
            <w:bCs w:val="1"/>
            <w:u w:val="single" w:color="auto"/>
            <w:color w:val="0000EE"/>
          </w:rPr>
          <w:t>F-4</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6">
        <w:r>
          <w:rPr>
            <w:rFonts w:ascii="Arial" w:cs="Arial" w:eastAsia="Arial" w:hAnsi="Arial"/>
            <w:sz w:val="14"/>
            <w:szCs w:val="14"/>
            <w:b w:val="1"/>
            <w:bCs w:val="1"/>
            <w:u w:val="single" w:color="auto"/>
            <w:color w:val="0000EE"/>
          </w:rPr>
          <w:t>F-5</w:t>
        </w:r>
      </w:hyperlink>
    </w:p>
    <w:p>
      <w:pPr>
        <w:spacing w:after="0" w:line="210"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8">
        <w:r>
          <w:rPr>
            <w:rFonts w:ascii="Arial" w:cs="Arial" w:eastAsia="Arial" w:hAnsi="Arial"/>
            <w:sz w:val="14"/>
            <w:szCs w:val="14"/>
            <w:b w:val="1"/>
            <w:bCs w:val="1"/>
            <w:u w:val="single" w:color="auto"/>
            <w:color w:val="0000EE"/>
          </w:rPr>
          <w:t>F-6</w:t>
        </w:r>
      </w:hyperlink>
    </w:p>
    <w:p>
      <w:pPr>
        <w:spacing w:after="0" w:line="37"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39">
        <w:r>
          <w:rPr>
            <w:rFonts w:ascii="Arial" w:cs="Arial" w:eastAsia="Arial" w:hAnsi="Arial"/>
            <w:sz w:val="14"/>
            <w:szCs w:val="14"/>
            <w:b w:val="1"/>
            <w:bCs w:val="1"/>
            <w:u w:val="single" w:color="auto"/>
            <w:color w:val="0000EE"/>
          </w:rPr>
          <w:t>F-7</w:t>
        </w:r>
      </w:hyperlink>
    </w:p>
    <w:p>
      <w:pPr>
        <w:spacing w:after="0" w:line="200" w:lineRule="exact"/>
        <w:rPr>
          <w:sz w:val="20"/>
          <w:szCs w:val="20"/>
          <w:color w:val="auto"/>
        </w:rPr>
      </w:pPr>
    </w:p>
    <w:p>
      <w:pPr>
        <w:sectPr>
          <w:pgSz w:w="11900" w:h="16838" w:orient="portrait"/>
          <w:cols w:equalWidth="0" w:num="2">
            <w:col w:w="9520" w:space="400"/>
            <w:col w:w="1520"/>
          </w:cols>
          <w:pgMar w:left="240" w:top="132" w:right="219" w:bottom="1440" w:gutter="0" w:footer="0" w:header="0"/>
          <w:type w:val="continuous"/>
        </w:sectPr>
      </w:pPr>
    </w:p>
    <w:p>
      <w:pPr>
        <w:spacing w:after="0" w:line="59" w:lineRule="exact"/>
        <w:rPr>
          <w:sz w:val="20"/>
          <w:szCs w:val="20"/>
          <w:color w:val="auto"/>
        </w:rPr>
      </w:pPr>
    </w:p>
    <w:p>
      <w:pPr>
        <w:ind w:left="11260"/>
        <w:spacing w:after="0"/>
        <w:rPr>
          <w:sz w:val="20"/>
          <w:szCs w:val="20"/>
          <w:color w:val="auto"/>
        </w:rPr>
      </w:pPr>
      <w:r>
        <w:rPr>
          <w:rFonts w:ascii="Arial" w:cs="Arial" w:eastAsia="Arial" w:hAnsi="Arial"/>
          <w:sz w:val="10"/>
          <w:szCs w:val="10"/>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1385" cy="203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type w:val="continuous"/>
        </w:sectPr>
      </w:pPr>
    </w:p>
    <w:bookmarkStart w:id="232" w:name="page233"/>
    <w:bookmarkEnd w:id="23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8091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Selecta Biosciences, Inc. and Subsidiaries</w:t>
      </w:r>
    </w:p>
    <w:p>
      <w:pPr>
        <w:spacing w:after="0" w:line="193"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We have audited the accompanying consolidated balance sheets of Selecta Biosciences, Inc. and subsidiaries ("the Company") as of December 31, 2015 and 2014, and the related consolidated statements of comprehensive loss, redeemable convertible preferred stock and stockholders' deficit, and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4" w:lineRule="exact"/>
        <w:rPr>
          <w:sz w:val="20"/>
          <w:szCs w:val="20"/>
          <w:color w:val="auto"/>
        </w:rPr>
      </w:pPr>
    </w:p>
    <w:p>
      <w:pPr>
        <w:ind w:right="320"/>
        <w:spacing w:after="0" w:line="270"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consolidated financial position of Selecta Biosciences, Inc. and subsidiaries at December 31, 2015 and 2014, and the consolidated results of its operations and its cash flows for each of the two years in the period ended December 31, 2015, in conformity with U.S. generally accepted accounting principles.</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The accompanying consolidated financial statements have been prepared assuming that the Company will continue as a going concern. As discussed in Note 1 to the financial statements, the Company has recurring losses from operations and negative cash flows from operations and will require additional capital to fund planned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March 30, 2016, except for Note 17(b), as to which the date is June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BALANCE SHEETS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Pro forma</w:t>
            </w: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March 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6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21"/>
        </w:trPr>
        <w:tc>
          <w:tcPr>
            <w:tcW w:w="6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680" w:type="dxa"/>
            <w:vAlign w:val="bottom"/>
            <w:gridSpan w:val="2"/>
          </w:tcPr>
          <w:p>
            <w:pPr>
              <w:ind w:left="20"/>
              <w:spacing w:after="0" w:line="121" w:lineRule="exact"/>
              <w:rPr>
                <w:sz w:val="20"/>
                <w:szCs w:val="20"/>
                <w:color w:val="auto"/>
              </w:rPr>
            </w:pPr>
            <w:r>
              <w:rPr>
                <w:rFonts w:ascii="Arial" w:cs="Arial" w:eastAsia="Arial" w:hAnsi="Arial"/>
                <w:sz w:val="12"/>
                <w:szCs w:val="12"/>
                <w:b w:val="1"/>
                <w:bCs w:val="1"/>
                <w:color w:val="auto"/>
                <w:w w:val="97"/>
              </w:rPr>
              <w:t>(unaudited)</w:t>
            </w:r>
          </w:p>
        </w:tc>
        <w:tc>
          <w:tcPr>
            <w:tcW w:w="140" w:type="dxa"/>
            <w:vAlign w:val="bottom"/>
          </w:tcPr>
          <w:p>
            <w:pPr>
              <w:spacing w:after="0"/>
              <w:rPr>
                <w:sz w:val="10"/>
                <w:szCs w:val="10"/>
                <w:color w:val="auto"/>
              </w:rPr>
            </w:pPr>
          </w:p>
        </w:tc>
      </w:tr>
      <w:tr>
        <w:trPr>
          <w:trHeight w:val="149"/>
        </w:trPr>
        <w:tc>
          <w:tcPr>
            <w:tcW w:w="6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15"/>
          </w:tcPr>
          <w:p>
            <w:pPr>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17,051</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Short term investments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4,125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8,928</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Restricted cash</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1,244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682</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1,627</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1,494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1,598</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19,112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38,913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29,886</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Restricted cash and other deposits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1,106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316</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1,566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2,481</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612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Liabilities, redeemable convertible preferred stock, and stockholders' deficit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Accounts payable</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351</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2,179</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788</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Accrued expenses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1,853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3,378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3,185</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Loans payable,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673</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revenue,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3,018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1,313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1,219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1,431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452</w:t>
            </w:r>
          </w:p>
        </w:tc>
        <w:tc>
          <w:tcPr>
            <w:tcW w:w="140" w:type="dxa"/>
            <w:vAlign w:val="bottom"/>
            <w:shd w:val="clear" w:color="auto" w:fill="CCEEFF"/>
          </w:tcPr>
          <w:p>
            <w:pPr>
              <w:spacing w:after="0"/>
              <w:rPr>
                <w:sz w:val="11"/>
                <w:szCs w:val="11"/>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9" w:lineRule="exact"/>
              <w:rPr>
                <w:sz w:val="20"/>
                <w:szCs w:val="20"/>
                <w:color w:val="auto"/>
              </w:rPr>
            </w:pPr>
            <w:r>
              <w:rPr>
                <w:rFonts w:ascii="Arial" w:cs="Arial" w:eastAsia="Arial" w:hAnsi="Arial"/>
                <w:sz w:val="12"/>
                <w:szCs w:val="12"/>
                <w:color w:val="auto"/>
              </w:rPr>
              <w:t>9,231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2"/>
                <w:szCs w:val="12"/>
                <w:color w:val="auto"/>
              </w:rPr>
              <w:t>7,290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2"/>
                <w:szCs w:val="12"/>
                <w:color w:val="auto"/>
              </w:rPr>
              <w:t>6,317</w:t>
            </w: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Non-current liabilities:</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Deferred rent and lease incentive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Contingently repayable grant funding long-term</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Loans payable, net of current portion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4,824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11,855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11,169</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1,364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2,295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2,895</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Other long-term liabilities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257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290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310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15,950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21,835</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20,691</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20,381</w:t>
            </w:r>
          </w:p>
        </w:tc>
        <w:tc>
          <w:tcPr>
            <w:tcW w:w="140" w:type="dxa"/>
            <w:vAlign w:val="bottom"/>
            <w:shd w:val="clear" w:color="auto" w:fill="CCEEFF"/>
          </w:tcPr>
          <w:p>
            <w:pPr>
              <w:spacing w:after="0"/>
              <w:rPr>
                <w:sz w:val="10"/>
                <w:szCs w:val="10"/>
                <w:color w:val="auto"/>
              </w:rPr>
            </w:pP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Commitments and contingencies (Notes 7 and 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5"/>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Redeemable convertible preferred stock:</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A redeemable convertible preferred stock, $0.0001 par value; 2,589,868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(liquidation preference of $3,500,151 at December 31, 2014, $3,650,104 at December 31, 2015 and $3,687,592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3,493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3,644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3,682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3"/>
              </w:rPr>
              <w:t>Series B redeemable convertible preferred stock, $0.0001 par value; 7,437,325 shares authorized, issued, and outstanding</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(liquidation preference of $20,568,097 at December 31, 2014, $21,473,963 at December 31, 2015 and $21,700,429 at March 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20,533</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21,448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21,676</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93"/>
              </w:rPr>
              <w:t>Series C redeemable convertible preferred stock, $0.0001 par value; 5,000,002 shares authorized, issued, and outstanding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(liquidation preference of $19,300,282 at December 31, 2014, $20,200,282 at December 31, 2015 and $20,425,282 at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19,270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20,178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20,404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87"/>
              </w:rPr>
              <w:t>Series D redeemable convertible preferred stock, $0.0001 par value; 8,166,662 shares authorized at December 31, 2014 and 2015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and March 31, 2016 (unaudited); 8,099,994 shares issued and outstanding at December 31, 2014 and 2015 and March 31, 2016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(unaudited) (liquidation preference of $41,125,871 at December 31, 2014, $43,312,869 at December 31, 2015 and $43,859,619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at March 31, 2016 (unaudited); none issued and 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40,570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42,902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43,477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9"/>
              </w:rPr>
              <w:t>Series SRN redeemable convertible preferred stock, $0.0001 par value; 5,611,112 shares authorized at December 31, 2014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87"/>
              </w:rPr>
              <w:t>2015 and March 31, 2016 (unaudited); 2,111,109 shares issued and outstanding at December 31, 2014 and 2015 and March 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6"/>
              </w:rPr>
              <w:t>2016 (unaudited) (liquidation preference of $9,499,991 at December 31, 2014, $9,499,991 at December 31, 2015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$9,499,991 at March 31, 2016 (unaudited); none issued and outstanding pro forma)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10,167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Arial" w:cs="Arial" w:eastAsia="Arial" w:hAnsi="Arial"/>
                <w:sz w:val="12"/>
                <w:szCs w:val="12"/>
                <w:color w:val="auto"/>
              </w:rPr>
              <w:t>12,082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12,541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8"/>
        </w:trPr>
        <w:tc>
          <w:tcPr>
            <w:tcW w:w="61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w w:val="91"/>
              </w:rPr>
              <w:t>Series E redeemable convertible preferred stock, $0.0001 par value; 9,030,654 shares authorized at December 31, 2015 and</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7"/>
              </w:rPr>
              <w:t>March 31, 2016 (unaudited); 8,888,888 shares issued and outstanding at December 31, 2015 and at March 31, 2016 (unaudited)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612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w w:val="88"/>
              </w:rPr>
              <w:t>(liquidation preference of $40,802,658 at December 31, 2015 and $41,402,659 at March 31, 2016 (unaudited); none issued and</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6"/>
        </w:trPr>
        <w:tc>
          <w:tcPr>
            <w:tcW w:w="6120" w:type="dxa"/>
            <w:vAlign w:val="bottom"/>
            <w:shd w:val="clear" w:color="auto" w:fill="CCEEFF"/>
          </w:tcPr>
          <w:p>
            <w:pPr>
              <w:ind w:left="100"/>
              <w:spacing w:after="0" w:line="137" w:lineRule="exact"/>
              <w:rPr>
                <w:sz w:val="20"/>
                <w:szCs w:val="20"/>
                <w:color w:val="auto"/>
              </w:rPr>
            </w:pPr>
            <w:r>
              <w:rPr>
                <w:rFonts w:ascii="Arial" w:cs="Arial" w:eastAsia="Arial" w:hAnsi="Arial"/>
                <w:sz w:val="12"/>
                <w:szCs w:val="12"/>
                <w:color w:val="auto"/>
              </w:rPr>
              <w:t>outstanding pro forma)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37,228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redeemable convertible preferred stock</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94,033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137,482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139,837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Stockholders' equity (deficit):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18"/>
        </w:trPr>
        <w:tc>
          <w:tcPr>
            <w:tcW w:w="6120" w:type="dxa"/>
            <w:vAlign w:val="bottom"/>
          </w:tcPr>
          <w:p>
            <w:pPr>
              <w:spacing w:after="0" w:line="118" w:lineRule="exact"/>
              <w:rPr>
                <w:sz w:val="20"/>
                <w:szCs w:val="20"/>
                <w:color w:val="auto"/>
              </w:rPr>
            </w:pPr>
            <w:r>
              <w:rPr>
                <w:rFonts w:ascii="Arial" w:cs="Arial" w:eastAsia="Arial" w:hAnsi="Arial"/>
                <w:sz w:val="12"/>
                <w:szCs w:val="12"/>
                <w:color w:val="auto"/>
                <w:w w:val="87"/>
              </w:rPr>
              <w:t>Common stock, $0.0001 par value; 46,000,000, 62,164,377 and 62,164,377 shares authorized at December 31, 2014 and 2015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7"/>
              </w:rPr>
              <w:t>March 31, 2016 (unaudited) respectively; 2,139,262, 2,180,976 and 2,183,541 shares issued, 2,123,997, 2,173,399,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7"/>
        </w:trPr>
        <w:tc>
          <w:tcPr>
            <w:tcW w:w="6120" w:type="dxa"/>
            <w:vAlign w:val="bottom"/>
          </w:tcPr>
          <w:p>
            <w:pPr>
              <w:ind w:left="100"/>
              <w:spacing w:after="0" w:line="128" w:lineRule="exact"/>
              <w:rPr>
                <w:sz w:val="20"/>
                <w:szCs w:val="20"/>
                <w:color w:val="auto"/>
              </w:rPr>
            </w:pPr>
            <w:r>
              <w:rPr>
                <w:rFonts w:ascii="Arial" w:cs="Arial" w:eastAsia="Arial" w:hAnsi="Arial"/>
                <w:sz w:val="12"/>
                <w:szCs w:val="12"/>
                <w:color w:val="auto"/>
                <w:w w:val="90"/>
              </w:rPr>
              <w:t>2,177,858 shares outstanding as of December 31, 2014 and 2015 and March 31, 2016 (unaudited), respectively. 12,641,402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6120" w:type="dxa"/>
            <w:vAlign w:val="bottom"/>
          </w:tcPr>
          <w:p>
            <w:pPr>
              <w:ind w:left="100"/>
              <w:spacing w:after="0" w:line="137" w:lineRule="exact"/>
              <w:rPr>
                <w:sz w:val="20"/>
                <w:szCs w:val="20"/>
                <w:color w:val="auto"/>
              </w:rPr>
            </w:pPr>
            <w:r>
              <w:rPr>
                <w:rFonts w:ascii="Arial" w:cs="Arial" w:eastAsia="Arial" w:hAnsi="Arial"/>
                <w:sz w:val="12"/>
                <w:szCs w:val="12"/>
                <w:color w:val="auto"/>
              </w:rPr>
              <w:t>issued and 12,635,719 outstanding pro forma (unaudited)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Additional paid in capital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140,147</w:t>
            </w:r>
          </w:p>
        </w:tc>
        <w:tc>
          <w:tcPr>
            <w:tcW w:w="140" w:type="dxa"/>
            <w:vAlign w:val="bottom"/>
            <w:shd w:val="clear" w:color="auto" w:fill="CCEEFF"/>
          </w:tcPr>
          <w:p>
            <w:pPr>
              <w:spacing w:after="0"/>
              <w:rPr>
                <w:sz w:val="11"/>
                <w:szCs w:val="11"/>
                <w:color w:val="auto"/>
              </w:rPr>
            </w:pPr>
          </w:p>
        </w:tc>
      </w:tr>
      <w:tr>
        <w:trPr>
          <w:trHeight w:val="127"/>
        </w:trPr>
        <w:tc>
          <w:tcPr>
            <w:tcW w:w="6120" w:type="dxa"/>
            <w:vAlign w:val="bottom"/>
          </w:tcPr>
          <w:p>
            <w:pPr>
              <w:spacing w:after="0" w:line="128" w:lineRule="exact"/>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8"/>
              </w:rPr>
              <w:t>(83,880)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w w:val="93"/>
              </w:rPr>
              <w:t>(111,508)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(121,051)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(121,051)</w:t>
            </w:r>
          </w:p>
        </w:tc>
      </w:tr>
      <w:tr>
        <w:trPr>
          <w:trHeight w:val="127"/>
        </w:trPr>
        <w:tc>
          <w:tcPr>
            <w:tcW w:w="61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Accumulated other comprehensive loss</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(3,876)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(4,986)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(4,755)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(4,755)</w:t>
            </w:r>
          </w:p>
        </w:tc>
      </w:tr>
      <w:tr>
        <w:trPr>
          <w:trHeight w:val="119"/>
        </w:trPr>
        <w:tc>
          <w:tcPr>
            <w:tcW w:w="6120" w:type="dxa"/>
            <w:vAlign w:val="bottom"/>
          </w:tcPr>
          <w:p>
            <w:pPr>
              <w:spacing w:after="0" w:line="119" w:lineRule="exact"/>
              <w:rPr>
                <w:sz w:val="20"/>
                <w:szCs w:val="20"/>
                <w:color w:val="auto"/>
              </w:rPr>
            </w:pPr>
            <w:r>
              <w:rPr>
                <w:rFonts w:ascii="Arial" w:cs="Arial" w:eastAsia="Arial" w:hAnsi="Arial"/>
                <w:sz w:val="12"/>
                <w:szCs w:val="12"/>
                <w:color w:val="auto"/>
              </w:rPr>
              <w:t>Total stockholders' equity (deficit)</w:t>
            </w: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9"/>
              </w:rPr>
              <w:t>(87,755)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w w:val="85"/>
              </w:rPr>
              <w:t>(116,493)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(125,805)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14,342</w:t>
            </w:r>
          </w:p>
        </w:tc>
        <w:tc>
          <w:tcPr>
            <w:tcW w:w="140" w:type="dxa"/>
            <w:vAlign w:val="bottom"/>
          </w:tcPr>
          <w:p>
            <w:pPr>
              <w:spacing w:after="0"/>
              <w:rPr>
                <w:sz w:val="10"/>
                <w:szCs w:val="10"/>
                <w:color w:val="auto"/>
              </w:rPr>
            </w:pPr>
          </w:p>
        </w:tc>
      </w:tr>
      <w:tr>
        <w:trPr>
          <w:trHeight w:val="119"/>
        </w:trPr>
        <w:tc>
          <w:tcPr>
            <w:tcW w:w="61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22,228</w:t>
            </w: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42,824</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0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34,723</w:t>
            </w:r>
          </w:p>
        </w:tc>
        <w:tc>
          <w:tcPr>
            <w:tcW w:w="140" w:type="dxa"/>
            <w:vAlign w:val="bottom"/>
            <w:shd w:val="clear" w:color="auto" w:fill="CCEEFF"/>
          </w:tcPr>
          <w:p>
            <w:pPr>
              <w:spacing w:after="0"/>
              <w:rPr>
                <w:sz w:val="10"/>
                <w:szCs w:val="10"/>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OPERATIONS AND COMPREHENSIVE LOSS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99"/>
              </w:rPr>
              <w:t>Year ended 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w w:val="99"/>
              </w:rPr>
              <w:t>Three months ended March 31,</w:t>
            </w:r>
          </w:p>
        </w:tc>
      </w:tr>
      <w:tr>
        <w:trPr>
          <w:trHeight w:val="194"/>
        </w:trPr>
        <w:tc>
          <w:tcPr>
            <w:tcW w:w="4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6"/>
                <w:szCs w:val="16"/>
                <w:color w:val="auto"/>
              </w:rPr>
            </w:pPr>
          </w:p>
        </w:tc>
      </w:tr>
      <w:tr>
        <w:trPr>
          <w:trHeight w:val="194"/>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(unaudited)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(unaudited)</w:t>
            </w:r>
          </w:p>
        </w:tc>
      </w:tr>
      <w:tr>
        <w:trPr>
          <w:trHeight w:val="174"/>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4"/>
          </w:tcPr>
          <w:p>
            <w:pPr>
              <w:jc w:val="right"/>
              <w:ind w:right="900"/>
              <w:spacing w:after="0"/>
              <w:rPr>
                <w:sz w:val="20"/>
                <w:szCs w:val="20"/>
                <w:color w:val="auto"/>
              </w:rPr>
            </w:pPr>
            <w:r>
              <w:rPr>
                <w:rFonts w:ascii="Arial" w:cs="Arial" w:eastAsia="Arial" w:hAnsi="Arial"/>
                <w:sz w:val="12"/>
                <w:szCs w:val="12"/>
                <w:b w:val="1"/>
                <w:bCs w:val="1"/>
                <w:color w:val="auto"/>
              </w:rPr>
              <w:t>(in thousands, except share and per share data)</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Grant and collaboration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3,040</w:t>
            </w: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6,011</w:t>
            </w:r>
          </w:p>
        </w:tc>
        <w:tc>
          <w:tcPr>
            <w:tcW w:w="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40" w:type="dxa"/>
            <w:vAlign w:val="bottom"/>
            <w:shd w:val="clear" w:color="auto" w:fill="CCEEFF"/>
          </w:tcPr>
          <w:p>
            <w:pPr>
              <w:spacing w:after="0"/>
              <w:rPr>
                <w:sz w:val="16"/>
                <w:szCs w:val="16"/>
                <w:color w:val="auto"/>
              </w:rPr>
            </w:pPr>
          </w:p>
        </w:tc>
      </w:tr>
      <w:tr>
        <w:trPr>
          <w:trHeight w:val="369"/>
        </w:trPr>
        <w:tc>
          <w:tcPr>
            <w:tcW w:w="478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6"/>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22,980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4,972</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w:t>
            </w:r>
          </w:p>
        </w:tc>
        <w:tc>
          <w:tcPr>
            <w:tcW w:w="140" w:type="dxa"/>
            <w:vAlign w:val="bottom"/>
          </w:tcPr>
          <w:p>
            <w:pPr>
              <w:spacing w:after="0"/>
              <w:rPr>
                <w:sz w:val="16"/>
                <w:szCs w:val="16"/>
                <w:color w:val="auto"/>
              </w:rPr>
            </w:pPr>
          </w:p>
        </w:tc>
      </w:tr>
      <w:tr>
        <w:trPr>
          <w:trHeight w:val="17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18,439</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31,315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9,029</w:t>
            </w:r>
          </w:p>
        </w:tc>
        <w:tc>
          <w:tcPr>
            <w:tcW w:w="140" w:type="dxa"/>
            <w:vAlign w:val="bottom"/>
            <w:shd w:val="clear" w:color="auto" w:fill="CCEEFF"/>
          </w:tcPr>
          <w:p>
            <w:pPr>
              <w:spacing w:after="0"/>
              <w:rPr>
                <w:sz w:val="15"/>
                <w:szCs w:val="15"/>
                <w:color w:val="auto"/>
              </w:rPr>
            </w:pP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(15,399)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(25,304)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(6,941)</w:t>
            </w:r>
          </w:p>
        </w:tc>
        <w:tc>
          <w:tcPr>
            <w:tcW w:w="140" w:type="dxa"/>
            <w:vAlign w:val="bottom"/>
          </w:tcPr>
          <w:p>
            <w:pPr>
              <w:spacing w:after="0"/>
              <w:rPr>
                <w:sz w:val="15"/>
                <w:szCs w:val="15"/>
                <w:color w:val="auto"/>
              </w:rPr>
            </w:pPr>
          </w:p>
        </w:tc>
      </w:tr>
      <w:tr>
        <w:trPr>
          <w:trHeight w:val="371"/>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24"/>
                <w:szCs w:val="24"/>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Foreign currency transaction gain (loss),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3,004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933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(220)</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(948)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(310)</w:t>
            </w: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(7,476)</w:t>
            </w:r>
          </w:p>
        </w:tc>
      </w:tr>
      <w:tr>
        <w:trPr>
          <w:trHeight w:val="176"/>
        </w:trPr>
        <w:tc>
          <w:tcPr>
            <w:tcW w:w="478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6"/>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adjustment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(3,281)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(1,110)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40" w:type="dxa"/>
            <w:vAlign w:val="bottom"/>
            <w:shd w:val="clear" w:color="auto" w:fill="CCEEFF"/>
          </w:tcPr>
          <w:p>
            <w:pPr>
              <w:spacing w:after="0"/>
              <w:rPr>
                <w:sz w:val="16"/>
                <w:szCs w:val="16"/>
                <w:color w:val="auto"/>
              </w:rPr>
            </w:pP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Comprehensive loss</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(16,161)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(26,284)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(5,941)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(7,245)</w:t>
            </w:r>
          </w:p>
        </w:tc>
        <w:tc>
          <w:tcPr>
            <w:tcW w:w="14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60" w:lineRule="exact"/>
              <w:rPr>
                <w:sz w:val="20"/>
                <w:szCs w:val="20"/>
                <w:color w:val="auto"/>
              </w:rPr>
            </w:pPr>
            <w:r>
              <w:rPr>
                <w:rFonts w:ascii="Arial" w:cs="Arial" w:eastAsia="Arial" w:hAnsi="Arial"/>
                <w:sz w:val="15"/>
                <w:szCs w:val="15"/>
                <w:color w:val="auto"/>
              </w:rPr>
              <w:t>(12,880)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(25,174)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60" w:lineRule="exact"/>
              <w:rPr>
                <w:sz w:val="20"/>
                <w:szCs w:val="20"/>
                <w:color w:val="auto"/>
              </w:rPr>
            </w:pPr>
            <w:r>
              <w:rPr>
                <w:rFonts w:ascii="Arial" w:cs="Arial" w:eastAsia="Arial" w:hAnsi="Arial"/>
                <w:sz w:val="15"/>
                <w:szCs w:val="15"/>
                <w:color w:val="auto"/>
              </w:rPr>
              <w:t>(5,733)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line="160" w:lineRule="exact"/>
              <w:rPr>
                <w:sz w:val="20"/>
                <w:szCs w:val="20"/>
                <w:color w:val="auto"/>
              </w:rPr>
            </w:pPr>
            <w:r>
              <w:rPr>
                <w:rFonts w:ascii="Arial" w:cs="Arial" w:eastAsia="Arial" w:hAnsi="Arial"/>
                <w:sz w:val="15"/>
                <w:szCs w:val="15"/>
                <w:color w:val="auto"/>
              </w:rPr>
              <w:t>(7,476)</w:t>
            </w:r>
          </w:p>
        </w:tc>
      </w:tr>
      <w:tr>
        <w:trPr>
          <w:trHeight w:val="185"/>
        </w:trPr>
        <w:tc>
          <w:tcPr>
            <w:tcW w:w="4780" w:type="dxa"/>
            <w:vAlign w:val="bottom"/>
          </w:tcPr>
          <w:p>
            <w:pPr>
              <w:ind w:left="300"/>
              <w:spacing w:after="0"/>
              <w:rPr>
                <w:sz w:val="20"/>
                <w:szCs w:val="20"/>
                <w:color w:val="auto"/>
              </w:rPr>
            </w:pPr>
            <w:r>
              <w:rPr>
                <w:rFonts w:ascii="Arial" w:cs="Arial" w:eastAsia="Arial" w:hAnsi="Arial"/>
                <w:sz w:val="15"/>
                <w:szCs w:val="15"/>
                <w:color w:val="auto"/>
              </w:rPr>
              <w:t>Accretion of redeemable convertible preferred stock</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(4,951)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(2,356)</w:t>
            </w:r>
          </w:p>
        </w:tc>
      </w:tr>
      <w:tr>
        <w:trPr>
          <w:trHeight w:val="178"/>
        </w:trPr>
        <w:tc>
          <w:tcPr>
            <w:tcW w:w="47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effect of extinguishment of Series SRN redeemable convertible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2"/>
        </w:trPr>
        <w:tc>
          <w:tcPr>
            <w:tcW w:w="47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preferred stock</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(16,372)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(7,294)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(9,832)</w:t>
            </w:r>
          </w:p>
        </w:tc>
        <w:tc>
          <w:tcPr>
            <w:tcW w:w="14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Net loss per share attributable to common stockholders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(7.84)</w:t>
            </w: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(15.13)</w:t>
            </w:r>
          </w:p>
        </w:tc>
        <w:tc>
          <w:tcPr>
            <w:tcW w:w="180" w:type="dxa"/>
            <w:vAlign w:val="bottom"/>
            <w:gridSpan w:val="2"/>
          </w:tcPr>
          <w:p>
            <w:pPr>
              <w:jc w:val="right"/>
              <w:ind w:right="12"/>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(3.43)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(4.52)</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Weighted average common shares outstanding</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0"/>
        </w:trPr>
        <w:tc>
          <w:tcPr>
            <w:tcW w:w="47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w w:val="92"/>
              </w:rPr>
              <w:t>Pro forma net loss per share attributable to common stockholders (unaudited)</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(0.59)</w:t>
            </w: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3"/>
        </w:trPr>
        <w:tc>
          <w:tcPr>
            <w:tcW w:w="47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Pro forma weighted average common shares of common stock outstanding</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(unaudited)</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ind w:left="140"/>
              <w:spacing w:after="0"/>
              <w:rPr>
                <w:sz w:val="20"/>
                <w:szCs w:val="20"/>
                <w:color w:val="auto"/>
              </w:rPr>
            </w:pPr>
            <w:r>
              <w:rPr>
                <w:rFonts w:ascii="Arial" w:cs="Arial" w:eastAsia="Arial" w:hAnsi="Arial"/>
                <w:sz w:val="15"/>
                <w:szCs w:val="15"/>
                <w:color w:val="auto"/>
              </w:rPr>
              <w:t>Basic and diluted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320"/>
          </w:cols>
          <w:pgMar w:left="240" w:top="132" w:right="1339" w:bottom="1440" w:gutter="0" w:footer="0" w:header="0"/>
        </w:sectPr>
      </w:pPr>
    </w:p>
    <w:bookmarkStart w:id="235" w:name="page236"/>
    <w:bookmarkEnd w:id="23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ind w:right="680"/>
        <w:spacing w:after="0" w:line="250" w:lineRule="auto"/>
        <w:rPr>
          <w:sz w:val="20"/>
          <w:szCs w:val="20"/>
          <w:color w:val="auto"/>
        </w:rPr>
      </w:pPr>
      <w:r>
        <w:rPr>
          <w:rFonts w:ascii="Arial" w:cs="Arial" w:eastAsia="Arial" w:hAnsi="Arial"/>
          <w:sz w:val="21"/>
          <w:szCs w:val="21"/>
          <w:color w:val="auto"/>
        </w:rPr>
        <w:t>CONSOLIDATED STATEMENTS OF REDEEMABLE CONVERTIBLE PREFERRED STOCK AND STOCKHOLDERS' DEFICIT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20" w:type="dxa"/>
            <w:vAlign w:val="bottom"/>
          </w:tcPr>
          <w:p>
            <w:pPr>
              <w:spacing w:after="0"/>
              <w:rPr>
                <w:sz w:val="12"/>
                <w:szCs w:val="12"/>
                <w:color w:val="auto"/>
              </w:rPr>
            </w:pPr>
          </w:p>
        </w:tc>
        <w:tc>
          <w:tcPr>
            <w:tcW w:w="760" w:type="dxa"/>
            <w:vAlign w:val="bottom"/>
            <w:gridSpan w:val="4"/>
          </w:tcPr>
          <w:p>
            <w:pPr>
              <w:jc w:val="center"/>
              <w:ind w:left="202"/>
              <w:spacing w:after="0"/>
              <w:rPr>
                <w:sz w:val="20"/>
                <w:szCs w:val="20"/>
                <w:color w:val="auto"/>
              </w:rPr>
            </w:pPr>
            <w:r>
              <w:rPr>
                <w:rFonts w:ascii="Arial" w:cs="Arial" w:eastAsia="Arial" w:hAnsi="Arial"/>
                <w:sz w:val="12"/>
                <w:szCs w:val="12"/>
                <w:b w:val="1"/>
                <w:bCs w:val="1"/>
                <w:color w:val="auto"/>
              </w:rPr>
              <w:t>Series A</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B</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Series C</w:t>
            </w:r>
          </w:p>
        </w:tc>
        <w:tc>
          <w:tcPr>
            <w:tcW w:w="40" w:type="dxa"/>
            <w:vAlign w:val="bottom"/>
          </w:tcPr>
          <w:p>
            <w:pPr>
              <w:spacing w:after="0"/>
              <w:rPr>
                <w:sz w:val="12"/>
                <w:szCs w:val="12"/>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Series D</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Series SRN</w:t>
            </w:r>
          </w:p>
        </w:tc>
        <w:tc>
          <w:tcPr>
            <w:tcW w:w="110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Series 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1040" w:type="dxa"/>
            <w:vAlign w:val="bottom"/>
            <w:gridSpan w:val="6"/>
            <w:vMerge w:val="restart"/>
          </w:tcPr>
          <w:p>
            <w:pPr>
              <w:jc w:val="center"/>
              <w:ind w:right="20"/>
              <w:spacing w:after="0"/>
              <w:rPr>
                <w:sz w:val="20"/>
                <w:szCs w:val="20"/>
                <w:color w:val="auto"/>
              </w:rPr>
            </w:pPr>
            <w:r>
              <w:rPr>
                <w:rFonts w:ascii="Arial" w:cs="Arial" w:eastAsia="Arial" w:hAnsi="Arial"/>
                <w:sz w:val="12"/>
                <w:szCs w:val="12"/>
                <w:b w:val="1"/>
                <w:bCs w:val="1"/>
                <w:color w:val="auto"/>
              </w:rPr>
              <w:t>redeemable</w:t>
            </w:r>
          </w:p>
        </w:tc>
        <w:tc>
          <w:tcPr>
            <w:tcW w:w="10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40" w:type="dxa"/>
            <w:vAlign w:val="bottom"/>
          </w:tcPr>
          <w:p>
            <w:pPr>
              <w:spacing w:after="0"/>
              <w:rPr>
                <w:sz w:val="3"/>
                <w:szCs w:val="3"/>
                <w:color w:val="auto"/>
              </w:rPr>
            </w:pP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40" w:type="dxa"/>
            <w:vAlign w:val="bottom"/>
            <w:gridSpan w:val="5"/>
            <w:vMerge w:val="restart"/>
          </w:tcPr>
          <w:p>
            <w:pPr>
              <w:jc w:val="center"/>
              <w:ind w:right="40"/>
              <w:spacing w:after="0"/>
              <w:rPr>
                <w:sz w:val="20"/>
                <w:szCs w:val="20"/>
                <w:color w:val="auto"/>
              </w:rPr>
            </w:pPr>
            <w:r>
              <w:rPr>
                <w:rFonts w:ascii="Arial" w:cs="Arial" w:eastAsia="Arial" w:hAnsi="Arial"/>
                <w:sz w:val="12"/>
                <w:szCs w:val="12"/>
                <w:b w:val="1"/>
                <w:bCs w:val="1"/>
                <w:color w:val="auto"/>
              </w:rPr>
              <w:t>redeemable</w:t>
            </w: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redeemable</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convertible</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convertible</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convertible</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convertible</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convertible</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2"/>
                <w:szCs w:val="12"/>
                <w:b w:val="1"/>
                <w:bCs w:val="1"/>
                <w:color w:val="auto"/>
                <w:w w:val="97"/>
              </w:rPr>
              <w:t>(in thousands,</w:t>
            </w:r>
          </w:p>
        </w:tc>
        <w:tc>
          <w:tcPr>
            <w:tcW w:w="1040" w:type="dxa"/>
            <w:vAlign w:val="bottom"/>
            <w:gridSpan w:val="6"/>
          </w:tcPr>
          <w:p>
            <w:pPr>
              <w:jc w:val="center"/>
              <w:ind w:right="20"/>
              <w:spacing w:after="0"/>
              <w:rPr>
                <w:sz w:val="20"/>
                <w:szCs w:val="20"/>
                <w:color w:val="auto"/>
              </w:rPr>
            </w:pPr>
            <w:r>
              <w:rPr>
                <w:rFonts w:ascii="Arial" w:cs="Arial" w:eastAsia="Arial" w:hAnsi="Arial"/>
                <w:sz w:val="12"/>
                <w:szCs w:val="12"/>
                <w:b w:val="1"/>
                <w:bCs w:val="1"/>
                <w:color w:val="auto"/>
              </w:rPr>
              <w:t>preferred stock</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00" w:type="dxa"/>
            <w:vAlign w:val="bottom"/>
            <w:gridSpan w:val="4"/>
          </w:tcPr>
          <w:p>
            <w:pPr>
              <w:jc w:val="center"/>
              <w:spacing w:after="0"/>
              <w:rPr>
                <w:sz w:val="20"/>
                <w:szCs w:val="20"/>
                <w:color w:val="auto"/>
              </w:rPr>
            </w:pPr>
            <w:r>
              <w:rPr>
                <w:rFonts w:ascii="Arial" w:cs="Arial" w:eastAsia="Arial" w:hAnsi="Arial"/>
                <w:sz w:val="12"/>
                <w:szCs w:val="12"/>
                <w:b w:val="1"/>
                <w:bCs w:val="1"/>
                <w:color w:val="auto"/>
              </w:rPr>
              <w:t>preferred stock</w:t>
            </w:r>
          </w:p>
        </w:tc>
        <w:tc>
          <w:tcPr>
            <w:tcW w:w="40" w:type="dxa"/>
            <w:vAlign w:val="bottom"/>
          </w:tcPr>
          <w:p>
            <w:pPr>
              <w:spacing w:after="0"/>
              <w:rPr>
                <w:sz w:val="12"/>
                <w:szCs w:val="12"/>
                <w:color w:val="auto"/>
              </w:rPr>
            </w:pPr>
          </w:p>
        </w:tc>
        <w:tc>
          <w:tcPr>
            <w:tcW w:w="10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rPr>
              <w:t>preferred stock</w:t>
            </w:r>
          </w:p>
        </w:tc>
        <w:tc>
          <w:tcPr>
            <w:tcW w:w="104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preferred stock</w:t>
            </w:r>
          </w:p>
        </w:tc>
        <w:tc>
          <w:tcPr>
            <w:tcW w:w="108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rPr>
              <w:t>preferred stock</w:t>
            </w:r>
          </w:p>
        </w:tc>
        <w:tc>
          <w:tcPr>
            <w:tcW w:w="20" w:type="dxa"/>
            <w:vAlign w:val="bottom"/>
            <w:shd w:val="clear" w:color="auto" w:fill="000000"/>
          </w:tcPr>
          <w:p>
            <w:pPr>
              <w:spacing w:after="0"/>
              <w:rPr>
                <w:sz w:val="12"/>
                <w:szCs w:val="12"/>
                <w:color w:val="auto"/>
              </w:rPr>
            </w:pPr>
          </w:p>
        </w:tc>
        <w:tc>
          <w:tcPr>
            <w:tcW w:w="1040" w:type="dxa"/>
            <w:vAlign w:val="bottom"/>
            <w:gridSpan w:val="4"/>
          </w:tcPr>
          <w:p>
            <w:pPr>
              <w:jc w:val="right"/>
              <w:ind w:right="2"/>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8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40" w:type="dxa"/>
            <w:vAlign w:val="bottom"/>
          </w:tcPr>
          <w:p>
            <w:pPr>
              <w:spacing w:after="0"/>
              <w:rPr>
                <w:sz w:val="11"/>
                <w:szCs w:val="11"/>
                <w:color w:val="auto"/>
              </w:rPr>
            </w:pPr>
          </w:p>
        </w:tc>
        <w:tc>
          <w:tcPr>
            <w:tcW w:w="104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Amount Shares</w:t>
            </w:r>
          </w:p>
        </w:tc>
        <w:tc>
          <w:tcPr>
            <w:tcW w:w="104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Amount Shares</w:t>
            </w:r>
          </w:p>
        </w:tc>
        <w:tc>
          <w:tcPr>
            <w:tcW w:w="5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54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1"/>
                <w:szCs w:val="1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rPr>
              <w:t>paid-In</w:t>
            </w:r>
          </w:p>
        </w:tc>
        <w:tc>
          <w:tcPr>
            <w:tcW w:w="2640" w:type="dxa"/>
            <w:vAlign w:val="bottom"/>
            <w:gridSpan w:val="9"/>
          </w:tcPr>
          <w:p>
            <w:pPr>
              <w:spacing w:after="0" w:line="129" w:lineRule="exact"/>
              <w:rPr>
                <w:sz w:val="20"/>
                <w:szCs w:val="20"/>
                <w:color w:val="auto"/>
              </w:rPr>
            </w:pPr>
            <w:r>
              <w:rPr>
                <w:rFonts w:ascii="Arial" w:cs="Arial" w:eastAsia="Arial" w:hAnsi="Arial"/>
                <w:sz w:val="12"/>
                <w:szCs w:val="12"/>
                <w:b w:val="1"/>
                <w:bCs w:val="1"/>
                <w:color w:val="auto"/>
              </w:rPr>
              <w:t>Accumulated comprehensive Stockholders'</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20"/>
                <w:szCs w:val="20"/>
                <w:color w:val="auto"/>
              </w:rPr>
            </w:pPr>
            <w:r>
              <w:rPr>
                <w:rFonts w:ascii="Arial" w:cs="Arial" w:eastAsia="Arial" w:hAnsi="Arial"/>
                <w:sz w:val="12"/>
                <w:szCs w:val="12"/>
                <w:b w:val="1"/>
                <w:bCs w:val="1"/>
                <w:color w:val="auto"/>
              </w:rPr>
              <w:t>data)</w:t>
            </w:r>
          </w:p>
        </w:tc>
        <w:tc>
          <w:tcPr>
            <w:tcW w:w="5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7"/>
        </w:trPr>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right w:val="single" w:sz="8" w:color="CCEEFF"/>
            </w:tcBorders>
            <w:gridSpan w:val="9"/>
            <w:shd w:val="clear" w:color="auto" w:fill="CCEEFF"/>
          </w:tcPr>
          <w:p>
            <w:pPr>
              <w:jc w:val="right"/>
              <w:ind w:right="42"/>
              <w:spacing w:after="0"/>
              <w:rPr>
                <w:sz w:val="20"/>
                <w:szCs w:val="20"/>
                <w:color w:val="auto"/>
              </w:rPr>
            </w:pPr>
            <w:r>
              <w:rPr>
                <w:rFonts w:ascii="Arial" w:cs="Arial" w:eastAsia="Arial" w:hAnsi="Arial"/>
                <w:sz w:val="12"/>
                <w:szCs w:val="12"/>
                <w:b w:val="1"/>
                <w:bCs w:val="1"/>
                <w:color w:val="auto"/>
              </w:rPr>
              <w:t>(in thousands, except share data)</w:t>
            </w:r>
          </w:p>
        </w:tc>
        <w:tc>
          <w:tcPr>
            <w:tcW w:w="20" w:type="dxa"/>
            <w:vAlign w:val="bottom"/>
            <w:tcBorders>
              <w:top w:val="single" w:sz="8" w:color="auto"/>
            </w:tcBorders>
            <w:shd w:val="clear" w:color="auto" w:fill="000000"/>
          </w:tcPr>
          <w:p>
            <w:pPr>
              <w:spacing w:after="0"/>
              <w:rPr>
                <w:sz w:val="15"/>
                <w:szCs w:val="15"/>
                <w:color w:val="auto"/>
              </w:rPr>
            </w:pPr>
          </w:p>
        </w:tc>
        <w:tc>
          <w:tcPr>
            <w:tcW w:w="54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Balance at</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3,350</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19,662</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18,381</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4,888,889</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24,366</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777,777</w:t>
            </w:r>
          </w:p>
        </w:tc>
        <w:tc>
          <w:tcPr>
            <w:tcW w:w="12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4,643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2,027,254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(68,869)</w:t>
            </w:r>
          </w:p>
        </w:tc>
        <w:tc>
          <w:tcPr>
            <w:tcW w:w="6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(595)</w:t>
            </w:r>
          </w:p>
        </w:tc>
        <w:tc>
          <w:tcPr>
            <w:tcW w:w="1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(69,463)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2013</w:t>
            </w:r>
          </w:p>
        </w:tc>
        <w:tc>
          <w:tcPr>
            <w:tcW w:w="5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$100,734</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3,211,105</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w w:val="92"/>
              </w:rPr>
              <w:t>14,349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Net effect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1"/>
              </w:rPr>
              <w:t>extinguishment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of Series SRN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(see Note 8)</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spacing w:after="0" w:line="137" w:lineRule="exact"/>
              <w:rPr>
                <w:sz w:val="20"/>
                <w:szCs w:val="20"/>
                <w:color w:val="auto"/>
              </w:rPr>
            </w:pPr>
            <w:r>
              <w:rPr>
                <w:rFonts w:ascii="Arial" w:cs="Arial" w:eastAsia="Arial" w:hAnsi="Arial"/>
                <w:sz w:val="12"/>
                <w:szCs w:val="12"/>
                <w:color w:val="auto"/>
                <w:w w:val="99"/>
              </w:rPr>
              <w:t>(1,459)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1,459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SRN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$209,587</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4"/>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 1,333,332</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5,790</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58,104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38,639</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1,224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143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871</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889</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1,855</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1,193</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(2,820)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(2,131)</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(4,951)</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(3,281)</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(12,880)</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3,493</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20,533</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19,270</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40,570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10,167</w:t>
            </w:r>
          </w:p>
        </w:tc>
        <w:tc>
          <w:tcPr>
            <w:tcW w:w="6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 $</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2,123,997</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(83,880)</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(3,876)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(87,755)</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2014</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Issuance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Series 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redeemable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convertible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preferred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stock, net of</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3"/>
              </w:rPr>
              <w:t>issuance costs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$213,469</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line="137" w:lineRule="exact"/>
              <w:rPr>
                <w:sz w:val="20"/>
                <w:szCs w:val="20"/>
                <w:color w:val="auto"/>
              </w:rPr>
            </w:pPr>
            <w:r>
              <w:rPr>
                <w:rFonts w:ascii="Arial" w:cs="Arial" w:eastAsia="Arial" w:hAnsi="Arial"/>
                <w:sz w:val="12"/>
                <w:szCs w:val="12"/>
                <w:color w:val="auto"/>
              </w:rPr>
              <w:t>—  8,888,888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w w:val="97"/>
              </w:rPr>
              <w:t>36,114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Allocation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7"/>
              </w:rPr>
              <w:t>Issuance Cost</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Common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warrants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3,647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Vesting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7,688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41,714</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1,125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151</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915</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908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2,332</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1,915</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1,114</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(4,881)</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(2,454)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(7,335)</w:t>
            </w: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(25,174)</w:t>
            </w:r>
          </w:p>
        </w:tc>
        <w:tc>
          <w:tcPr>
            <w:tcW w:w="0" w:type="dxa"/>
            <w:vAlign w:val="bottom"/>
          </w:tcPr>
          <w:p>
            <w:pPr>
              <w:spacing w:after="0"/>
              <w:rPr>
                <w:sz w:val="1"/>
                <w:szCs w:val="1"/>
                <w:color w:val="auto"/>
              </w:rPr>
            </w:pPr>
          </w:p>
        </w:tc>
      </w:tr>
      <w:tr>
        <w:trPr>
          <w:trHeight w:val="110"/>
        </w:trPr>
        <w:tc>
          <w:tcPr>
            <w:tcW w:w="820" w:type="dxa"/>
            <w:vAlign w:val="bottom"/>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December 31,</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79"/>
              </w:rPr>
              <w:t>3,644</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21,448</w:t>
            </w:r>
          </w:p>
        </w:tc>
        <w:tc>
          <w:tcPr>
            <w:tcW w:w="5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2"/>
              </w:rPr>
              <w:t>20,178</w:t>
            </w: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42,902</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2"/>
              </w:rPr>
              <w:t>12,082</w:t>
            </w:r>
          </w:p>
        </w:tc>
        <w:tc>
          <w:tcPr>
            <w:tcW w:w="5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w w:val="97"/>
              </w:rPr>
              <w:t>37,228</w:t>
            </w:r>
          </w:p>
        </w:tc>
        <w:tc>
          <w:tcPr>
            <w:tcW w:w="20" w:type="dxa"/>
            <w:vAlign w:val="bottom"/>
            <w:shd w:val="clear" w:color="auto" w:fill="000000"/>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7"/>
              </w:rPr>
              <w:t>2,173,399</w:t>
            </w:r>
          </w:p>
        </w:tc>
        <w:tc>
          <w:tcPr>
            <w:tcW w:w="2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(111,508)</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(4,986)</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(116,493)</w:t>
            </w: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2015</w:t>
            </w:r>
          </w:p>
        </w:tc>
        <w:tc>
          <w:tcPr>
            <w:tcW w:w="5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82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Vesting of</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54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restricted</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w w:val="95"/>
              </w:rPr>
              <w:t>common stock</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1,895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5"/>
              </w:rPr>
              <w:t>common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8"/>
              </w:rPr>
              <w:t>upon exercise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of options</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2,564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Arial" w:cs="Arial" w:eastAsia="Arial" w:hAnsi="Arial"/>
                <w:sz w:val="12"/>
                <w:szCs w:val="12"/>
                <w:color w:val="auto"/>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Stock-based</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8"/>
              </w:rPr>
              <w:t>compensation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expense</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20" w:type="dxa"/>
            <w:vAlign w:val="bottom"/>
          </w:tcPr>
          <w:p>
            <w:pPr>
              <w:spacing w:after="0" w:line="118" w:lineRule="exact"/>
              <w:rPr>
                <w:sz w:val="20"/>
                <w:szCs w:val="20"/>
                <w:color w:val="auto"/>
              </w:rPr>
            </w:pPr>
            <w:r>
              <w:rPr>
                <w:rFonts w:ascii="Arial" w:cs="Arial" w:eastAsia="Arial" w:hAnsi="Arial"/>
                <w:sz w:val="12"/>
                <w:szCs w:val="12"/>
                <w:color w:val="auto"/>
              </w:rPr>
              <w:t>Accretion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w w:val="92"/>
              </w:rPr>
              <w:t>preferred stock</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ind w:left="60"/>
              <w:spacing w:after="0" w:line="128" w:lineRule="exact"/>
              <w:rPr>
                <w:sz w:val="20"/>
                <w:szCs w:val="20"/>
                <w:color w:val="auto"/>
              </w:rPr>
            </w:pPr>
            <w:r>
              <w:rPr>
                <w:rFonts w:ascii="Arial" w:cs="Arial" w:eastAsia="Arial" w:hAnsi="Arial"/>
                <w:sz w:val="12"/>
                <w:szCs w:val="12"/>
                <w:color w:val="auto"/>
              </w:rPr>
              <w:t>to redemption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tcPr>
          <w:p>
            <w:pPr>
              <w:ind w:left="60"/>
              <w:spacing w:after="0" w:line="137" w:lineRule="exact"/>
              <w:rPr>
                <w:sz w:val="20"/>
                <w:szCs w:val="20"/>
                <w:color w:val="auto"/>
              </w:rPr>
            </w:pPr>
            <w:r>
              <w:rPr>
                <w:rFonts w:ascii="Arial" w:cs="Arial" w:eastAsia="Arial" w:hAnsi="Arial"/>
                <w:sz w:val="12"/>
                <w:szCs w:val="12"/>
                <w:color w:val="auto"/>
              </w:rPr>
              <w:t>value</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38</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2"/>
                <w:szCs w:val="12"/>
                <w:color w:val="auto"/>
              </w:rPr>
              <w:t>228</w:t>
            </w:r>
          </w:p>
        </w:tc>
        <w:tc>
          <w:tcPr>
            <w:tcW w:w="40" w:type="dxa"/>
            <w:vAlign w:val="bottom"/>
          </w:tcPr>
          <w:p>
            <w:pPr>
              <w:spacing w:after="0"/>
              <w:rPr>
                <w:sz w:val="11"/>
                <w:szCs w:val="11"/>
                <w:color w:val="auto"/>
              </w:rPr>
            </w:pPr>
          </w:p>
        </w:tc>
        <w:tc>
          <w:tcPr>
            <w:tcW w:w="4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color w:val="auto"/>
              </w:rPr>
              <w:t>226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575</w:t>
            </w:r>
          </w:p>
        </w:tc>
        <w:tc>
          <w:tcPr>
            <w:tcW w:w="52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459</w:t>
            </w: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37" w:lineRule="exact"/>
              <w:rPr>
                <w:sz w:val="20"/>
                <w:szCs w:val="20"/>
                <w:color w:val="auto"/>
              </w:rPr>
            </w:pPr>
            <w:r>
              <w:rPr>
                <w:rFonts w:ascii="Arial" w:cs="Arial" w:eastAsia="Arial" w:hAnsi="Arial"/>
                <w:sz w:val="12"/>
                <w:szCs w:val="12"/>
                <w:color w:val="auto"/>
              </w:rPr>
              <w:t>829</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(289)</w:t>
            </w:r>
          </w:p>
        </w:tc>
        <w:tc>
          <w:tcPr>
            <w:tcW w:w="120" w:type="dxa"/>
            <w:vAlign w:val="bottom"/>
          </w:tcPr>
          <w:p>
            <w:pPr>
              <w:spacing w:after="0"/>
              <w:rPr>
                <w:sz w:val="11"/>
                <w:szCs w:val="11"/>
                <w:color w:val="auto"/>
              </w:rPr>
            </w:pPr>
          </w:p>
        </w:tc>
        <w:tc>
          <w:tcPr>
            <w:tcW w:w="7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(2,067)</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(2,356)</w:t>
            </w:r>
          </w:p>
        </w:tc>
        <w:tc>
          <w:tcPr>
            <w:tcW w:w="0" w:type="dxa"/>
            <w:vAlign w:val="bottom"/>
          </w:tcPr>
          <w:p>
            <w:pPr>
              <w:spacing w:after="0"/>
              <w:rPr>
                <w:sz w:val="1"/>
                <w:szCs w:val="1"/>
                <w:color w:val="auto"/>
              </w:rPr>
            </w:pPr>
          </w:p>
        </w:tc>
      </w:tr>
      <w:tr>
        <w:trPr>
          <w:trHeight w:val="118"/>
        </w:trPr>
        <w:tc>
          <w:tcPr>
            <w:tcW w:w="82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Currency</w:t>
            </w: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4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adjustment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jc w:val="right"/>
              <w:ind w:right="2"/>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2"/>
              <w:spacing w:after="0" w:line="128" w:lineRule="exact"/>
              <w:rPr>
                <w:sz w:val="20"/>
                <w:szCs w:val="20"/>
                <w:color w:val="auto"/>
              </w:rPr>
            </w:pPr>
            <w:r>
              <w:rPr>
                <w:rFonts w:ascii="Arial" w:cs="Arial" w:eastAsia="Arial" w:hAnsi="Arial"/>
                <w:sz w:val="12"/>
                <w:szCs w:val="12"/>
                <w:color w:val="auto"/>
              </w:rPr>
              <w:t>—</w:t>
            </w:r>
          </w:p>
        </w:tc>
        <w:tc>
          <w:tcPr>
            <w:tcW w:w="20" w:type="dxa"/>
            <w:vAlign w:val="bottom"/>
            <w:shd w:val="clear" w:color="auto" w:fill="000000"/>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60" w:type="dxa"/>
            <w:vAlign w:val="bottom"/>
          </w:tcPr>
          <w:p>
            <w:pPr>
              <w:spacing w:after="0"/>
              <w:rPr>
                <w:sz w:val="11"/>
                <w:szCs w:val="11"/>
                <w:color w:val="auto"/>
              </w:rPr>
            </w:pPr>
          </w:p>
        </w:tc>
        <w:tc>
          <w:tcPr>
            <w:tcW w:w="90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10"/>
        </w:trPr>
        <w:tc>
          <w:tcPr>
            <w:tcW w:w="8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Balance at</w:t>
            </w: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540" w:type="dxa"/>
            <w:vAlign w:val="bottom"/>
            <w:tcBorders>
              <w:top w:val="single" w:sz="8" w:color="auto"/>
              <w:lef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March 31,</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rPr>
              <w:t>2016</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2,589,868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79"/>
              </w:rPr>
              <w:t>3,682</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7,437,325</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21,676</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5,000,002</w:t>
            </w:r>
          </w:p>
        </w:tc>
        <w:tc>
          <w:tcPr>
            <w:tcW w:w="1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20,404</w:t>
            </w:r>
          </w:p>
        </w:tc>
        <w:tc>
          <w:tcPr>
            <w:tcW w:w="5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97"/>
              </w:rPr>
              <w:t>8,099,994</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43,477</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2,111,109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92"/>
              </w:rPr>
              <w:t>12,541</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8,888,888</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40" w:type="dxa"/>
            <w:vAlign w:val="bottom"/>
            <w:tcBorders>
              <w:right w:val="single" w:sz="8" w:color="CCEEFF"/>
            </w:tcBorders>
            <w:vMerge w:val="restart"/>
            <w:shd w:val="clear" w:color="auto" w:fill="CCEEFF"/>
          </w:tcPr>
          <w:p>
            <w:pPr>
              <w:jc w:val="right"/>
              <w:ind w:right="2"/>
              <w:spacing w:after="0"/>
              <w:rPr>
                <w:sz w:val="20"/>
                <w:szCs w:val="20"/>
                <w:color w:val="auto"/>
              </w:rPr>
            </w:pPr>
            <w:r>
              <w:rPr>
                <w:rFonts w:ascii="Arial" w:cs="Arial" w:eastAsia="Arial" w:hAnsi="Arial"/>
                <w:sz w:val="12"/>
                <w:szCs w:val="12"/>
                <w:b w:val="1"/>
                <w:bCs w:val="1"/>
                <w:color w:val="auto"/>
                <w:w w:val="97"/>
              </w:rPr>
              <w:t>38,057</w:t>
            </w: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2,177,858</w:t>
            </w: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0</w:t>
            </w:r>
          </w:p>
        </w:tc>
        <w:tc>
          <w:tcPr>
            <w:tcW w:w="100" w:type="dxa"/>
            <w:vAlign w:val="bottom"/>
            <w:gridSpan w:val="2"/>
            <w:vMerge w:val="restart"/>
            <w:shd w:val="clear" w:color="auto" w:fill="CCEEFF"/>
          </w:tcPr>
          <w:p>
            <w:pPr>
              <w:ind w:left="40"/>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w:t>
            </w:r>
          </w:p>
        </w:tc>
        <w:tc>
          <w:tcPr>
            <w:tcW w:w="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(121,051)</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(4,755)</w:t>
            </w: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(125,805)</w:t>
            </w:r>
          </w:p>
        </w:tc>
        <w:tc>
          <w:tcPr>
            <w:tcW w:w="0" w:type="dxa"/>
            <w:vAlign w:val="bottom"/>
          </w:tcPr>
          <w:p>
            <w:pPr>
              <w:spacing w:after="0"/>
              <w:rPr>
                <w:sz w:val="1"/>
                <w:szCs w:val="1"/>
                <w:color w:val="auto"/>
              </w:rPr>
            </w:pPr>
          </w:p>
        </w:tc>
      </w:tr>
      <w:tr>
        <w:trPr>
          <w:trHeight w:val="136"/>
        </w:trPr>
        <w:tc>
          <w:tcPr>
            <w:tcW w:w="820" w:type="dxa"/>
            <w:vAlign w:val="bottom"/>
            <w:shd w:val="clear" w:color="auto" w:fill="CCEEFF"/>
          </w:tcPr>
          <w:p>
            <w:pPr>
              <w:ind w:left="60"/>
              <w:spacing w:after="0" w:line="137" w:lineRule="exact"/>
              <w:rPr>
                <w:sz w:val="20"/>
                <w:szCs w:val="20"/>
                <w:color w:val="auto"/>
              </w:rPr>
            </w:pPr>
            <w:r>
              <w:rPr>
                <w:rFonts w:ascii="Arial" w:cs="Arial" w:eastAsia="Arial" w:hAnsi="Arial"/>
                <w:sz w:val="12"/>
                <w:szCs w:val="12"/>
                <w:color w:val="auto"/>
              </w:rPr>
              <w:t>(unaudited)</w:t>
            </w:r>
          </w:p>
        </w:tc>
        <w:tc>
          <w:tcPr>
            <w:tcW w:w="520" w:type="dxa"/>
            <w:vAlign w:val="bottom"/>
            <w:gridSpan w:val="2"/>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40" w:type="dxa"/>
            <w:vAlign w:val="bottom"/>
            <w:tcBorders>
              <w:left w:val="single" w:sz="8" w:color="CCEEFF"/>
            </w:tcBorders>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ectPr>
          <w:pgSz w:w="11900" w:h="16838" w:orient="portrait"/>
          <w:cols w:equalWidth="0" w:num="1">
            <w:col w:w="11520"/>
          </w:cols>
          <w:pgMar w:left="240" w:top="132" w:right="139" w:bottom="0" w:gutter="0" w:footer="0" w:header="0"/>
        </w:sectPr>
      </w:pPr>
    </w:p>
    <w:p>
      <w:pPr>
        <w:spacing w:after="0"/>
        <w:rPr>
          <w:sz w:val="20"/>
          <w:szCs w:val="20"/>
          <w:color w:val="auto"/>
        </w:rPr>
      </w:pPr>
      <w:r>
        <w:rPr>
          <w:rFonts w:ascii="Arial" w:cs="Arial" w:eastAsia="Arial" w:hAnsi="Arial"/>
          <w:sz w:val="13"/>
          <w:szCs w:val="13"/>
          <w:color w:val="auto"/>
        </w:rPr>
        <w:t>See accompanying notes.</w:t>
      </w:r>
    </w:p>
    <w:p>
      <w:pPr>
        <w:sectPr>
          <w:pgSz w:w="11900" w:h="16838" w:orient="portrait"/>
          <w:cols w:equalWidth="0" w:num="1">
            <w:col w:w="11520"/>
          </w:cols>
          <w:pgMar w:left="240" w:top="132" w:right="139" w:bottom="0" w:gutter="0" w:footer="0" w:header="0"/>
          <w:type w:val="continuous"/>
        </w:sectPr>
      </w:pPr>
    </w:p>
    <w:bookmarkStart w:id="236" w:name="page237"/>
    <w:bookmarkEnd w:id="236"/>
    <w:p>
      <w:pPr>
        <w:ind w:left="10060"/>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630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6305" cy="6985"/>
                    </a:xfrm>
                    <a:prstGeom prst="rect">
                      <a:avLst/>
                    </a:prstGeom>
                    <a:noFill/>
                  </pic:spPr>
                </pic:pic>
              </a:graphicData>
            </a:graphic>
          </wp:anchor>
        </w:drawing>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144780</wp:posOffset>
            </wp:positionV>
            <wp:extent cx="7271385" cy="203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40"/>
          </w:cols>
          <w:pgMar w:left="1440" w:top="198" w:right="21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color w:val="auto"/>
        </w:rPr>
        <w:t>CONSOLIDATED STATEMENTS OF CASH FLOWS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tcPr>
          <w:p>
            <w:pPr>
              <w:ind w:left="8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w w:val="97"/>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right"/>
              <w:ind w:right="160"/>
              <w:spacing w:after="0" w:line="121" w:lineRule="exact"/>
              <w:rPr>
                <w:sz w:val="20"/>
                <w:szCs w:val="20"/>
                <w:color w:val="auto"/>
              </w:rPr>
            </w:pPr>
            <w:r>
              <w:rPr>
                <w:rFonts w:ascii="Arial" w:cs="Arial" w:eastAsia="Arial" w:hAnsi="Arial"/>
                <w:sz w:val="12"/>
                <w:szCs w:val="12"/>
                <w:b w:val="1"/>
                <w:bCs w:val="1"/>
                <w:color w:val="auto"/>
              </w:rPr>
              <w:t>(unaudited)</w:t>
            </w:r>
          </w:p>
        </w:tc>
        <w:tc>
          <w:tcPr>
            <w:tcW w:w="40" w:type="dxa"/>
            <w:vAlign w:val="bottom"/>
          </w:tcPr>
          <w:p>
            <w:pPr>
              <w:spacing w:after="0"/>
              <w:rPr>
                <w:sz w:val="10"/>
                <w:szCs w:val="10"/>
                <w:color w:val="auto"/>
              </w:rPr>
            </w:pPr>
          </w:p>
        </w:tc>
        <w:tc>
          <w:tcPr>
            <w:tcW w:w="760" w:type="dxa"/>
            <w:vAlign w:val="bottom"/>
            <w:gridSpan w:val="2"/>
          </w:tcPr>
          <w:p>
            <w:pPr>
              <w:jc w:val="right"/>
              <w:ind w:right="3"/>
              <w:spacing w:after="0" w:line="12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right"/>
              <w:ind w:right="340"/>
              <w:spacing w:after="0"/>
              <w:rPr>
                <w:sz w:val="20"/>
                <w:szCs w:val="20"/>
                <w:color w:val="auto"/>
              </w:rPr>
            </w:pPr>
            <w:r>
              <w:rPr>
                <w:rFonts w:ascii="Arial" w:cs="Arial" w:eastAsia="Arial" w:hAnsi="Arial"/>
                <w:sz w:val="12"/>
                <w:szCs w:val="12"/>
                <w:b w:val="1"/>
                <w:bCs w:val="1"/>
                <w:color w:val="auto"/>
              </w:rPr>
              <w:t>(in thousands)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loss</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(12,880)</w:t>
            </w: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(25,174)</w:t>
            </w: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(5,733)</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(7,476)</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Depreciation</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864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1,044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178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Stock-based compensation expense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1,224</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1,125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Non-cash interest expense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198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120"/>
              <w:spacing w:after="0" w:line="128" w:lineRule="exact"/>
              <w:rPr>
                <w:sz w:val="20"/>
                <w:szCs w:val="20"/>
                <w:color w:val="auto"/>
              </w:rPr>
            </w:pPr>
            <w:r>
              <w:rPr>
                <w:rFonts w:ascii="Arial" w:cs="Arial" w:eastAsia="Arial" w:hAnsi="Arial"/>
                <w:sz w:val="12"/>
                <w:szCs w:val="12"/>
                <w:color w:val="auto"/>
              </w:rPr>
              <w:t>Change in fair value of redeemable convertible preferred stock warrant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(83)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120"/>
              <w:spacing w:after="0" w:line="128" w:lineRule="exact"/>
              <w:rPr>
                <w:sz w:val="20"/>
                <w:szCs w:val="20"/>
                <w:color w:val="auto"/>
              </w:rPr>
            </w:pPr>
            <w:r>
              <w:rPr>
                <w:rFonts w:ascii="Arial" w:cs="Arial" w:eastAsia="Arial" w:hAnsi="Arial"/>
                <w:sz w:val="12"/>
                <w:szCs w:val="12"/>
                <w:color w:val="auto"/>
              </w:rPr>
              <w:t>Changes in operating assets and liabilities: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Accounts receivable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(153)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Prepaid expenses and other assets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(1,011)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(379)</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Restricted cash and other deposits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(1,779)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977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(1,752)</w:t>
            </w: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Accounts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(90)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975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Deferred revenue</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(537)</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60" w:type="dxa"/>
            <w:vAlign w:val="bottom"/>
          </w:tcPr>
          <w:p>
            <w:pPr>
              <w:ind w:left="240"/>
              <w:spacing w:after="0" w:line="128" w:lineRule="exact"/>
              <w:rPr>
                <w:sz w:val="20"/>
                <w:szCs w:val="20"/>
                <w:color w:val="auto"/>
              </w:rPr>
            </w:pPr>
            <w:r>
              <w:rPr>
                <w:rFonts w:ascii="Arial" w:cs="Arial" w:eastAsia="Arial" w:hAnsi="Arial"/>
                <w:sz w:val="12"/>
                <w:szCs w:val="12"/>
                <w:color w:val="auto"/>
              </w:rPr>
              <w:t>Contingently repayable grant funding</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305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(805)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(426)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ind w:left="240"/>
              <w:spacing w:after="0" w:line="128" w:lineRule="exact"/>
              <w:rPr>
                <w:sz w:val="20"/>
                <w:szCs w:val="20"/>
                <w:color w:val="auto"/>
              </w:rPr>
            </w:pPr>
            <w:r>
              <w:rPr>
                <w:rFonts w:ascii="Arial" w:cs="Arial" w:eastAsia="Arial" w:hAnsi="Arial"/>
                <w:sz w:val="12"/>
                <w:szCs w:val="12"/>
                <w:color w:val="auto"/>
              </w:rPr>
              <w:t>Accrued expenses and other liabilities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1,259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used in operating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(12,686)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(22,463)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(4,898)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(10,166)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Investing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Purchase of short term government obligations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(3,516)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(3,412)</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Purchases of property and equipment</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(1,163)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(123)</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(used in) investing activities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(227)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(4,679)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(3,555)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Net proceeds from issuance of preferred stock and warrants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20,140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32,669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Proceeds from issuance convertible note, net of issuance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7,092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Principle payments on loan payable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(2,336)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(227)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Deferred IPO costs</w:t>
            </w: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(302)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Proceeds from loans payable, net of issuance costs</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4,494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6,674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Issuance of common stock</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137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cash provided by financing activities</w:t>
            </w:r>
          </w:p>
        </w:tc>
        <w:tc>
          <w:tcPr>
            <w:tcW w:w="1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24,771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43,906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(207)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(1,677)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Effect of exchange rate changes on cash</w:t>
            </w: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(3,323)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(1,019)</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2"/>
                <w:szCs w:val="12"/>
                <w:color w:val="auto"/>
              </w:rPr>
              <w:t>(230)</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112</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Net (decrease) increase in cash and cash equivalents</w:t>
            </w:r>
          </w:p>
        </w:tc>
        <w:tc>
          <w:tcPr>
            <w:tcW w:w="1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8,535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15,745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(5,458)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(15,286)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6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Cash and cash equivalents at beginning of period</w:t>
            </w:r>
          </w:p>
        </w:tc>
        <w:tc>
          <w:tcPr>
            <w:tcW w:w="1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8,057</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16,592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32,337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line="119" w:lineRule="exact"/>
              <w:rPr>
                <w:sz w:val="20"/>
                <w:szCs w:val="20"/>
                <w:color w:val="auto"/>
              </w:rPr>
            </w:pPr>
            <w:r>
              <w:rPr>
                <w:rFonts w:ascii="Arial" w:cs="Arial" w:eastAsia="Arial" w:hAnsi="Arial"/>
                <w:sz w:val="12"/>
                <w:szCs w:val="12"/>
                <w:color w:val="auto"/>
              </w:rPr>
              <w:t>Cash and cash equivalents at end of period</w:t>
            </w:r>
          </w:p>
        </w:tc>
        <w:tc>
          <w:tcPr>
            <w:tcW w:w="12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16,592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32,337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11,134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17,051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Cash paid during the year for:</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Interest</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366</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531</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150</w:t>
            </w:r>
          </w:p>
        </w:tc>
        <w:tc>
          <w:tcPr>
            <w:tcW w:w="100" w:type="dxa"/>
            <w:vAlign w:val="bottom"/>
          </w:tcPr>
          <w:p>
            <w:pPr>
              <w:spacing w:after="0"/>
              <w:rPr>
                <w:sz w:val="11"/>
                <w:szCs w:val="11"/>
                <w:color w:val="auto"/>
              </w:rPr>
            </w:pP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243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Supplemental Noncash Financing Activities: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660" w:type="dxa"/>
            <w:vAlign w:val="bottom"/>
          </w:tcPr>
          <w:p>
            <w:pPr>
              <w:spacing w:after="0" w:line="128" w:lineRule="exact"/>
              <w:rPr>
                <w:sz w:val="20"/>
                <w:szCs w:val="20"/>
                <w:color w:val="auto"/>
              </w:rPr>
            </w:pPr>
            <w:r>
              <w:rPr>
                <w:rFonts w:ascii="Arial" w:cs="Arial" w:eastAsia="Arial" w:hAnsi="Arial"/>
                <w:sz w:val="12"/>
                <w:szCs w:val="12"/>
                <w:color w:val="auto"/>
              </w:rPr>
              <w:t>Venture debt termination fee liability</w:t>
            </w:r>
          </w:p>
        </w:tc>
        <w:tc>
          <w:tcPr>
            <w:tcW w:w="13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4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8" w:lineRule="exact"/>
              <w:rPr>
                <w:sz w:val="20"/>
                <w:szCs w:val="20"/>
                <w:color w:val="auto"/>
              </w:rPr>
            </w:pPr>
            <w:r>
              <w:rPr>
                <w:rFonts w:ascii="Arial" w:cs="Arial" w:eastAsia="Arial" w:hAnsi="Arial"/>
                <w:sz w:val="12"/>
                <w:szCs w:val="12"/>
                <w:color w:val="auto"/>
              </w:rPr>
              <w:t>270</w:t>
            </w:r>
          </w:p>
        </w:tc>
        <w:tc>
          <w:tcPr>
            <w:tcW w:w="100" w:type="dxa"/>
            <w:vAlign w:val="bottom"/>
          </w:tcPr>
          <w:p>
            <w:pPr>
              <w:spacing w:after="0"/>
              <w:rPr>
                <w:sz w:val="11"/>
                <w:szCs w:val="11"/>
                <w:color w:val="auto"/>
              </w:rPr>
            </w:pPr>
          </w:p>
        </w:tc>
        <w:tc>
          <w:tcPr>
            <w:tcW w:w="180" w:type="dxa"/>
            <w:vAlign w:val="bottom"/>
            <w:gridSpan w:val="2"/>
          </w:tcPr>
          <w:p>
            <w:pPr>
              <w:jc w:val="right"/>
              <w:ind w:right="25"/>
              <w:spacing w:after="0" w:line="128"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260" w:type="dxa"/>
            <w:vAlign w:val="bottom"/>
            <w:gridSpan w:val="2"/>
          </w:tcPr>
          <w:p>
            <w:pPr>
              <w:jc w:val="right"/>
              <w:ind w:right="103"/>
              <w:spacing w:after="0" w:line="128"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Issuance of preferred warrants in connection with venture loans</w:t>
            </w: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137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2"/>
                <w:szCs w:val="12"/>
                <w:color w:val="auto"/>
              </w:rPr>
              <w:t>Accrued dividends and accretion of preferred stock to redemption value</w:t>
            </w: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4,951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7,335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1,561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2,356</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6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Conversion of bridge loans into Series E preferred</w:t>
            </w:r>
          </w:p>
        </w:tc>
        <w:tc>
          <w:tcPr>
            <w:tcW w:w="13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140" w:type="dxa"/>
            <w:vAlign w:val="bottom"/>
            <w:gridSpan w:val="2"/>
            <w:shd w:val="clear" w:color="auto" w:fill="CCEEFF"/>
          </w:tcPr>
          <w:p>
            <w:pPr>
              <w:jc w:val="right"/>
              <w:spacing w:after="0" w:line="103"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7,288</w:t>
            </w:r>
          </w:p>
        </w:tc>
        <w:tc>
          <w:tcPr>
            <w:tcW w:w="10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ind w:right="25"/>
              <w:spacing w:after="0" w:line="103"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03" w:lineRule="exact"/>
              <w:rPr>
                <w:sz w:val="20"/>
                <w:szCs w:val="20"/>
                <w:color w:val="auto"/>
              </w:rPr>
            </w:pPr>
            <w:r>
              <w:rPr>
                <w:rFonts w:ascii="Arial" w:cs="Arial" w:eastAsia="Arial" w:hAnsi="Arial"/>
                <w:sz w:val="10"/>
                <w:szCs w:val="10"/>
                <w:color w:val="auto"/>
              </w:rPr>
              <w:t>—</w:t>
            </w:r>
          </w:p>
        </w:tc>
        <w:tc>
          <w:tcPr>
            <w:tcW w:w="260" w:type="dxa"/>
            <w:vAlign w:val="bottom"/>
            <w:gridSpan w:val="2"/>
            <w:shd w:val="clear" w:color="auto" w:fill="CCEEFF"/>
          </w:tcPr>
          <w:p>
            <w:pPr>
              <w:jc w:val="right"/>
              <w:ind w:right="103"/>
              <w:spacing w:after="0" w:line="103"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line="103"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26630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38" w:name="page239"/>
    <w:bookmarkEnd w:id="23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Nature of business and basis of presentation</w:t>
      </w:r>
    </w:p>
    <w:p>
      <w:pPr>
        <w:spacing w:after="0" w:line="195"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Selecta Biosciences, Inc. (the "Company") was incorporated in Delaware on December 10, 2007, and is based in Watertown, Massachusetts. The Company is a biopharmaceutical company dedicated to developing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4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subject to a number of risks similar to other early life science companies including, but not limited to, raising additional capital, development by its competitors of new technological innovations, protection of proprietary technology, and market acceptance of its products.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all amounts are in millions except share and per share amounts.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jc w:val="both"/>
        <w:ind w:right="120"/>
        <w:spacing w:after="0" w:line="297"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The consolidated financial statements and accompanying notes are stated in U.S. dollars. Any reference in these notes to applicable guidance is meant to refer to the authoritative U.S. GAAP as found in the Accounting Standards Codification ("ASC") and Accounting Standards Updates ("ASU") of the Financial Accounting Standards Board ("FASB").</w:t>
      </w:r>
    </w:p>
    <w:p>
      <w:pPr>
        <w:spacing w:after="0" w:line="144"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 accompanying unaudited consolidated financial statements and the related notes as of March 31, 2016 and for the three months ended March 31, 2015 and 2016 are condensed and are prepared pursuant to the rules and regulations of the U.S. Securities and Exchange Commission regarding interim financial reporting. Accordingly, they do not include all of the information and disclosures required by U.S. GAAP for complete financial statements and should be read in conjunction with the Company's audited financial statements for the years ended December 31, 2014 and 2015. In the opinion of management, the Company has prepared the accompanying unaudited condensed consolidated financial statements for the three months ended March 31, 2015 and 2016 on the same basis as its audited financial statements, and these condensed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2016 or any future years or periods.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has incurred losses since inception and negative cash flows from operating activities. As of December 31, 2015 and March 31, 2016, the Company had an accumulated deficit of $111.5 million and $121.1 million, respectively. The Company has financed its operations to date through issuances of redeemable convertible preferred stock (collectively, "Preferred Stock"), debt, research grants and a research collaboration. During the year ended December 31, 2015, the Company raised an additional $39.8 million, net of issuance costs, through the issuance of convertible notes (Note 8) and Series E redeemable convertible preferred stock ("Series E Preferred") (Note 9) and $6.8 million through the issuance of additional venture debt ("Debt") (Note 8). The Company's cash and cash equivalents as of December 31, 2015 and March 31, 2016 included $3.0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39" w:name="page240"/>
    <w:bookmarkEnd w:id="239"/>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120"/>
        <w:spacing w:after="0" w:line="266" w:lineRule="auto"/>
        <w:rPr>
          <w:sz w:val="20"/>
          <w:szCs w:val="20"/>
          <w:color w:val="auto"/>
        </w:rPr>
      </w:pPr>
      <w:r>
        <w:rPr>
          <w:rFonts w:ascii="Arial" w:cs="Arial" w:eastAsia="Arial" w:hAnsi="Arial"/>
          <w:sz w:val="15"/>
          <w:szCs w:val="15"/>
          <w:color w:val="auto"/>
        </w:rPr>
        <w:t>$1.5 million, respectively,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62" w:lineRule="exact"/>
        <w:rPr>
          <w:sz w:val="20"/>
          <w:szCs w:val="20"/>
          <w:color w:val="auto"/>
        </w:rPr>
      </w:pPr>
    </w:p>
    <w:p>
      <w:pPr>
        <w:jc w:val="both"/>
        <w:ind w:left="7" w:right="20"/>
        <w:spacing w:after="0" w:line="330" w:lineRule="auto"/>
        <w:rPr>
          <w:sz w:val="20"/>
          <w:szCs w:val="20"/>
          <w:color w:val="auto"/>
        </w:rPr>
      </w:pPr>
      <w:r>
        <w:rPr>
          <w:rFonts w:ascii="Arial" w:cs="Arial" w:eastAsia="Arial" w:hAnsi="Arial"/>
          <w:sz w:val="13"/>
          <w:szCs w:val="13"/>
          <w:color w:val="auto"/>
        </w:rPr>
        <w:t>These factors raise substantial doubt about the Company's ability to continue as a going concern. The Company intends to pursue a private offering of equity securities or a public offering of its common stock to fund future operations. However, if the Company is unable to complete a sufficient private or public offering in a timely manner, it would need to pursue other financing alternatives. There can be no assurances that the current operating plan will be achieved or that additional funding will be available on terms acceptable to the Company, or at all.</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Unaudited pro forma financial information</w:t>
      </w:r>
    </w:p>
    <w:p>
      <w:pPr>
        <w:spacing w:after="0" w:line="195" w:lineRule="exact"/>
        <w:rPr>
          <w:sz w:val="20"/>
          <w:szCs w:val="20"/>
          <w:color w:val="auto"/>
        </w:rPr>
      </w:pPr>
    </w:p>
    <w:p>
      <w:pPr>
        <w:ind w:left="7"/>
        <w:spacing w:after="0" w:line="283" w:lineRule="auto"/>
        <w:rPr>
          <w:sz w:val="20"/>
          <w:szCs w:val="20"/>
          <w:color w:val="auto"/>
        </w:rPr>
      </w:pPr>
      <w:r>
        <w:rPr>
          <w:rFonts w:ascii="Arial" w:cs="Arial" w:eastAsia="Arial" w:hAnsi="Arial"/>
          <w:sz w:val="14"/>
          <w:szCs w:val="14"/>
          <w:color w:val="auto"/>
        </w:rPr>
        <w:t>The unaudited pro forma consolidated balance sheet information at March 31, 2016 has been prepared to reflect the automatic conversion of all shares of Preferred Stock outstanding at March 31, 2016 into 9,890,580 shares of common stock and cashless exercise of warrants for the purchase of 567,306 shares of common stock as if a proposed initial public offering had occurred on March 31, 2016. For purposes of pro forma basic and diluted net loss per share attributable to common stockholders, all shares of Preferred Stock and those warrants which will automatically be converted or exercised upon the filing of a registration statement on Form S-1 or closing of an initial public offering, and the preferred stock warrants which will convert into common stock warrants upon the closing of an initial public offering, have been treated as if they have been converted or exercised at the beginning of the period or on the issuance date, if later. Accordingly, the pro forma basic and diluted loss per share attributable to common stockholders do not include the effects of the accretion of Preferred Stock to redemption value and accrued dividends, or the change in fair value of redeemable convertible preferred stock warrants.</w:t>
      </w:r>
    </w:p>
    <w:p>
      <w:pPr>
        <w:spacing w:after="0" w:line="145" w:lineRule="exact"/>
        <w:rPr>
          <w:sz w:val="20"/>
          <w:szCs w:val="20"/>
          <w:color w:val="auto"/>
        </w:rPr>
      </w:pPr>
    </w:p>
    <w:p>
      <w:pPr>
        <w:ind w:left="7" w:right="8140" w:hanging="7"/>
        <w:spacing w:after="0" w:line="505" w:lineRule="auto"/>
        <w:tabs>
          <w:tab w:leader="none" w:pos="175"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Principles of consolidation</w:t>
      </w:r>
    </w:p>
    <w:p>
      <w:pPr>
        <w:ind w:left="7" w:right="80"/>
        <w:spacing w:after="0" w:line="319"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Foreign currency</w:t>
      </w:r>
    </w:p>
    <w:p>
      <w:pPr>
        <w:spacing w:after="0" w:line="195" w:lineRule="exact"/>
        <w:rPr>
          <w:sz w:val="20"/>
          <w:szCs w:val="20"/>
          <w:color w:val="auto"/>
        </w:rPr>
      </w:pPr>
    </w:p>
    <w:p>
      <w:pPr>
        <w:ind w:left="7"/>
        <w:spacing w:after="0" w:line="270" w:lineRule="auto"/>
        <w:rPr>
          <w:sz w:val="20"/>
          <w:szCs w:val="20"/>
          <w:color w:val="auto"/>
        </w:rPr>
      </w:pPr>
      <w:r>
        <w:rPr>
          <w:rFonts w:ascii="Arial" w:cs="Arial" w:eastAsia="Arial" w:hAnsi="Arial"/>
          <w:sz w:val="15"/>
          <w:szCs w:val="15"/>
          <w:color w:val="auto"/>
        </w:rPr>
        <w:t>The functional currency of Selecta RUS is the ruble. Assets and liabilities of Select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630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40" w:name="page241"/>
    <w:bookmarkEnd w:id="24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w:t>
      </w:r>
      <w:r>
        <w:rPr>
          <w:rFonts w:ascii="Arial" w:cs="Arial" w:eastAsia="Arial" w:hAnsi="Arial"/>
          <w:sz w:val="14"/>
          <w:szCs w:val="14"/>
          <w:b w:val="1"/>
          <w:bCs w:val="1"/>
          <w:color w:val="auto"/>
        </w:rPr>
        <w:t>-</w:t>
      </w:r>
      <w:r>
        <w:rPr>
          <w:rFonts w:ascii="Arial" w:cs="Arial" w:eastAsia="Arial" w:hAnsi="Arial"/>
          <w:sz w:val="14"/>
          <w:szCs w:val="14"/>
          <w:color w:val="auto"/>
        </w:rPr>
        <w: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w:t>
      </w:r>
      <w:r>
        <w:rPr>
          <w:rFonts w:ascii="Arial" w:cs="Arial" w:eastAsia="Arial" w:hAnsi="Arial"/>
          <w:sz w:val="14"/>
          <w:szCs w:val="14"/>
          <w:b w:val="1"/>
          <w:bCs w:val="1"/>
          <w:color w:val="auto"/>
        </w:rPr>
        <w:t>-</w:t>
      </w:r>
      <w:r>
        <w:rPr>
          <w:rFonts w:ascii="Arial" w:cs="Arial" w:eastAsia="Arial" w:hAnsi="Arial"/>
          <w:sz w:val="14"/>
          <w:szCs w:val="14"/>
          <w:color w:val="auto"/>
        </w:rPr>
        <w:t>based compensation, income taxes, collectability of accounts receivable, useful lives of long</w:t>
      </w:r>
      <w:r>
        <w:rPr>
          <w:rFonts w:ascii="Arial" w:cs="Arial" w:eastAsia="Arial" w:hAnsi="Arial"/>
          <w:sz w:val="14"/>
          <w:szCs w:val="14"/>
          <w:b w:val="1"/>
          <w:bCs w:val="1"/>
          <w:color w:val="auto"/>
        </w:rPr>
        <w:t>-</w:t>
      </w:r>
      <w:r>
        <w:rPr>
          <w:rFonts w:ascii="Arial" w:cs="Arial" w:eastAsia="Arial" w:hAnsi="Arial"/>
          <w:sz w:val="14"/>
          <w:szCs w:val="14"/>
          <w:color w:val="auto"/>
        </w:rPr>
        <w:t>lived assets, accrued expenses, and accounting for project development. The Company assesses the above estimates on an ongoing basis; however, actual results could materially differ from those estimates.</w:t>
      </w:r>
    </w:p>
    <w:p>
      <w:pPr>
        <w:spacing w:after="0" w:line="154"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The Company's management makes significant estimates and assumptions in determining the fair value of its common stock. The Company utilizes various valuation methodologies in accordance with the framework of the 2004 American Institute of Certified Public Accountants' Technical Practice Aid, Valuation of Privately-Held Company Equity Securities Issued as Compensation, to estimate the fair value of its common stock. Each valuation methodology includes estimates and assumptions that require the Company's judgment. These estimates and assumptions include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95"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 and short term investments</w:t>
      </w:r>
    </w:p>
    <w:p>
      <w:pPr>
        <w:spacing w:after="0" w:line="195" w:lineRule="exact"/>
        <w:rPr>
          <w:sz w:val="20"/>
          <w:szCs w:val="20"/>
          <w:color w:val="auto"/>
        </w:rPr>
      </w:pPr>
    </w:p>
    <w:p>
      <w:pPr>
        <w:ind w:right="120"/>
        <w:spacing w:after="0" w:line="330" w:lineRule="auto"/>
        <w:rPr>
          <w:sz w:val="20"/>
          <w:szCs w:val="20"/>
          <w:color w:val="auto"/>
        </w:rPr>
      </w:pPr>
      <w:r>
        <w:rPr>
          <w:rFonts w:ascii="Arial" w:cs="Arial" w:eastAsia="Arial" w:hAnsi="Arial"/>
          <w:sz w:val="13"/>
          <w:szCs w:val="13"/>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7266305"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1" w:name="page242"/>
    <w:bookmarkEnd w:id="24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2015, there were no realized gains or losses on sales of investments, and no investments were adjusted for other than temporary declines in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 and off-balance sheet risk</w:t>
      </w:r>
    </w:p>
    <w:p>
      <w:pPr>
        <w:spacing w:after="0" w:line="19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primarily of cash, cash equivalents, and accounts receivable. Cash and cash equivalents are deposited with federally insured financial institutions in the U.S.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our Russia subsidiary, we also maintain cash in Russian bank accounts in denominations of both rubles and U.S. dollars. As of March 31, 2016, we maintained approximately $4.2 million in Russian bank accounts, of which $3.0 million was held in U.S. dollars.</w:t>
      </w:r>
    </w:p>
    <w:p>
      <w:pPr>
        <w:spacing w:after="0" w:line="149" w:lineRule="exact"/>
        <w:rPr>
          <w:sz w:val="20"/>
          <w:szCs w:val="20"/>
          <w:color w:val="auto"/>
        </w:rPr>
      </w:pPr>
    </w:p>
    <w:p>
      <w:pPr>
        <w:ind w:right="60"/>
        <w:spacing w:after="0" w:line="362" w:lineRule="auto"/>
        <w:rPr>
          <w:sz w:val="20"/>
          <w:szCs w:val="20"/>
          <w:color w:val="auto"/>
        </w:rPr>
      </w:pPr>
      <w:r>
        <w:rPr>
          <w:rFonts w:ascii="Arial" w:cs="Arial" w:eastAsia="Arial" w:hAnsi="Arial"/>
          <w:sz w:val="13"/>
          <w:szCs w:val="13"/>
          <w:color w:val="auto"/>
        </w:rPr>
        <w:t>The Company has minimal credit risk as the majority of accounts receivable relates to amounts due under a government sponsored grant, collaboration with large pharmaceutical companies or grants from well-known and supported non-profit organizations. The Company did not have any off balance sheet arrangements as of December 31, 2014 and 2015 and March 31, 2016.</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95"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The Company's financial instruments consist mainly of cash equivalents, short-term investments, restricted cash, accounts receivable, accounts payable, loans payable, common stock warrants, and redeemable convertible preferred stock warrants. The 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12.4% for the debt arrangement.</w:t>
      </w:r>
    </w:p>
    <w:p>
      <w:pPr>
        <w:spacing w:after="0" w:line="162" w:lineRule="exact"/>
        <w:rPr>
          <w:sz w:val="20"/>
          <w:szCs w:val="20"/>
          <w:color w:val="auto"/>
        </w:rPr>
      </w:pPr>
    </w:p>
    <w:p>
      <w:pPr>
        <w:ind w:right="220"/>
        <w:spacing w:after="0" w:line="266" w:lineRule="auto"/>
        <w:rPr>
          <w:sz w:val="20"/>
          <w:szCs w:val="20"/>
          <w:color w:val="auto"/>
        </w:rPr>
      </w:pPr>
      <w:r>
        <w:rPr>
          <w:rFonts w:ascii="Arial" w:cs="Arial" w:eastAsia="Arial" w:hAnsi="Arial"/>
          <w:sz w:val="15"/>
          <w:szCs w:val="15"/>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—Level 1 inputs are quoted prices in active markets for identical assets or liabilities that the reporting entity has the ability to access at the measurement date.</w:t>
      </w:r>
    </w:p>
    <w:p>
      <w:pPr>
        <w:spacing w:after="0" w:line="198" w:lineRule="exact"/>
        <w:rPr>
          <w:sz w:val="20"/>
          <w:szCs w:val="20"/>
          <w:color w:val="auto"/>
        </w:rPr>
      </w:pPr>
    </w:p>
    <w:p>
      <w:pPr>
        <w:ind w:left="460"/>
        <w:spacing w:after="0" w:line="28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—Level 2 inputs are inputs other than quoted prices included within Level 1 that are observable for the asset or liability, either directly or indirectly. If the asset or liability has</w:t>
      </w:r>
      <w:r>
        <w:rPr>
          <w:rFonts w:ascii="Arial" w:cs="Arial" w:eastAsia="Arial" w:hAnsi="Arial"/>
          <w:sz w:val="15"/>
          <w:szCs w:val="15"/>
          <w:i w:val="1"/>
          <w:iCs w:val="1"/>
          <w:color w:val="auto"/>
        </w:rPr>
        <w:t xml:space="preserve"> </w:t>
      </w:r>
      <w:r>
        <w:rPr>
          <w:rFonts w:ascii="Arial" w:cs="Arial" w:eastAsia="Arial" w:hAnsi="Arial"/>
          <w:sz w:val="15"/>
          <w:szCs w:val="15"/>
          <w:color w:val="auto"/>
        </w:rPr>
        <w:t>a specified (contractual) term, a Level 2 input must be observable for substantially the full term of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2" w:name="page243"/>
    <w:bookmarkEnd w:id="24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—Level 3 inputs are unobservable inputs for the asset or liability in which there is little, if any, market activity for the asset or liability at the measurement date.</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As of December 31, 2014 and 2015, and at March 31, 2016, the Company's Preferred Stock Warrants were the only financial instruments classified as Level 3.</w:t>
      </w:r>
    </w:p>
    <w:p>
      <w:pPr>
        <w:spacing w:after="0" w:line="162"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years ended December 31, 2014 and 2015, and the three months ended March 31, 2016.</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and equipment</w:t>
      </w:r>
    </w:p>
    <w:p>
      <w:pPr>
        <w:spacing w:after="0" w:line="195" w:lineRule="exact"/>
        <w:rPr>
          <w:sz w:val="20"/>
          <w:szCs w:val="20"/>
          <w:color w:val="auto"/>
        </w:rPr>
      </w:pPr>
    </w:p>
    <w:p>
      <w:pPr>
        <w:ind w:right="100"/>
        <w:spacing w:after="0" w:line="319" w:lineRule="auto"/>
        <w:rPr>
          <w:sz w:val="20"/>
          <w:szCs w:val="20"/>
          <w:color w:val="auto"/>
        </w:rPr>
      </w:pPr>
      <w:r>
        <w:rPr>
          <w:rFonts w:ascii="Arial" w:cs="Arial" w:eastAsia="Arial" w:hAnsi="Arial"/>
          <w:sz w:val="13"/>
          <w:szCs w:val="13"/>
          <w:color w:val="auto"/>
        </w:rPr>
        <w:t>Property and equipment are recorded at cost and depreciated using the straight-line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long-lived assets</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3"/>
          <w:szCs w:val="13"/>
          <w:color w:val="auto"/>
        </w:rPr>
        <w:t>The Company periodically evaluates its long-lived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through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26630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43" w:name="page244"/>
    <w:bookmarkEnd w:id="243"/>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Debt issuance costs</w:t>
      </w:r>
    </w:p>
    <w:p>
      <w:pPr>
        <w:spacing w:after="0" w:line="195" w:lineRule="exact"/>
        <w:rPr>
          <w:sz w:val="20"/>
          <w:szCs w:val="20"/>
          <w:color w:val="auto"/>
        </w:rPr>
      </w:pPr>
    </w:p>
    <w:p>
      <w:pPr>
        <w:ind w:left="7" w:right="20"/>
        <w:spacing w:after="0" w:line="319" w:lineRule="auto"/>
        <w:rPr>
          <w:sz w:val="20"/>
          <w:szCs w:val="20"/>
          <w:color w:val="auto"/>
        </w:rPr>
      </w:pPr>
      <w:r>
        <w:rPr>
          <w:rFonts w:ascii="Arial" w:cs="Arial" w:eastAsia="Arial" w:hAnsi="Arial"/>
          <w:sz w:val="14"/>
          <w:szCs w:val="14"/>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7" w:right="300"/>
        <w:spacing w:after="0" w:line="319" w:lineRule="auto"/>
        <w:rPr>
          <w:sz w:val="20"/>
          <w:szCs w:val="20"/>
          <w:color w:val="auto"/>
        </w:rPr>
      </w:pPr>
      <w:r>
        <w:rPr>
          <w:rFonts w:ascii="Arial" w:cs="Arial" w:eastAsia="Arial" w:hAnsi="Arial"/>
          <w:sz w:val="14"/>
          <w:szCs w:val="14"/>
          <w:color w:val="auto"/>
        </w:rPr>
        <w:t xml:space="preserve">The Company's revenue is primarily generated from research grants in both the United States and Russia, and a license and research collaboration agreement with Sanofi. The Company recognizes revenue in accordance with ASC Topic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Accordingly, revenue is recognized when all of the following criteria are met:</w:t>
      </w:r>
    </w:p>
    <w:p>
      <w:pPr>
        <w:spacing w:after="0" w:line="140" w:lineRule="exact"/>
        <w:rPr>
          <w:sz w:val="20"/>
          <w:szCs w:val="20"/>
          <w:color w:val="auto"/>
        </w:rPr>
      </w:pPr>
    </w:p>
    <w:p>
      <w:pPr>
        <w:ind w:left="467" w:hanging="467"/>
        <w:spacing w:after="0"/>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Persuasive evidence of an arrangement exists;</w:t>
      </w:r>
    </w:p>
    <w:p>
      <w:pPr>
        <w:spacing w:after="0" w:line="221" w:lineRule="exact"/>
        <w:rPr>
          <w:rFonts w:ascii="Arial" w:cs="Arial" w:eastAsia="Arial" w:hAnsi="Arial"/>
          <w:sz w:val="15"/>
          <w:szCs w:val="15"/>
          <w:color w:val="auto"/>
        </w:rPr>
      </w:pPr>
    </w:p>
    <w:p>
      <w:pPr>
        <w:ind w:left="467" w:hanging="467"/>
        <w:spacing w:after="0"/>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Delivery has occurred or services have been rendered;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seller's price to the buyer is fixed or determinable; and</w:t>
      </w:r>
    </w:p>
    <w:p>
      <w:pPr>
        <w:spacing w:after="0" w:line="209" w:lineRule="exact"/>
        <w:rPr>
          <w:rFonts w:ascii="Arial" w:cs="Arial" w:eastAsia="Arial" w:hAnsi="Arial"/>
          <w:sz w:val="15"/>
          <w:szCs w:val="15"/>
          <w:color w:val="auto"/>
        </w:rPr>
      </w:pPr>
    </w:p>
    <w:p>
      <w:pPr>
        <w:ind w:left="467" w:hanging="467"/>
        <w:spacing w:after="0"/>
        <w:tabs>
          <w:tab w:leader="none" w:pos="46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Collectability is reasonably assured.</w:t>
      </w:r>
    </w:p>
    <w:p>
      <w:pPr>
        <w:spacing w:after="0" w:line="198" w:lineRule="exact"/>
        <w:rPr>
          <w:sz w:val="20"/>
          <w:szCs w:val="20"/>
          <w:color w:val="auto"/>
        </w:rPr>
      </w:pPr>
    </w:p>
    <w:p>
      <w:pPr>
        <w:ind w:left="7" w:right="20"/>
        <w:spacing w:after="0" w:line="270" w:lineRule="auto"/>
        <w:rPr>
          <w:sz w:val="20"/>
          <w:szCs w:val="20"/>
          <w:color w:val="auto"/>
        </w:rPr>
      </w:pPr>
      <w:r>
        <w:rPr>
          <w:rFonts w:ascii="Arial" w:cs="Arial" w:eastAsia="Arial" w:hAnsi="Arial"/>
          <w:sz w:val="15"/>
          <w:szCs w:val="15"/>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Collaboration revenue</w:t>
      </w:r>
    </w:p>
    <w:p>
      <w:pPr>
        <w:spacing w:after="0" w:line="195" w:lineRule="exact"/>
        <w:rPr>
          <w:sz w:val="20"/>
          <w:szCs w:val="20"/>
          <w:color w:val="auto"/>
        </w:rPr>
      </w:pPr>
    </w:p>
    <w:p>
      <w:pPr>
        <w:ind w:left="7"/>
        <w:spacing w:after="0" w:line="287" w:lineRule="auto"/>
        <w:rPr>
          <w:sz w:val="20"/>
          <w:szCs w:val="20"/>
          <w:color w:val="auto"/>
        </w:rPr>
      </w:pPr>
      <w:r>
        <w:rPr>
          <w:rFonts w:ascii="Arial" w:cs="Arial" w:eastAsia="Arial" w:hAnsi="Arial"/>
          <w:sz w:val="14"/>
          <w:szCs w:val="14"/>
          <w:color w:val="auto"/>
        </w:rPr>
        <w:t>When evaluating multiple element arrangements such as the agreement with Sanofi discussed in Note 12,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49" w:lineRule="exact"/>
        <w:rPr>
          <w:sz w:val="20"/>
          <w:szCs w:val="20"/>
          <w:color w:val="auto"/>
        </w:rPr>
      </w:pPr>
    </w:p>
    <w:p>
      <w:pPr>
        <w:ind w:left="7" w:right="20"/>
        <w:spacing w:after="0" w:line="263" w:lineRule="auto"/>
        <w:rPr>
          <w:sz w:val="20"/>
          <w:szCs w:val="20"/>
          <w:color w:val="auto"/>
        </w:rPr>
      </w:pPr>
      <w:r>
        <w:rPr>
          <w:rFonts w:ascii="Arial" w:cs="Arial" w:eastAsia="Arial" w:hAnsi="Arial"/>
          <w:sz w:val="15"/>
          <w:szCs w:val="15"/>
          <w:color w:val="auto"/>
        </w:rPr>
        <w:t>The Company determines the estimated selling price for deliverables within each agreement using vendor-specific objective evidence ("VSOE") of selling price, if available, third-party evidence ("TPE") of selling price if VSOE is not available, or best estimate of selling price if neither VSOE nor TPE is available. Determining the best estimate of selling price for a deliverable requires significant judgment. The Company has used its best estimate of selling price to estimate the selling price for licenses to the Company's proprietary technology, since the Company does not have VSOE or TPE of selling price for these deliverables. In those circumstances, the Company considers market conditions as well as entity-specific factors, including those factors contemplated in negotiating the agreements,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6630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271385" cy="203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2" w:right="239" w:bottom="1440" w:gutter="0" w:footer="0" w:header="0"/>
        </w:sectPr>
      </w:pPr>
    </w:p>
    <w:bookmarkStart w:id="244" w:name="page245"/>
    <w:bookmarkEnd w:id="24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 may receive upfront payments when licensing its intellectual property in conjunction with a research and development agreement. When management believes the license to its intellectual property does not have stand-alone value from the other deliverables to be provided in the arrangement, the Company generally recognizes revenue attributed to the license over the Company's contractual or estimated performance period. When management believes the license to its intellectual property has stand-alone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research and development efforts are recognized as the services are performed.</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ind w:right="280"/>
        <w:spacing w:after="0" w:line="270" w:lineRule="auto"/>
        <w:rPr>
          <w:sz w:val="20"/>
          <w:szCs w:val="20"/>
          <w:color w:val="auto"/>
        </w:rPr>
      </w:pPr>
      <w:r>
        <w:rPr>
          <w:rFonts w:ascii="Arial" w:cs="Arial" w:eastAsia="Arial" w:hAnsi="Arial"/>
          <w:sz w:val="15"/>
          <w:szCs w:val="15"/>
          <w:color w:val="auto"/>
        </w:rPr>
        <w:t>Grant revenue is generally recognized as the related research and development work is performed. Grant arrangements frequently include payment milestones which the Company has judged to be non-substantive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Amounts received prior to satisfying the above revenue recognition criteria are recorded as deferred revenue in the accompanying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5"/>
          <w:szCs w:val="15"/>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66305"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5" w:name="page246"/>
    <w:bookmarkEnd w:id="24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Clinical trial costs</w:t>
      </w:r>
    </w:p>
    <w:p>
      <w:pPr>
        <w:spacing w:after="0" w:line="195" w:lineRule="exact"/>
        <w:rPr>
          <w:sz w:val="20"/>
          <w:szCs w:val="20"/>
          <w:color w:val="auto"/>
        </w:rPr>
      </w:pPr>
    </w:p>
    <w:p>
      <w:pPr>
        <w:ind w:right="160"/>
        <w:spacing w:after="0" w:line="319" w:lineRule="auto"/>
        <w:rPr>
          <w:sz w:val="20"/>
          <w:szCs w:val="20"/>
          <w:color w:val="auto"/>
        </w:rPr>
      </w:pPr>
      <w:r>
        <w:rPr>
          <w:rFonts w:ascii="Arial" w:cs="Arial" w:eastAsia="Arial" w:hAnsi="Arial"/>
          <w:sz w:val="14"/>
          <w:szCs w:val="14"/>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The Company classifies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Company issues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re-measured. These warrants are valued using the Black-Scholes option pricing model ("Black-Scholes").</w:t>
      </w:r>
    </w:p>
    <w:p>
      <w:pPr>
        <w:spacing w:after="0" w:line="149"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color w:val="auto"/>
        </w:rPr>
        <w:t>Redeemable convertible preferred stock warrants are classified as a liability and are initially recorded at their fair value and re-measured on each subsequent balance sheet date while the warrants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46" w:name="page247"/>
    <w:bookmarkEnd w:id="24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360"/>
        <w:spacing w:after="0" w:line="282" w:lineRule="auto"/>
        <w:rPr>
          <w:sz w:val="20"/>
          <w:szCs w:val="20"/>
          <w:color w:val="auto"/>
        </w:rPr>
      </w:pPr>
      <w:r>
        <w:rPr>
          <w:rFonts w:ascii="Arial" w:cs="Arial" w:eastAsia="Arial" w:hAnsi="Arial"/>
          <w:sz w:val="15"/>
          <w:szCs w:val="15"/>
          <w:color w:val="auto"/>
        </w:rPr>
        <w:t>outstanding. Changes in fair value are recorded in interest expense, net in the accompanying consolidated statements of operations and comprehensive loss. The redeemable convertible warrants are valued using Black-Scholes.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Stock-based compensation</w:t>
      </w:r>
    </w:p>
    <w:p>
      <w:pPr>
        <w:spacing w:after="0" w:line="195" w:lineRule="exact"/>
        <w:rPr>
          <w:sz w:val="20"/>
          <w:szCs w:val="20"/>
          <w:color w:val="auto"/>
        </w:rPr>
      </w:pPr>
    </w:p>
    <w:p>
      <w:pPr>
        <w:ind w:left="7" w:right="20"/>
        <w:spacing w:after="0" w:line="287" w:lineRule="auto"/>
        <w:rPr>
          <w:sz w:val="20"/>
          <w:szCs w:val="20"/>
          <w:color w:val="auto"/>
        </w:rPr>
      </w:pPr>
      <w:r>
        <w:rPr>
          <w:rFonts w:ascii="Arial" w:cs="Arial" w:eastAsia="Arial" w:hAnsi="Arial"/>
          <w:sz w:val="14"/>
          <w:szCs w:val="14"/>
          <w:color w:val="auto"/>
        </w:rPr>
        <w:t>The Company accounts for all stock-based compensation granted to employees and non-employees using a fair value method. Stock-based compensation awarded to employees is measured at the grant date fair value of stock option grants and is recognized over the requisite service period of the awards, usually the vesting period, on a straight-line basis, net of estimated forfeitures. Stock-based compensation awarded to non-employees are subject to revaluation over their vesting terms. The Company reduces recorded stock-based compensation for estimated forfeitures. To the extent that actual forfeitures differ from the Company's estimates, the differences are recorded as a cumulative adjustment in the period the estimates were adjusted. Stock-based compensation expense recognized in the financial statements is based on awards that are ultimately expected to vest.</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Comprehensive loss</w:t>
      </w:r>
    </w:p>
    <w:p>
      <w:pPr>
        <w:spacing w:after="0" w:line="195" w:lineRule="exact"/>
        <w:rPr>
          <w:sz w:val="20"/>
          <w:szCs w:val="20"/>
          <w:color w:val="auto"/>
        </w:rPr>
      </w:pPr>
    </w:p>
    <w:p>
      <w:pPr>
        <w:ind w:left="7" w:right="140"/>
        <w:spacing w:after="0" w:line="301" w:lineRule="auto"/>
        <w:rPr>
          <w:sz w:val="20"/>
          <w:szCs w:val="20"/>
          <w:color w:val="auto"/>
        </w:rPr>
      </w:pPr>
      <w:r>
        <w:rPr>
          <w:rFonts w:ascii="Arial" w:cs="Arial" w:eastAsia="Arial" w:hAnsi="Arial"/>
          <w:sz w:val="13"/>
          <w:szCs w:val="13"/>
          <w:color w:val="auto"/>
        </w:rPr>
        <w:t>Comprehensive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loss consists of both: (i) all components of net loss and</w:t>
      </w:r>
    </w:p>
    <w:p>
      <w:pPr>
        <w:ind w:left="7" w:right="340" w:hanging="7"/>
        <w:spacing w:after="0" w:line="275" w:lineRule="auto"/>
        <w:tabs>
          <w:tab w:leader="none" w:pos="229"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all components of comprehensive loss other than net loss, referred to as other comprehensive loss. For all periods presented, other comprehensive loss is comprised solely of foreign currency translation adjustments.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Net loss per share</w:t>
      </w:r>
    </w:p>
    <w:p>
      <w:pPr>
        <w:spacing w:after="0" w:line="195" w:lineRule="exact"/>
        <w:rPr>
          <w:sz w:val="20"/>
          <w:szCs w:val="20"/>
          <w:color w:val="auto"/>
        </w:rPr>
      </w:pPr>
    </w:p>
    <w:p>
      <w:pPr>
        <w:ind w:left="7" w:right="100"/>
        <w:spacing w:after="0" w:line="266" w:lineRule="auto"/>
        <w:rPr>
          <w:sz w:val="20"/>
          <w:szCs w:val="20"/>
          <w:color w:val="auto"/>
        </w:rPr>
      </w:pPr>
      <w:r>
        <w:rPr>
          <w:rFonts w:ascii="Arial" w:cs="Arial" w:eastAsia="Arial" w:hAnsi="Arial"/>
          <w:sz w:val="15"/>
          <w:szCs w:val="15"/>
          <w:color w:val="auto"/>
        </w:rPr>
        <w:t>Because the outstanding preferred stock is considered a participating security, the Company utilizes the "two-class" method of computing earnings per share. Under the "two-class" method, in periods in which the Company would report income from continuing operations, such income would be reduced by any dividends directly attributable to the preferred stock and the remainder would then be allocated between the preferred stock and the common stock based on their proportionate as converted interest. Net losses are not allocated to preferred stockholders as they do not have an obligation to share in the Company's net losses.</w:t>
      </w:r>
    </w:p>
    <w:p>
      <w:pPr>
        <w:spacing w:after="0" w:line="162" w:lineRule="exact"/>
        <w:rPr>
          <w:sz w:val="20"/>
          <w:szCs w:val="20"/>
          <w:color w:val="auto"/>
        </w:rPr>
      </w:pPr>
    </w:p>
    <w:p>
      <w:pPr>
        <w:ind w:left="7" w:right="20"/>
        <w:spacing w:after="0" w:line="319" w:lineRule="auto"/>
        <w:rPr>
          <w:sz w:val="20"/>
          <w:szCs w:val="20"/>
          <w:color w:val="auto"/>
        </w:rPr>
      </w:pPr>
      <w:r>
        <w:rPr>
          <w:rFonts w:ascii="Arial" w:cs="Arial" w:eastAsia="Arial" w:hAnsi="Arial"/>
          <w:sz w:val="13"/>
          <w:szCs w:val="13"/>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anti-dilutive and basic and diluted loss per share have been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6630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3" w:right="219" w:bottom="1440" w:gutter="0" w:footer="0" w:header="0"/>
        </w:sectPr>
      </w:pPr>
    </w:p>
    <w:bookmarkStart w:id="247" w:name="page248"/>
    <w:bookmarkEnd w:id="24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rent</w:t>
      </w:r>
    </w:p>
    <w:p>
      <w:pPr>
        <w:spacing w:after="0" w:line="195"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Rent expense and lease incentives from operating leases are recognized on a straight-line basis over the lease term. The difference between rent expense recognized and rental payments is recorded as deferred rent in the accompanying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liabilities</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 xml:space="preserve">The Company accounts for its contingent liabilities in accordance with ASC No. 450, </w:t>
      </w:r>
      <w:r>
        <w:rPr>
          <w:rFonts w:ascii="Arial" w:cs="Arial" w:eastAsia="Arial" w:hAnsi="Arial"/>
          <w:sz w:val="14"/>
          <w:szCs w:val="14"/>
          <w:i w:val="1"/>
          <w:iCs w:val="1"/>
          <w:color w:val="auto"/>
        </w:rPr>
        <w:t>Contingencies</w:t>
      </w:r>
      <w:r>
        <w:rPr>
          <w:rFonts w:ascii="Arial" w:cs="Arial" w:eastAsia="Arial" w:hAnsi="Arial"/>
          <w:sz w:val="14"/>
          <w:szCs w:val="14"/>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December 31, 2014 and 2015, and at March 31, 2016, the Company was not a party to any ligation that could have a material adverse effect on the Company's business,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issuance costs</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Direct and incremental legal and accounting costs associated with the Company's proposed initial public offering totaled approximately $2.5 million through March 31, 2016. Such costs are recorded as Other assets on the Consolidated Balance Sheet and will be used as an offset against the proceeds received in the offering. If the proposed initial public offering were no longer probable of occurring, the deferred costs would be expensed at that time.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Guarantees and indemnifications</w:t>
      </w:r>
    </w:p>
    <w:p>
      <w:pPr>
        <w:spacing w:after="0" w:line="19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As permitted under Delaware law, the Company indemnifies its officers, directors, consultants and employees for certain events or occurrences that happen by reason of the relationship with, or position held at, the Company. Through March 31, 2016,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right="20"/>
        <w:spacing w:after="0" w:line="310" w:lineRule="auto"/>
        <w:rPr>
          <w:sz w:val="20"/>
          <w:szCs w:val="20"/>
          <w:color w:val="auto"/>
        </w:rPr>
      </w:pPr>
      <w:r>
        <w:rPr>
          <w:rFonts w:ascii="Arial" w:cs="Arial" w:eastAsia="Arial" w:hAnsi="Arial"/>
          <w:sz w:val="13"/>
          <w:szCs w:val="13"/>
          <w:color w:val="auto"/>
        </w:rPr>
        <w:t xml:space="preserve">In May 2014, the FASB issued ASU No. 2014-09,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xml:space="preserve"> ("ASU 2014-09"), which amends the guidance for revenue recognition to replace numerous industry- specific requirements. ASU 2014-09 implements a five-step process for customer contract revenue recognition that focuses on transfer of control, as opposed to transfer of risk and rewards. ASU 2014-09 also requires enhanced disclosures regarding the nature, amount, timing, and uncertainty of revenues and cash flows from contracts with customers. Other major provisions include ensuring the time value of money is considered in the transaction price, and allowing estimates of variable consideration to be recognized before contingencies are resolved in certain circumstances. The amendments in ASU 2014-09 are effective for reporting periods beginning after December 15, 2017. Early adoption is permitted, but not before December 15, 2016. Entities can transition to the standard either retrospectively or as a cumulative-effect adjustment as of the date of adoption.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48" w:name="page249"/>
    <w:bookmarkEnd w:id="24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currently in the process of evaluating the effect the adoption of ASU 2014-09 may have on its financial statements.</w:t>
      </w:r>
    </w:p>
    <w:p>
      <w:pPr>
        <w:spacing w:after="0" w:line="198"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 xml:space="preserve">In August 2014, the FASB issued ASU 2014-15, </w:t>
      </w:r>
      <w:r>
        <w:rPr>
          <w:rFonts w:ascii="Arial" w:cs="Arial" w:eastAsia="Arial" w:hAnsi="Arial"/>
          <w:sz w:val="14"/>
          <w:szCs w:val="14"/>
          <w:i w:val="1"/>
          <w:iCs w:val="1"/>
          <w:color w:val="auto"/>
        </w:rPr>
        <w:t>Presentation of Financial Statements-Going Concern</w:t>
      </w:r>
      <w:r>
        <w:rPr>
          <w:rFonts w:ascii="Arial" w:cs="Arial" w:eastAsia="Arial" w:hAnsi="Arial"/>
          <w:sz w:val="14"/>
          <w:szCs w:val="14"/>
          <w:color w:val="auto"/>
        </w:rPr>
        <w:t xml:space="preserve"> ("ASU 2014-15"). ASU 2014-15 requires management to assess an entity's ability to continue as a going concern and to provide related disclosures in certain circumstances. The requirement of ASU 2014-15 will be effective for the annual financial statement period beginning after December 15, 2016, with early adoption permitted. The Company is currently in the process of evaluating the impact of adopting ASU 2014-15.</w:t>
      </w:r>
    </w:p>
    <w:p>
      <w:pPr>
        <w:spacing w:after="0" w:line="144"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 xml:space="preserve">In February 2016, FASB issued ASU No.2016-02,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It also aligns lease accounting for lessors with the revenue recognition guidance in ASU 2014-09. ASU 2016-02 is effective for fiscal years beginning after December 15, 2018, including interim periods within those fiscal years, and is to be applied at the beginning of the earliest period presented using a modified retrospective approach.</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Net loss per share</w:t>
      </w:r>
    </w:p>
    <w:p>
      <w:pPr>
        <w:spacing w:after="0" w:line="195"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Because the Company has reported a net loss attributable to common stockholders for all periods presented, basic and diluted net loss per share attributable to common stockholders are the same for those periods. All Preferred Stock, common stock warrants, Preferred Stock warrants, and stock options have been excluded from the computation of diluted weighted average shares outstanding because such securities would have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49" w:name="page250"/>
    <w:bookmarkEnd w:id="24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computation of basic and diluted net loss per share and has been retrospectively adjusted to reflect the effect of a reverse common stock split effected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June 2016 (in thousands, except share and per-share data):</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6"/>
          </w:tcPr>
          <w:p>
            <w:pPr>
              <w:jc w:val="right"/>
              <w:ind w:right="28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spacing w:after="0"/>
              <w:rPr>
                <w:sz w:val="20"/>
                <w:szCs w:val="20"/>
                <w:color w:val="auto"/>
              </w:rPr>
            </w:pPr>
            <w:r>
              <w:rPr>
                <w:rFonts w:ascii="Arial" w:cs="Arial" w:eastAsia="Arial" w:hAnsi="Arial"/>
                <w:sz w:val="12"/>
                <w:szCs w:val="12"/>
                <w:b w:val="1"/>
                <w:bCs w:val="1"/>
                <w:color w:val="auto"/>
              </w:rPr>
              <w:t>March 31,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4"/>
          </w:tcPr>
          <w:p>
            <w:pPr>
              <w:jc w:val="right"/>
              <w:spacing w:after="0" w:line="120" w:lineRule="exact"/>
              <w:rPr>
                <w:sz w:val="20"/>
                <w:szCs w:val="20"/>
                <w:color w:val="auto"/>
              </w:rPr>
            </w:pPr>
            <w:r>
              <w:rPr>
                <w:rFonts w:ascii="Arial" w:cs="Arial" w:eastAsia="Arial" w:hAnsi="Arial"/>
                <w:sz w:val="12"/>
                <w:szCs w:val="12"/>
                <w:b w:val="1"/>
                <w:bCs w:val="1"/>
                <w:color w:val="auto"/>
              </w:rPr>
              <w:t>(unaudited)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5"/>
                <w:szCs w:val="15"/>
                <w:color w:val="auto"/>
              </w:rPr>
              <w:t>Net (loss)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(12,880)</w:t>
            </w:r>
          </w:p>
        </w:tc>
        <w:tc>
          <w:tcPr>
            <w:tcW w:w="220" w:type="dxa"/>
            <w:vAlign w:val="bottom"/>
            <w:gridSpan w:val="2"/>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(25,174)</w:t>
            </w: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(5,733)</w:t>
            </w:r>
          </w:p>
        </w:tc>
        <w:tc>
          <w:tcPr>
            <w:tcW w:w="280" w:type="dxa"/>
            <w:vAlign w:val="bottom"/>
            <w:gridSpan w:val="2"/>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(7,476)</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accretion on preferred stock</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(4,951)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(7,335)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(1,561)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(2,356)</w:t>
            </w:r>
          </w:p>
        </w:tc>
        <w:tc>
          <w:tcPr>
            <w:tcW w:w="0" w:type="dxa"/>
            <w:vAlign w:val="bottom"/>
          </w:tcPr>
          <w:p>
            <w:pPr>
              <w:spacing w:after="0"/>
              <w:rPr>
                <w:sz w:val="1"/>
                <w:szCs w:val="1"/>
                <w:color w:val="auto"/>
              </w:rPr>
            </w:pPr>
          </w:p>
        </w:tc>
      </w:tr>
      <w:tr>
        <w:trPr>
          <w:trHeight w:val="185"/>
        </w:trPr>
        <w:tc>
          <w:tcPr>
            <w:tcW w:w="5120" w:type="dxa"/>
            <w:vAlign w:val="bottom"/>
          </w:tcPr>
          <w:p>
            <w:pPr>
              <w:ind w:left="160"/>
              <w:spacing w:after="0"/>
              <w:rPr>
                <w:sz w:val="20"/>
                <w:szCs w:val="20"/>
                <w:color w:val="auto"/>
              </w:rPr>
            </w:pPr>
            <w:r>
              <w:rPr>
                <w:rFonts w:ascii="Arial" w:cs="Arial" w:eastAsia="Arial" w:hAnsi="Arial"/>
                <w:sz w:val="15"/>
                <w:szCs w:val="15"/>
                <w:color w:val="auto"/>
              </w:rPr>
              <w:t>Net effect of extinguishment of preferred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1,459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(16,372)</w:t>
            </w:r>
          </w:p>
        </w:tc>
        <w:tc>
          <w:tcPr>
            <w:tcW w:w="22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(32,509)</w:t>
            </w: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(7,294)</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2,090,677</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2,150,422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2,126,878</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(7.84)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5"/>
              <w:spacing w:after="0" w:line="160"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(15.13)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(3.43)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5"/>
              <w:spacing w:after="0" w:line="160"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60" w:lineRule="exact"/>
              <w:rPr>
                <w:sz w:val="20"/>
                <w:szCs w:val="20"/>
                <w:color w:val="auto"/>
              </w:rPr>
            </w:pPr>
            <w:r>
              <w:rPr>
                <w:rFonts w:ascii="Arial" w:cs="Arial" w:eastAsia="Arial" w:hAnsi="Arial"/>
                <w:sz w:val="15"/>
                <w:szCs w:val="15"/>
                <w:color w:val="auto"/>
              </w:rPr>
              <w:t>(4.52)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Potential common shares issuable upon conversion of Preferred Stock, warrants to purchase common or Preferred Stock, and stock options that are excluded from the computation of diluted weighted average shares outstanding are as follows: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5300" w:type="dxa"/>
            <w:vAlign w:val="bottom"/>
          </w:tcPr>
          <w:p>
            <w:pPr>
              <w:spacing w:after="0"/>
              <w:rPr>
                <w:sz w:val="12"/>
                <w:szCs w:val="12"/>
                <w:color w:val="auto"/>
              </w:rPr>
            </w:pPr>
          </w:p>
        </w:tc>
        <w:tc>
          <w:tcPr>
            <w:tcW w:w="17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2"/>
                <w:szCs w:val="12"/>
                <w:color w:val="auto"/>
              </w:rPr>
            </w:pPr>
          </w:p>
        </w:tc>
        <w:tc>
          <w:tcPr>
            <w:tcW w:w="19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rPr>
              <w:t>March 31,</w:t>
            </w:r>
          </w:p>
        </w:tc>
      </w:tr>
      <w:tr>
        <w:trPr>
          <w:trHeight w:val="154"/>
        </w:trPr>
        <w:tc>
          <w:tcPr>
            <w:tcW w:w="530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2014</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2015</w:t>
            </w:r>
          </w:p>
        </w:tc>
        <w:tc>
          <w:tcPr>
            <w:tcW w:w="1000" w:type="dxa"/>
            <w:vAlign w:val="bottom"/>
            <w:tcBorders>
              <w:top w:val="single" w:sz="8" w:color="auto"/>
              <w:bottom w:val="single" w:sz="8" w:color="auto"/>
            </w:tcBorders>
            <w:gridSpan w:val="2"/>
          </w:tcPr>
          <w:p>
            <w:pPr>
              <w:jc w:val="right"/>
              <w:ind w:right="2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5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Redeemable 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9,890,580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6,471,358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9,890,580</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Stock options to purchase common stock</w:t>
            </w:r>
          </w:p>
        </w:tc>
        <w:tc>
          <w:tcPr>
            <w:tcW w:w="780" w:type="dxa"/>
            <w:vAlign w:val="bottom"/>
          </w:tcPr>
          <w:p>
            <w:pPr>
              <w:jc w:val="right"/>
              <w:spacing w:after="0"/>
              <w:rPr>
                <w:sz w:val="20"/>
                <w:szCs w:val="20"/>
                <w:color w:val="auto"/>
              </w:rPr>
            </w:pPr>
            <w:r>
              <w:rPr>
                <w:rFonts w:ascii="Arial" w:cs="Arial" w:eastAsia="Arial" w:hAnsi="Arial"/>
                <w:sz w:val="15"/>
                <w:szCs w:val="15"/>
                <w:color w:val="auto"/>
              </w:rPr>
              <w:t>1,143,237</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1,569,379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1,247,562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1,736,682</w:t>
            </w:r>
          </w:p>
        </w:tc>
        <w:tc>
          <w:tcPr>
            <w:tcW w:w="140" w:type="dxa"/>
            <w:vAlign w:val="bottom"/>
          </w:tcPr>
          <w:p>
            <w:pPr>
              <w:spacing w:after="0"/>
              <w:rPr>
                <w:sz w:val="16"/>
                <w:szCs w:val="16"/>
                <w:color w:val="auto"/>
              </w:rPr>
            </w:pPr>
          </w:p>
        </w:tc>
      </w:tr>
      <w:tr>
        <w:trPr>
          <w:trHeight w:val="185"/>
        </w:trPr>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Stock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00" w:type="dxa"/>
            <w:vAlign w:val="bottom"/>
          </w:tcPr>
          <w:p>
            <w:pPr>
              <w:spacing w:after="0"/>
              <w:rPr>
                <w:sz w:val="20"/>
                <w:szCs w:val="20"/>
                <w:color w:val="auto"/>
              </w:rPr>
            </w:pPr>
            <w:r>
              <w:rPr>
                <w:rFonts w:ascii="Arial" w:cs="Arial" w:eastAsia="Arial" w:hAnsi="Arial"/>
                <w:sz w:val="15"/>
                <w:szCs w:val="15"/>
                <w:color w:val="auto"/>
              </w:rPr>
              <w:t>Redeemable convertible preferred stock warrants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17,094</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26,832</w:t>
            </w:r>
          </w:p>
        </w:tc>
        <w:tc>
          <w:tcPr>
            <w:tcW w:w="140" w:type="dxa"/>
            <w:vAlign w:val="bottom"/>
          </w:tcPr>
          <w:p>
            <w:pPr>
              <w:spacing w:after="0"/>
              <w:rPr>
                <w:sz w:val="16"/>
                <w:szCs w:val="16"/>
                <w:color w:val="auto"/>
              </w:rPr>
            </w:pPr>
          </w:p>
        </w:tc>
      </w:tr>
      <w:tr>
        <w:trPr>
          <w:trHeight w:val="177"/>
        </w:trPr>
        <w:tc>
          <w:tcPr>
            <w:tcW w:w="5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7,631,689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12,137,409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7,736,014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12,304,712</w:t>
            </w:r>
          </w:p>
        </w:tc>
        <w:tc>
          <w:tcPr>
            <w:tcW w:w="140" w:type="dxa"/>
            <w:vAlign w:val="bottom"/>
            <w:shd w:val="clear" w:color="auto" w:fill="CCEEFF"/>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unaudited pro forma basic and diluted net loss per share attributable to common stockholders for the year ended December 31, 2015, and the three months ended March 31, 2016, has been computed using the weighted average common shares outstanding after giving pro forma effect to the automatic conversion of all shares of Preferred Stock into shares of common stock, the automatic conversion of all Preferred Stock warrants into common stock warrants, and the automatic net exercise of warrants to purchase common stock upon the filing of a registration statement on Form S-1 as if such conversions or exercises had occurred at the beginning of 2015 or the date of original issuance,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50" w:name="page251"/>
    <w:bookmarkEnd w:id="25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computation of the pro forma net loss per share (in thousands, except share and per share data):</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Three</w:t>
            </w:r>
          </w:p>
        </w:tc>
        <w:tc>
          <w:tcPr>
            <w:tcW w:w="0" w:type="dxa"/>
            <w:vAlign w:val="bottom"/>
          </w:tcPr>
          <w:p>
            <w:pPr>
              <w:spacing w:after="0"/>
              <w:rPr>
                <w:sz w:val="1"/>
                <w:szCs w:val="1"/>
                <w:color w:val="auto"/>
              </w:rPr>
            </w:pPr>
          </w:p>
        </w:tc>
      </w:t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months</w:t>
            </w:r>
          </w:p>
        </w:tc>
        <w:tc>
          <w:tcPr>
            <w:tcW w:w="0" w:type="dxa"/>
            <w:vAlign w:val="bottom"/>
          </w:tcPr>
          <w:p>
            <w:pPr>
              <w:spacing w:after="0"/>
              <w:rPr>
                <w:sz w:val="1"/>
                <w:szCs w:val="1"/>
                <w:color w:val="auto"/>
              </w:rPr>
            </w:pPr>
          </w:p>
        </w:tc>
      </w:tr>
      <w:tr>
        <w:trPr>
          <w:trHeight w:val="13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54"/>
        </w:trPr>
        <w:tc>
          <w:tcPr>
            <w:tcW w:w="6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88"/>
              </w:rPr>
              <w:t>(unaudited)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0"/>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Numerator: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(32,509)</w:t>
            </w: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(9,832)</w:t>
            </w:r>
          </w:p>
        </w:tc>
        <w:tc>
          <w:tcPr>
            <w:tcW w:w="0" w:type="dxa"/>
            <w:vAlign w:val="bottom"/>
          </w:tcPr>
          <w:p>
            <w:pPr>
              <w:spacing w:after="0"/>
              <w:rPr>
                <w:sz w:val="1"/>
                <w:szCs w:val="1"/>
                <w:color w:val="auto"/>
              </w:rPr>
            </w:pPr>
          </w:p>
        </w:tc>
      </w:tr>
      <w:tr>
        <w:trPr>
          <w:trHeight w:val="185"/>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Less: accrued dividends and accretion on preferred stock</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ind w:left="160"/>
              <w:spacing w:after="0"/>
              <w:rPr>
                <w:sz w:val="20"/>
                <w:szCs w:val="20"/>
                <w:color w:val="auto"/>
              </w:rPr>
            </w:pPr>
            <w:r>
              <w:rPr>
                <w:rFonts w:ascii="Arial" w:cs="Arial" w:eastAsia="Arial" w:hAnsi="Arial"/>
                <w:sz w:val="15"/>
                <w:szCs w:val="15"/>
                <w:color w:val="auto"/>
              </w:rPr>
              <w:t>Change in fair value of preferred stock warrants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(83)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common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(25,257)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(7,456)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5"/>
                <w:szCs w:val="15"/>
                <w:b w:val="1"/>
                <w:bCs w:val="1"/>
                <w:color w:val="auto"/>
              </w:rPr>
              <w:t>Denominator:</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outstanding—basic and diluted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2,150,472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2,175,037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Adjustment for assumed conversion of preferred stock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7,637,239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9,890,580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w w:val="92"/>
              </w:rPr>
              <w:t>Adjustment for assumed effect of cashless conversion of common stock warrants issued with Series E preferred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192,809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567,306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9,980,469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12,632,923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Net loss per share attributable to common stockholders—basic and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(2.53)</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Fair Value Measurements</w:t>
      </w:r>
    </w:p>
    <w:p>
      <w:pPr>
        <w:spacing w:after="0" w:line="195"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The tables below present information about the Company's financial assets and liabilities that are measured and carried at fair value as of December 31, 2014 and 2015 (in thousands) and indicate the level within the fair value hierarchy where each measurement is classified.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8"/>
          </w:tcPr>
          <w:p>
            <w:pPr>
              <w:ind w:left="120"/>
              <w:spacing w:after="0"/>
              <w:rPr>
                <w:sz w:val="20"/>
                <w:szCs w:val="20"/>
                <w:color w:val="auto"/>
              </w:rPr>
            </w:pPr>
            <w:r>
              <w:rPr>
                <w:rFonts w:ascii="Arial" w:cs="Arial" w:eastAsia="Arial" w:hAnsi="Arial"/>
                <w:sz w:val="12"/>
                <w:szCs w:val="12"/>
                <w:b w:val="1"/>
                <w:bCs w:val="1"/>
                <w:color w:val="auto"/>
                <w:w w:val="98"/>
              </w:rPr>
              <w:t>December 31, 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rPr>
              <w:t>(level 2)</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8"/>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left w:val="single" w:sz="8" w:color="CCEEFF"/>
            </w:tcBorders>
            <w:gridSpan w:val="2"/>
            <w:shd w:val="clear" w:color="auto" w:fill="CCEEFF"/>
          </w:tcPr>
          <w:p>
            <w:pPr>
              <w:jc w:val="right"/>
              <w:ind w:right="211"/>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236</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21"/>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9"/>
          </w:tcPr>
          <w:p>
            <w:pPr>
              <w:ind w:left="20"/>
              <w:spacing w:after="0"/>
              <w:rPr>
                <w:sz w:val="20"/>
                <w:szCs w:val="20"/>
                <w:color w:val="auto"/>
              </w:rPr>
            </w:pPr>
            <w:r>
              <w:rPr>
                <w:rFonts w:ascii="Arial" w:cs="Arial" w:eastAsia="Arial" w:hAnsi="Arial"/>
                <w:sz w:val="12"/>
                <w:szCs w:val="12"/>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2"/>
                <w:szCs w:val="12"/>
                <w:b w:val="1"/>
                <w:bCs w:val="1"/>
                <w:color w:val="auto"/>
                <w:w w:val="98"/>
              </w:rPr>
              <w:t>(level 1)</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(level 2)</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6"/>
          </w:tcPr>
          <w:p>
            <w:pPr>
              <w:ind w:left="40"/>
              <w:spacing w:after="0"/>
              <w:rPr>
                <w:sz w:val="20"/>
                <w:szCs w:val="20"/>
                <w:color w:val="auto"/>
              </w:rPr>
            </w:pPr>
            <w:r>
              <w:rPr>
                <w:rFonts w:ascii="Arial" w:cs="Arial" w:eastAsia="Arial" w:hAnsi="Arial"/>
                <w:sz w:val="12"/>
                <w:szCs w:val="12"/>
                <w:b w:val="1"/>
                <w:bCs w:val="1"/>
                <w:color w:val="auto"/>
              </w:rPr>
              <w:t>(level 3)</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14,486</w:t>
            </w:r>
          </w:p>
        </w:tc>
        <w:tc>
          <w:tcPr>
            <w:tcW w:w="14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360" w:type="dxa"/>
            <w:vAlign w:val="bottom"/>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3,516</w:t>
            </w:r>
          </w:p>
        </w:tc>
        <w:tc>
          <w:tcPr>
            <w:tcW w:w="1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2"/>
              </w:rPr>
              <w:t>Warrants to purchase redeemable convertible preferred stock, included in other long 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jc w:val="center"/>
              <w:ind w:left="151"/>
              <w:spacing w:after="0"/>
              <w:rPr>
                <w:sz w:val="20"/>
                <w:szCs w:val="20"/>
                <w:color w:val="auto"/>
              </w:rPr>
            </w:pPr>
            <w:r>
              <w:rPr>
                <w:rFonts w:ascii="Arial" w:cs="Arial" w:eastAsia="Arial" w:hAnsi="Arial"/>
                <w:sz w:val="15"/>
                <w:szCs w:val="15"/>
                <w:color w:val="auto"/>
                <w:w w:val="93"/>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290</w:t>
            </w:r>
          </w:p>
        </w:tc>
        <w:tc>
          <w:tcPr>
            <w:tcW w:w="12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1" w:name="page252"/>
    <w:bookmarkEnd w:id="25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200" w:lineRule="exact"/>
        <w:rPr>
          <w:sz w:val="20"/>
          <w:szCs w:val="20"/>
          <w:color w:val="auto"/>
        </w:rPr>
      </w:pP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11"/>
          </w:tcPr>
          <w:p>
            <w:pPr>
              <w:jc w:val="center"/>
              <w:ind w:right="300"/>
              <w:spacing w:after="0"/>
              <w:rPr>
                <w:sz w:val="20"/>
                <w:szCs w:val="20"/>
                <w:color w:val="auto"/>
              </w:rPr>
            </w:pPr>
            <w:r>
              <w:rPr>
                <w:rFonts w:ascii="Arial" w:cs="Arial" w:eastAsia="Arial" w:hAnsi="Arial"/>
                <w:sz w:val="12"/>
                <w:szCs w:val="12"/>
                <w:b w:val="1"/>
                <w:bCs w:val="1"/>
                <w:color w:val="auto"/>
              </w:rPr>
              <w:t>Three months ended March 31, 2016</w:t>
            </w:r>
          </w:p>
        </w:tc>
      </w:tr>
      <w:tr>
        <w:trPr>
          <w:trHeight w:val="154"/>
        </w:trPr>
        <w:tc>
          <w:tcPr>
            <w:tcW w:w="6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(level 1)</w:t>
            </w: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(level 3)</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r>
      <w:tr>
        <w:trPr>
          <w:trHeight w:val="119"/>
        </w:trPr>
        <w:tc>
          <w:tcPr>
            <w:tcW w:w="6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jc w:val="center"/>
              <w:ind w:left="9"/>
              <w:spacing w:after="0" w:line="120" w:lineRule="exact"/>
              <w:rPr>
                <w:sz w:val="20"/>
                <w:szCs w:val="20"/>
                <w:color w:val="auto"/>
              </w:rPr>
            </w:pPr>
            <w:r>
              <w:rPr>
                <w:rFonts w:ascii="Arial" w:cs="Arial" w:eastAsia="Arial" w:hAnsi="Arial"/>
                <w:sz w:val="12"/>
                <w:szCs w:val="12"/>
                <w:b w:val="1"/>
                <w:bCs w:val="1"/>
                <w:color w:val="auto"/>
                <w:w w:val="88"/>
              </w:rPr>
              <w:t>(unaudited)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US Treasury obligations, included in cash equivalents</w:t>
            </w: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34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6"/>
                <w:szCs w:val="16"/>
                <w:color w:val="auto"/>
              </w:rPr>
            </w:pPr>
          </w:p>
        </w:tc>
      </w:tr>
      <w:tr>
        <w:trPr>
          <w:trHeight w:val="185"/>
        </w:trPr>
        <w:tc>
          <w:tcPr>
            <w:tcW w:w="6140" w:type="dxa"/>
            <w:vAlign w:val="bottom"/>
          </w:tcPr>
          <w:p>
            <w:pPr>
              <w:spacing w:after="0"/>
              <w:rPr>
                <w:sz w:val="20"/>
                <w:szCs w:val="20"/>
                <w:color w:val="auto"/>
              </w:rPr>
            </w:pPr>
            <w:r>
              <w:rPr>
                <w:rFonts w:ascii="Arial" w:cs="Arial" w:eastAsia="Arial" w:hAnsi="Arial"/>
                <w:sz w:val="15"/>
                <w:szCs w:val="15"/>
                <w:color w:val="auto"/>
              </w:rPr>
              <w:t>US Treasury obligations, included in investments</w:t>
            </w:r>
          </w:p>
        </w:tc>
        <w:tc>
          <w:tcPr>
            <w:tcW w:w="34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6,928</w:t>
            </w:r>
          </w:p>
        </w:tc>
        <w:tc>
          <w:tcPr>
            <w:tcW w:w="340" w:type="dxa"/>
            <w:vAlign w:val="bottom"/>
            <w:gridSpan w:val="2"/>
          </w:tcPr>
          <w:p>
            <w:pPr>
              <w:jc w:val="right"/>
              <w:ind w:right="71"/>
              <w:spacing w:after="0"/>
              <w:rPr>
                <w:sz w:val="20"/>
                <w:szCs w:val="20"/>
                <w:color w:val="auto"/>
              </w:rPr>
            </w:pPr>
            <w:r>
              <w:rPr>
                <w:rFonts w:ascii="Arial" w:cs="Arial" w:eastAsia="Arial" w:hAnsi="Arial"/>
                <w:sz w:val="15"/>
                <w:szCs w:val="15"/>
                <w:color w:val="auto"/>
              </w:rPr>
              <w:t>$</w:t>
            </w:r>
          </w:p>
        </w:tc>
        <w:tc>
          <w:tcPr>
            <w:tcW w:w="360" w:type="dxa"/>
            <w:vAlign w:val="bottom"/>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6,928</w:t>
            </w:r>
          </w:p>
        </w:tc>
        <w:tc>
          <w:tcPr>
            <w:tcW w:w="140" w:type="dxa"/>
            <w:vAlign w:val="bottom"/>
          </w:tcPr>
          <w:p>
            <w:pPr>
              <w:spacing w:after="0"/>
              <w:rPr>
                <w:sz w:val="16"/>
                <w:szCs w:val="16"/>
                <w:color w:val="auto"/>
              </w:rPr>
            </w:pPr>
          </w:p>
        </w:tc>
      </w:tr>
      <w:tr>
        <w:trPr>
          <w:trHeight w:val="185"/>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w w:val="93"/>
              </w:rPr>
              <w:t>Warrants to purchase redeemable convertible preferred stock, included in other long term liabilities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5"/>
                <w:szCs w:val="15"/>
                <w:color w:val="auto"/>
                <w:w w:val="93"/>
              </w:rPr>
              <w:t>—</w:t>
            </w:r>
          </w:p>
        </w:tc>
        <w:tc>
          <w:tcPr>
            <w:tcW w:w="420" w:type="dxa"/>
            <w:vAlign w:val="bottom"/>
            <w:gridSpan w:val="2"/>
            <w:shd w:val="clear" w:color="auto" w:fill="CCEEFF"/>
          </w:tcPr>
          <w:p>
            <w:pPr>
              <w:jc w:val="right"/>
              <w:ind w:right="1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40" w:type="dxa"/>
            <w:vAlign w:val="bottom"/>
            <w:shd w:val="clear" w:color="auto" w:fill="CCEEFF"/>
          </w:tcPr>
          <w:p>
            <w:pPr>
              <w:spacing w:after="0"/>
              <w:rPr>
                <w:sz w:val="16"/>
                <w:szCs w:val="16"/>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maturity date for US Treasury obligations, included in cash equivalents at December 31, 2015 was 34 days and for those included within investments at December 31, 2015 and for the three months ended March 31, 2016 was 106 days and between 15 and 45 days, respectively. Fair value of US Treasury obligations approximates amortized value.</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4"/>
          <w:szCs w:val="14"/>
          <w:color w:val="auto"/>
        </w:rPr>
        <w:t>In July 2015, the Company issued warrants for the purchase of 80,813 shares of common stock at an exercise price of $17.55 in connection with the issuance of convertible notes. These warrants expire three years from date of issuance. In August 2015, the Company issued warrants for the purchase of 569,791 shares of common stock at an exercise price of $0.04 in connection with the issuance of the Series E Preferred. Common stock warrants are classified as permanent equity which are initially recorded at issuance date fair value and are not subsequently re-measured. The warrants to purchase common stock issued at the same time as the Series E Preferred will automatically exercise on a cashless basis upon the filing of a registration statement on Form S-1. These warrants expire four years from date of issuance.</w:t>
      </w:r>
    </w:p>
    <w:p>
      <w:pPr>
        <w:spacing w:after="0" w:line="149" w:lineRule="exact"/>
        <w:rPr>
          <w:sz w:val="20"/>
          <w:szCs w:val="20"/>
          <w:color w:val="auto"/>
        </w:rPr>
      </w:pPr>
    </w:p>
    <w:p>
      <w:pPr>
        <w:jc w:val="both"/>
        <w:ind w:right="280"/>
        <w:spacing w:after="0" w:line="270" w:lineRule="auto"/>
        <w:rPr>
          <w:sz w:val="20"/>
          <w:szCs w:val="20"/>
          <w:color w:val="auto"/>
        </w:rPr>
      </w:pPr>
      <w:r>
        <w:rPr>
          <w:rFonts w:ascii="Arial" w:cs="Arial" w:eastAsia="Arial" w:hAnsi="Arial"/>
          <w:sz w:val="15"/>
          <w:szCs w:val="15"/>
          <w:color w:val="auto"/>
        </w:rPr>
        <w:t>In August 2013 and July 2014, in conjunction with the execution of a loan and security agreement (Note 8), the Company issued warrants to the lenders for the purchase of up to 66,668 shares of the Company's Series D redeemable convertible preferred stock ("Series D Preferred") at an exercise price of $4.50 per share. These warrants are classified as liabilities in the accompanying consolidated balance sheets. These warrants expire four years from the date of issuance.</w:t>
      </w:r>
    </w:p>
    <w:p>
      <w:pPr>
        <w:spacing w:after="0" w:line="15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December 2015, in conjunction with the execution of a loan and security agreement (Note 8), the Company issued warrants to the lenders for the purchase of up to 37,978 shares of the Company's Series E Preferred at an exercise price of $4.50 per share. These warrants are classified as liabilities in the accompanying consolidated balance sheets. These warrants expire four years from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following table sets forth a summary of the activities of the Company's Series D and Series E Preferred stock warrant liability which represents a recurring measurement that is classified within Level 3 of the fair value hierarchy wherein fair value is estimated using significant unobservable inputs: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9"/>
              <w:spacing w:after="0"/>
              <w:rPr>
                <w:sz w:val="20"/>
                <w:szCs w:val="20"/>
                <w:color w:val="auto"/>
              </w:rPr>
            </w:pPr>
            <w:r>
              <w:rPr>
                <w:rFonts w:ascii="Arial" w:cs="Arial" w:eastAsia="Arial" w:hAnsi="Arial"/>
                <w:sz w:val="12"/>
                <w:szCs w:val="12"/>
                <w:b w:val="1"/>
                <w:bCs w:val="1"/>
                <w:color w:val="auto"/>
                <w:w w:val="98"/>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ended</w:t>
            </w:r>
          </w:p>
        </w:tc>
      </w:tr>
      <w:tr>
        <w:trPr>
          <w:trHeight w:val="13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6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2"/>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40" w:type="dxa"/>
            <w:vAlign w:val="bottom"/>
            <w:shd w:val="clear" w:color="auto" w:fill="CCEEFF"/>
          </w:tcPr>
          <w:p>
            <w:pPr>
              <w:spacing w:after="0"/>
              <w:rPr>
                <w:sz w:val="16"/>
                <w:szCs w:val="16"/>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color w:val="auto"/>
              </w:rPr>
              <w:t>Fair value of additional warrants issued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Change in fair value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6"/>
                <w:szCs w:val="16"/>
                <w:color w:val="auto"/>
              </w:rPr>
            </w:pPr>
          </w:p>
        </w:tc>
      </w:tr>
      <w:tr>
        <w:trPr>
          <w:trHeight w:val="177"/>
        </w:trPr>
        <w:tc>
          <w:tcPr>
            <w:tcW w:w="608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310</w:t>
            </w:r>
          </w:p>
        </w:tc>
        <w:tc>
          <w:tcPr>
            <w:tcW w:w="140" w:type="dxa"/>
            <w:vAlign w:val="bottom"/>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64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D Preferred at an exercise price of $4.50 per share was estimated using Black-Scholes with the following assumptions as of December 31, 2014 and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160" w:type="dxa"/>
            <w:vAlign w:val="bottom"/>
          </w:tcPr>
          <w:p>
            <w:pPr>
              <w:spacing w:after="0"/>
              <w:rPr>
                <w:sz w:val="12"/>
                <w:szCs w:val="12"/>
                <w:color w:val="auto"/>
              </w:rPr>
            </w:pPr>
          </w:p>
        </w:tc>
        <w:tc>
          <w:tcPr>
            <w:tcW w:w="30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2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2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9.20</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w:t>
            </w:r>
          </w:p>
        </w:tc>
        <w:tc>
          <w:tcPr>
            <w:tcW w:w="140" w:type="dxa"/>
            <w:vAlign w:val="bottom"/>
            <w:shd w:val="clear" w:color="auto" w:fill="CCEEFF"/>
          </w:tcPr>
          <w:p>
            <w:pPr>
              <w:spacing w:after="0"/>
              <w:rPr>
                <w:sz w:val="16"/>
                <w:szCs w:val="16"/>
                <w:color w:val="auto"/>
              </w:rPr>
            </w:pPr>
          </w:p>
        </w:tc>
      </w:tr>
      <w:tr>
        <w:trPr>
          <w:trHeight w:val="185"/>
        </w:trPr>
        <w:tc>
          <w:tcPr>
            <w:tcW w:w="4160" w:type="dxa"/>
            <w:vAlign w:val="bottom"/>
          </w:tcPr>
          <w:p>
            <w:pPr>
              <w:spacing w:after="0"/>
              <w:rPr>
                <w:sz w:val="20"/>
                <w:szCs w:val="20"/>
                <w:color w:val="auto"/>
              </w:rPr>
            </w:pPr>
            <w:r>
              <w:rPr>
                <w:rFonts w:ascii="Arial" w:cs="Arial" w:eastAsia="Arial" w:hAnsi="Arial"/>
                <w:sz w:val="15"/>
                <w:szCs w:val="15"/>
                <w:color w:val="auto"/>
              </w:rPr>
              <w:t>Expected volatility</w:t>
            </w:r>
          </w:p>
        </w:tc>
        <w:tc>
          <w:tcPr>
            <w:tcW w:w="2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92.53%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85.83%</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85.26%</w:t>
            </w:r>
          </w:p>
        </w:tc>
      </w:tr>
      <w:tr>
        <w:trPr>
          <w:trHeight w:val="185"/>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220" w:type="dxa"/>
            <w:vAlign w:val="bottom"/>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4.18</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60"/>
        <w:spacing w:after="0" w:line="282" w:lineRule="auto"/>
        <w:rPr>
          <w:sz w:val="20"/>
          <w:szCs w:val="20"/>
          <w:color w:val="auto"/>
        </w:rPr>
      </w:pPr>
      <w:r>
        <w:rPr>
          <w:rFonts w:ascii="Arial" w:cs="Arial" w:eastAsia="Arial" w:hAnsi="Arial"/>
          <w:sz w:val="15"/>
          <w:szCs w:val="15"/>
          <w:color w:val="auto"/>
        </w:rPr>
        <w:t>The fair value of the warrants to purchase shares of the Company's Series E Preferred at an exercise price of $4.50 per share was estimated using Black-Scholes with the following assumptions as of December 31, 2015 and at March 31, 2016:</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680" w:type="dxa"/>
            <w:vAlign w:val="bottom"/>
          </w:tcPr>
          <w:p>
            <w:pPr>
              <w:spacing w:after="0"/>
              <w:rPr>
                <w:sz w:val="12"/>
                <w:szCs w:val="12"/>
                <w:color w:val="auto"/>
              </w:rPr>
            </w:pPr>
          </w:p>
        </w:tc>
        <w:tc>
          <w:tcPr>
            <w:tcW w:w="354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March 31,</w:t>
            </w:r>
          </w:p>
        </w:tc>
      </w:tr>
      <w:tr>
        <w:trPr>
          <w:trHeight w:val="167"/>
        </w:trPr>
        <w:tc>
          <w:tcPr>
            <w:tcW w:w="46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4"/>
                <w:szCs w:val="14"/>
                <w:color w:val="auto"/>
              </w:rPr>
            </w:pPr>
          </w:p>
        </w:tc>
      </w:tr>
      <w:tr>
        <w:trPr>
          <w:trHeight w:val="124"/>
        </w:trPr>
        <w:tc>
          <w:tcPr>
            <w:tcW w:w="46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Risk free interest rate</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1.75%</w:t>
            </w: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72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7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40" w:type="dxa"/>
            <w:vAlign w:val="bottom"/>
            <w:shd w:val="clear" w:color="auto" w:fill="CCEEFF"/>
          </w:tcPr>
          <w:p>
            <w:pPr>
              <w:spacing w:after="0"/>
              <w:rPr>
                <w:sz w:val="16"/>
                <w:szCs w:val="16"/>
                <w:color w:val="auto"/>
              </w:rPr>
            </w:pPr>
          </w:p>
        </w:tc>
      </w:tr>
      <w:tr>
        <w:trPr>
          <w:trHeight w:val="185"/>
        </w:trPr>
        <w:tc>
          <w:tcPr>
            <w:tcW w:w="4680" w:type="dxa"/>
            <w:vAlign w:val="bottom"/>
          </w:tcPr>
          <w:p>
            <w:pPr>
              <w:spacing w:after="0"/>
              <w:rPr>
                <w:sz w:val="20"/>
                <w:szCs w:val="20"/>
                <w:color w:val="auto"/>
              </w:rPr>
            </w:pPr>
            <w:r>
              <w:rPr>
                <w:rFonts w:ascii="Arial" w:cs="Arial" w:eastAsia="Arial" w:hAnsi="Arial"/>
                <w:sz w:val="15"/>
                <w:szCs w:val="15"/>
                <w:color w:val="auto"/>
              </w:rPr>
              <w:t>Expected volatility</w:t>
            </w:r>
          </w:p>
        </w:tc>
        <w:tc>
          <w:tcPr>
            <w:tcW w:w="27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82.22%</w:t>
            </w: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82.66%</w:t>
            </w:r>
          </w:p>
        </w:tc>
      </w:tr>
      <w:tr>
        <w:trPr>
          <w:trHeight w:val="185"/>
        </w:trPr>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Fair value of underlying instrument</w:t>
            </w:r>
          </w:p>
        </w:tc>
        <w:tc>
          <w:tcPr>
            <w:tcW w:w="2720" w:type="dxa"/>
            <w:vAlign w:val="bottom"/>
            <w:shd w:val="clear" w:color="auto" w:fill="CCEEFF"/>
          </w:tcPr>
          <w:p>
            <w:pPr>
              <w:jc w:val="right"/>
              <w:ind w:right="51"/>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ind w:right="620"/>
        <w:spacing w:after="0" w:line="297" w:lineRule="auto"/>
        <w:rPr>
          <w:sz w:val="20"/>
          <w:szCs w:val="20"/>
          <w:color w:val="auto"/>
        </w:rPr>
      </w:pPr>
      <w:r>
        <w:rPr>
          <w:rFonts w:ascii="Arial" w:cs="Arial" w:eastAsia="Arial" w:hAnsi="Arial"/>
          <w:sz w:val="14"/>
          <w:szCs w:val="14"/>
          <w:color w:val="auto"/>
        </w:rPr>
        <w:t>The risk-free interest rate used is the rate for a U.S. Treasury zero coupon issue with a term consistent with the remaining contractual term of the associated award on the date of measurement. The Company has not paid, and does not expect to pay, any cash dividends in the foreseeable future. The Company based the expected term assumption on the actual remaining contractual term of the respective warrants as of the date of measurement. Expected volatilities are based on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volatilities from guideline companies, since there is no active market for the Company's common stock. The fair value on the date of measurement of the Series D Preferred and the Series E Preferred, the underlying instruments, was estimated by management with the assistance of a third party valuation specialist.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Property and equipment consists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44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2015</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Laboratory equipment</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4,028</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4,337</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Computer equipment and software</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409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421</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Furniture and fixtures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222</w:t>
            </w:r>
          </w:p>
        </w:tc>
        <w:tc>
          <w:tcPr>
            <w:tcW w:w="140" w:type="dxa"/>
            <w:vAlign w:val="bottom"/>
          </w:tcPr>
          <w:p>
            <w:pPr>
              <w:spacing w:after="0"/>
              <w:rPr>
                <w:sz w:val="16"/>
                <w:szCs w:val="16"/>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Office equipment</w:t>
            </w: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6"/>
                <w:szCs w:val="16"/>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P,P&amp;E—Construction in process</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6"/>
                <w:szCs w:val="16"/>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property and equipment</w:t>
            </w:r>
          </w:p>
        </w:tc>
        <w:tc>
          <w:tcPr>
            <w:tcW w:w="2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5,169</w:t>
            </w:r>
          </w:p>
        </w:tc>
        <w:tc>
          <w:tcPr>
            <w:tcW w:w="140" w:type="dxa"/>
            <w:vAlign w:val="bottom"/>
            <w:shd w:val="clear" w:color="auto" w:fill="CCEEFF"/>
          </w:tcPr>
          <w:p>
            <w:pPr>
              <w:spacing w:after="0"/>
              <w:rPr>
                <w:sz w:val="15"/>
                <w:szCs w:val="15"/>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(2,778)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5"/>
                <w:szCs w:val="15"/>
                <w:color w:val="auto"/>
              </w:rPr>
              <w:t>(2,927)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(3,129)</w:t>
            </w: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7"/>
        </w:trPr>
        <w:tc>
          <w:tcPr>
            <w:tcW w:w="4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Property and equipment, net</w:t>
            </w:r>
          </w:p>
        </w:tc>
        <w:tc>
          <w:tcPr>
            <w:tcW w:w="2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2,040</w:t>
            </w:r>
          </w:p>
        </w:tc>
        <w:tc>
          <w:tcPr>
            <w:tcW w:w="140" w:type="dxa"/>
            <w:vAlign w:val="bottom"/>
            <w:shd w:val="clear" w:color="auto" w:fill="CCEEFF"/>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Depreciation expense for the years ended December 31, 2014 and 2015 was $0.9 million and $1.0 million, respectively, and $0.2 million for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Accrued expenses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Accrued expenses consist of the following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226"/>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Payroll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Legal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Bonus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Current portion of deferred rent and lease incentive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416</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Accrued patent fees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40" w:type="dxa"/>
            <w:vAlign w:val="bottom"/>
            <w:shd w:val="clear" w:color="auto" w:fill="CCEEFF"/>
          </w:tcPr>
          <w:p>
            <w:pPr>
              <w:spacing w:after="0"/>
              <w:rPr>
                <w:sz w:val="16"/>
                <w:szCs w:val="16"/>
                <w:color w:val="auto"/>
              </w:rPr>
            </w:pPr>
          </w:p>
        </w:tc>
      </w:tr>
      <w:tr>
        <w:trPr>
          <w:trHeight w:val="185"/>
        </w:trPr>
        <w:tc>
          <w:tcPr>
            <w:tcW w:w="6820" w:type="dxa"/>
            <w:vAlign w:val="bottom"/>
          </w:tcPr>
          <w:p>
            <w:pPr>
              <w:spacing w:after="0"/>
              <w:rPr>
                <w:sz w:val="20"/>
                <w:szCs w:val="20"/>
                <w:color w:val="auto"/>
              </w:rPr>
            </w:pPr>
            <w:r>
              <w:rPr>
                <w:rFonts w:ascii="Arial" w:cs="Arial" w:eastAsia="Arial" w:hAnsi="Arial"/>
                <w:sz w:val="15"/>
                <w:szCs w:val="15"/>
                <w:color w:val="auto"/>
              </w:rPr>
              <w:t>Accrued R&amp;D costs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1,090</w:t>
            </w:r>
          </w:p>
        </w:tc>
        <w:tc>
          <w:tcPr>
            <w:tcW w:w="140" w:type="dxa"/>
            <w:vAlign w:val="bottom"/>
          </w:tcPr>
          <w:p>
            <w:pPr>
              <w:spacing w:after="0"/>
              <w:rPr>
                <w:sz w:val="16"/>
                <w:szCs w:val="16"/>
                <w:color w:val="auto"/>
              </w:rPr>
            </w:pPr>
          </w:p>
        </w:tc>
      </w:tr>
      <w:tr>
        <w:trPr>
          <w:trHeight w:val="185"/>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40" w:type="dxa"/>
            <w:vAlign w:val="bottom"/>
            <w:shd w:val="clear" w:color="auto" w:fill="CCEEFF"/>
          </w:tcPr>
          <w:p>
            <w:pPr>
              <w:spacing w:after="0"/>
              <w:rPr>
                <w:sz w:val="16"/>
                <w:szCs w:val="16"/>
                <w:color w:val="auto"/>
              </w:rPr>
            </w:pPr>
          </w:p>
        </w:tc>
      </w:tr>
      <w:tr>
        <w:trPr>
          <w:trHeight w:val="177"/>
        </w:trPr>
        <w:tc>
          <w:tcPr>
            <w:tcW w:w="6820" w:type="dxa"/>
            <w:vAlign w:val="bottom"/>
          </w:tcPr>
          <w:p>
            <w:pPr>
              <w:spacing w:after="0"/>
              <w:rPr>
                <w:sz w:val="20"/>
                <w:szCs w:val="20"/>
                <w:color w:val="auto"/>
              </w:rPr>
            </w:pPr>
            <w:r>
              <w:rPr>
                <w:rFonts w:ascii="Arial" w:cs="Arial" w:eastAsia="Arial" w:hAnsi="Arial"/>
                <w:sz w:val="15"/>
                <w:szCs w:val="15"/>
                <w:color w:val="auto"/>
              </w:rPr>
              <w:t>Accrued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1,853</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3,185</w:t>
            </w:r>
          </w:p>
        </w:tc>
        <w:tc>
          <w:tcPr>
            <w:tcW w:w="14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0"/>
          </w:cols>
          <w:pgMar w:left="240" w:top="133" w:right="279"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Commitments and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leases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Company has a non-cancellable operating lease for its laboratory and office space that expires in March 2017. The lease agreement includes a rent escalation clause, and accordingly, rent expense is being recognized on a straight-line basis over the lease term. In addition,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148" w:lineRule="exact"/>
        <w:rPr>
          <w:sz w:val="20"/>
          <w:szCs w:val="20"/>
          <w:color w:val="auto"/>
        </w:rPr>
      </w:pPr>
    </w:p>
    <w:p>
      <w:pPr>
        <w:ind w:right="500"/>
        <w:spacing w:after="0" w:line="282" w:lineRule="auto"/>
        <w:rPr>
          <w:sz w:val="20"/>
          <w:szCs w:val="20"/>
          <w:color w:val="auto"/>
        </w:rPr>
      </w:pPr>
      <w:r>
        <w:rPr>
          <w:rFonts w:ascii="Arial" w:cs="Arial" w:eastAsia="Arial" w:hAnsi="Arial"/>
          <w:sz w:val="15"/>
          <w:szCs w:val="15"/>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151" w:lineRule="exact"/>
        <w:rPr>
          <w:sz w:val="20"/>
          <w:szCs w:val="20"/>
          <w:color w:val="auto"/>
        </w:rPr>
      </w:pPr>
    </w:p>
    <w:p>
      <w:pPr>
        <w:jc w:val="both"/>
        <w:ind w:right="80"/>
        <w:spacing w:after="0" w:line="270" w:lineRule="auto"/>
        <w:rPr>
          <w:sz w:val="20"/>
          <w:szCs w:val="20"/>
          <w:color w:val="auto"/>
        </w:rPr>
      </w:pPr>
      <w:r>
        <w:rPr>
          <w:rFonts w:ascii="Arial" w:cs="Arial" w:eastAsia="Arial" w:hAnsi="Arial"/>
          <w:sz w:val="15"/>
          <w:szCs w:val="15"/>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 The combined lease term remains unchanged and will expire in March 2017. Rent expense is recorded over the lease term on a straight-line basis.</w:t>
      </w:r>
    </w:p>
    <w:p>
      <w:pPr>
        <w:spacing w:after="0" w:line="15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Deferred rent and lease incentive liability totaled $0.5 million and $0.5 million as of December 31, 2014 and 2015, respectively, and $0.4 million at March 31, 2016. Included in that amount, the current portion of deferred rent and lease incentive liability is classified as accrued expenses and was $0.2 million and $0.4 million at December 31, 2014 and 2015, respectively, and $0.4 million at March 31, 2016.</w:t>
      </w:r>
    </w:p>
    <w:p>
      <w:pPr>
        <w:spacing w:after="0" w:line="159"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The Company subleased a portion of its facility to a tenant with a term that expires in March 2017. In March 2015, the tenant terminated the sublease and vacated the space. The sublease amount from the tenant was recorded as a reduction of lease expense and totaled $0.7 million and $0.2 million for the years ended December 31, 2014 and 2015, respectively, and $0.2 million for the three months ended March 31, 2016.</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 month-to-month facility agreement for its Moscow, Russia facility. Rent expense is recognized as incurred.</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Rent expense, net of sublease payments, for the years ended December 31, 2014 and 2015 was $0.6 million and $1.1 million, respectively, and for the three months ended March 31, 2015 and 2016 was $0.2 million and $0.4 million, respectively. As of December 31, 2015, future minimum lease payments for non-cancellable leases were $1.2 million in 2016, and $0.3 million in 2017.</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198" w:lineRule="exact"/>
        <w:rPr>
          <w:sz w:val="20"/>
          <w:szCs w:val="20"/>
          <w:color w:val="auto"/>
        </w:rPr>
      </w:pPr>
    </w:p>
    <w:p>
      <w:pPr>
        <w:ind w:right="240"/>
        <w:spacing w:after="0" w:line="270" w:lineRule="auto"/>
        <w:rPr>
          <w:sz w:val="20"/>
          <w:szCs w:val="20"/>
          <w:color w:val="auto"/>
        </w:rPr>
      </w:pPr>
      <w:r>
        <w:rPr>
          <w:rFonts w:ascii="Arial" w:cs="Arial" w:eastAsia="Arial" w:hAnsi="Arial"/>
          <w:sz w:val="15"/>
          <w:szCs w:val="15"/>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55" w:name="page256"/>
    <w:bookmarkEnd w:id="25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 The Company does not expect significant claims related to these indemnification obligations and, accordingly, has concluded that the fair value of these obligations is negligible, and no related reserves have been established.</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color w:val="auto"/>
        </w:rPr>
        <w:t>The Company is a party in various other contractual disputes and potential claims arising in the ordinary course of business. The Company does not believe that the resolution of these matters will have a material adverse effect on its financial position or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Debt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 loans</w:t>
      </w:r>
    </w:p>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5"/>
          <w:szCs w:val="15"/>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and, on its own, would not require extinguishment accounting. As a result of the refinancing, the stated interest rate was also adjusted to reflect the current market borrowing rate. As of December 31, 2015 and March 31, 2016, the outstanding principal balance under the Term Loans was $12.0 million.</w:t>
      </w:r>
    </w:p>
    <w:p>
      <w:pPr>
        <w:spacing w:after="0" w:line="169" w:lineRule="exact"/>
        <w:rPr>
          <w:sz w:val="20"/>
          <w:szCs w:val="20"/>
          <w:color w:val="auto"/>
        </w:rPr>
      </w:pPr>
    </w:p>
    <w:p>
      <w:pPr>
        <w:ind w:right="120"/>
        <w:spacing w:after="0" w:line="310" w:lineRule="auto"/>
        <w:rPr>
          <w:sz w:val="20"/>
          <w:szCs w:val="20"/>
          <w:color w:val="auto"/>
        </w:rPr>
      </w:pPr>
      <w:r>
        <w:rPr>
          <w:rFonts w:ascii="Arial" w:cs="Arial" w:eastAsia="Arial" w:hAnsi="Arial"/>
          <w:sz w:val="13"/>
          <w:szCs w:val="13"/>
          <w:color w:val="auto"/>
        </w:rPr>
        <w:t>According to ASC 470-50-40, the refinancing and modification of the prior debt in a non-troubled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266305"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40"/>
          </w:cols>
          <w:pgMar w:left="240" w:top="133" w:right="319" w:bottom="1440" w:gutter="0" w:footer="0" w:header="0"/>
        </w:sectPr>
      </w:pPr>
    </w:p>
    <w:bookmarkStart w:id="256" w:name="page257"/>
    <w:bookmarkEnd w:id="25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5"/>
          <w:szCs w:val="15"/>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w:t>
      </w:r>
    </w:p>
    <w:p>
      <w:pPr>
        <w:spacing w:after="0" w:line="167"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Additionally, with the refinancing of the Term Loans at December 31, 2015, the Company granted the lenders 37,978 shares of the Company's Series E Preferred. The initial grant date fair value of the warrants of $0.1 million, $0.1 million and $0.1 million respectively, was recorded as a loan discount.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Term Loan discounts are amortized as additional interest expense over the term of the loans. Interest expense for the years ended December 31, 2014 and 2015 totaled $0.6 million and $0.6 million, respectively, and $0.2 million and $0.3 million for the three months ended March 31, 2015 and 2016,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5"/>
                <w:szCs w:val="15"/>
                <w:color w:val="auto"/>
              </w:rPr>
              <w:t>Future minimum payments on the Term Loans as of December 31, 2015 are as follows (in thousands):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vMerge w:val="restart"/>
          </w:tcPr>
          <w:p>
            <w:pPr>
              <w:spacing w:after="0"/>
              <w:rPr>
                <w:sz w:val="16"/>
                <w:szCs w:val="16"/>
                <w:color w:val="auto"/>
              </w:rPr>
            </w:pPr>
          </w:p>
        </w:tc>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vMerge w:val="continue"/>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Year ended December 31: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2016</w:t>
            </w:r>
          </w:p>
        </w:tc>
        <w:tc>
          <w:tcPr>
            <w:tcW w:w="18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2018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5,318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Total debt payments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14,988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Amount representing interest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(2,268)</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tcPr>
          <w:p>
            <w:pPr>
              <w:spacing w:after="0"/>
              <w:rPr>
                <w:sz w:val="20"/>
                <w:szCs w:val="20"/>
                <w:color w:val="auto"/>
              </w:rPr>
            </w:pPr>
            <w:r>
              <w:rPr>
                <w:rFonts w:ascii="Arial" w:cs="Arial" w:eastAsia="Arial" w:hAnsi="Arial"/>
                <w:sz w:val="15"/>
                <w:szCs w:val="15"/>
                <w:color w:val="auto"/>
              </w:rPr>
              <w:t>Less: Debt discount and deferred charges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5"/>
                <w:szCs w:val="15"/>
                <w:color w:val="auto"/>
              </w:rPr>
              <w:t>Less: Current portion of issuance costs</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480" w:type="dxa"/>
            <w:vAlign w:val="bottom"/>
            <w:gridSpan w:val="2"/>
          </w:tcPr>
          <w:p>
            <w:pPr>
              <w:ind w:left="1140"/>
              <w:spacing w:after="0"/>
              <w:rPr>
                <w:sz w:val="20"/>
                <w:szCs w:val="20"/>
                <w:color w:val="auto"/>
              </w:rPr>
            </w:pPr>
            <w:r>
              <w:rPr>
                <w:rFonts w:ascii="Arial" w:cs="Arial" w:eastAsia="Arial" w:hAnsi="Arial"/>
                <w:sz w:val="15"/>
                <w:szCs w:val="15"/>
                <w:color w:val="auto"/>
              </w:rPr>
              <w:t>Loans payable, net of current portion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7" w:name="page258"/>
    <w:bookmarkEnd w:id="25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Convertible notes</w:t>
      </w:r>
    </w:p>
    <w:p>
      <w:pPr>
        <w:spacing w:after="0" w:line="198" w:lineRule="exact"/>
        <w:rPr>
          <w:sz w:val="20"/>
          <w:szCs w:val="20"/>
          <w:color w:val="auto"/>
        </w:rPr>
      </w:pPr>
    </w:p>
    <w:p>
      <w:pPr>
        <w:ind w:right="200"/>
        <w:spacing w:after="0" w:line="306" w:lineRule="auto"/>
        <w:rPr>
          <w:sz w:val="20"/>
          <w:szCs w:val="20"/>
          <w:color w:val="auto"/>
        </w:rPr>
      </w:pPr>
      <w:r>
        <w:rPr>
          <w:rFonts w:ascii="Arial" w:cs="Arial" w:eastAsia="Arial" w:hAnsi="Arial"/>
          <w:sz w:val="13"/>
          <w:szCs w:val="13"/>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9). The difference between the carrying value and accrued interest of the convertible notes that were converted and the combined fair value of the Series E Preferred shares and common stock warrants issued were negligible. Interest expense incurred on the convertible notes totaled $0.3 million for the year ending December 31, 2015 and zero during the three months ended March 31, 2016.</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Preferred stock</w:t>
      </w:r>
    </w:p>
    <w:p>
      <w:pPr>
        <w:spacing w:after="0" w:line="195" w:lineRule="exact"/>
        <w:rPr>
          <w:sz w:val="20"/>
          <w:szCs w:val="20"/>
          <w:color w:val="auto"/>
        </w:rPr>
      </w:pPr>
    </w:p>
    <w:p>
      <w:pPr>
        <w:ind w:right="240"/>
        <w:spacing w:after="0" w:line="362" w:lineRule="auto"/>
        <w:rPr>
          <w:sz w:val="20"/>
          <w:szCs w:val="20"/>
          <w:color w:val="auto"/>
        </w:rPr>
      </w:pPr>
      <w:r>
        <w:rPr>
          <w:rFonts w:ascii="Arial" w:cs="Arial" w:eastAsia="Arial" w:hAnsi="Arial"/>
          <w:sz w:val="13"/>
          <w:szCs w:val="13"/>
          <w:color w:val="auto"/>
        </w:rPr>
        <w:t>The Company issued Preferred Stock with a $0.0001 par value to investors for cash or as settlement for outstanding debt under convertible notes. As of December 31, 2014 and 2015, the Company had 28,804,969 and 37,835,623 authorized shares of Preferred Stock, respectively, and at March 31, 2016 had 37,835,623 authorized shares of Preferred Stock.</w:t>
      </w:r>
    </w:p>
    <w:p>
      <w:pPr>
        <w:spacing w:after="0" w:line="105" w:lineRule="exact"/>
        <w:rPr>
          <w:sz w:val="20"/>
          <w:szCs w:val="20"/>
          <w:color w:val="auto"/>
        </w:rPr>
      </w:pPr>
    </w:p>
    <w:p>
      <w:pPr>
        <w:ind w:right="240"/>
        <w:spacing w:after="0" w:line="266" w:lineRule="auto"/>
        <w:rPr>
          <w:sz w:val="20"/>
          <w:szCs w:val="20"/>
          <w:color w:val="auto"/>
        </w:rPr>
      </w:pPr>
      <w:r>
        <w:rPr>
          <w:rFonts w:ascii="Arial" w:cs="Arial" w:eastAsia="Arial" w:hAnsi="Arial"/>
          <w:sz w:val="15"/>
          <w:szCs w:val="15"/>
          <w:color w:val="auto"/>
        </w:rPr>
        <w:t>As of December 31, 2015 and at March 31, 2016, the Company had issued and outstanding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6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April 2014 and August 2014, the Company issued an additional 3,211,105 shares of Series D Preferred at $4.50 per share for total net proceeds of $14,349,239.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8" w:name="page259"/>
    <w:bookmarkEnd w:id="25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and the amended Series SRN Preferred shares were recorded at their fair value of $4.50 per share. The difference of $1.5 million was recorded as additional paid in capital.</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8).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paid-in capital.</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5"/>
          <w:szCs w:val="15"/>
          <w:color w:val="auto"/>
        </w:rPr>
        <w:t>Series A Preferred, Series B Preferred, Series C Preferred, and Series D Preferred are hereinafter collectively referred to as "Tier II Preferred." Tier II Preferred and Series E Preferred are hereinafter collectively referred to as "Senior Preferred."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The rights, preferences, and privileges of the Preferred Stock are summarized below:</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Series SRN Preferred are nonvoting. Except for matters that require a vote by a separate class or by separate series, Senior Preferred stockholders have full voting rights and powers similar to the rights and powers of the holders of common stock on an as-converted basis (disregarding the special conversion ratio applicable to Series E Preferred). Certain significant actions, including the amendment of the certificate of incorporation and any changes or transactions that may affect the preferences and priority of Senior Preferred such as dividends, dilution, sale and disposal of assets, mergers and acquisitions, voluntary dissolution or liquidation, merger, consolidation, recapitalization, and number of directors, must be approved by a majority vote of Senior Preferred stockholders voting as a single class on an as-converted basis.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160"/>
        <w:spacing w:after="0" w:line="284" w:lineRule="auto"/>
        <w:rPr>
          <w:sz w:val="20"/>
          <w:szCs w:val="20"/>
          <w:color w:val="auto"/>
        </w:rPr>
      </w:pPr>
      <w:r>
        <w:rPr>
          <w:rFonts w:ascii="Arial" w:cs="Arial" w:eastAsia="Arial" w:hAnsi="Arial"/>
          <w:sz w:val="14"/>
          <w:szCs w:val="14"/>
          <w:color w:val="auto"/>
        </w:rPr>
        <w:t>Holders of all series of Preferred Stock are entitled to receive dividends when and if declared by the Company's board of directors. In the event of liquidation, dissolution, or winding up of business, Senior Preferred stockholders are entitled to receive unpaid accrued dividends, whether or not declared by the board of directors. Senior Preferred dividends are to be calculated daily and accrued on a cumulative basis (adjusted for stock split, stock dividends, or other recapitalizations) at the rate of: $0.0579 per share for Series A Preferred, $0.1218 per share for Series B Preferred, $0.18 per share for Series C Preferred, $0.27 per share for Series D Preferred, and $0.27 per share for Series E Preferred. Dividends accumulated on Preferred Stock totaled $3.8 million, $4.9 million, $1.0 million and $1.6 million during the years ended December 31, 2014 and 2015, and the three months ended March 31, 2015 and 2016, respectively. Series SRN Preferred stockholders are not entitled to receive accrued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59" w:name="page260"/>
    <w:bookmarkEnd w:id="25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200"/>
        <w:spacing w:after="0" w:line="319" w:lineRule="auto"/>
        <w:rPr>
          <w:sz w:val="20"/>
          <w:szCs w:val="20"/>
          <w:color w:val="auto"/>
        </w:rPr>
      </w:pPr>
      <w:r>
        <w:rPr>
          <w:rFonts w:ascii="Arial" w:cs="Arial" w:eastAsia="Arial" w:hAnsi="Arial"/>
          <w:sz w:val="14"/>
          <w:szCs w:val="14"/>
          <w:color w:val="auto"/>
        </w:rPr>
        <w:t>After accrued dividends due to Senior Preferred stockholders are satisfied in full, holders of all series of Preferred Stock are entitled to participate in other dividends payable to holders of common stock on an as-converted basis, when and if declared by the board of directors. Holders of Preferred Stock are not entitled to participate in stock dividends.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Optional conversion</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Series A Preferred, Series B Preferred, and Series C Preferred are convertible into common stock at the stockholders' option at any time at the original issuance price of $0.9653 per share for Series A Preferred, $2.0303 per share for Series B Preferred, and $3.00 per share for Series C Preferred, respectively, divided by the then effective conversion prices which are currently the original issuance price multiplied by 3.9 (3.9:1 conversion ratio), plus any declared but unpaid dividends (excluding accrued dividends).</w:t>
      </w:r>
    </w:p>
    <w:p>
      <w:pPr>
        <w:spacing w:after="0" w:line="144"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Series D Preferred are convertible into common stock at the stockholders' option at any time at the original issuance price of $4.50 per share divided by the then effective conversion price which is currently $4.30 per share multiplied by 3.9 (1:0.2683 conversion ratio), plus any declared but unpaid dividends (excluding accrued dividends).</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Series SRN Preferred are convertible into common stock at the stockholders' option only upon a deemed liquidation event or an initial public offering ("IPO") (whether or not a firm commitment underwritten IPO for an aggregate offering price of at least $30.0 million, referred to as a qualified IPO), at the original issuance price of $4.50 per share divided by $16.77 per share (1:0.2683 conversion ratio), plus any declared but unpaid dividends. Upon the occurrence of a special conversion event (as defined in the certificate of incorporation), Series SRN Preferred are convertible at a special conversion price of $14.04 per share (1:0.3205 conversion ratio), plus any declared but unpaid dividends.</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their shares of Series E Preferred into common stock at the original Series E Preferred issuance price of $4.50 per share divided by the then effective conversion price (currently the original issuance price of $4.50 multiplied by 3.9) multiplied by 1.15 (1:0.2949 conversion ratio), or (2) receive a liquidation preference at 1.15 times the per-share original issuance price, or $5.175, plus any declared but unpaid dividends (excluding accrued dividends). When not associated with a liquidation, dissolution, winding up of business, or deemed liquidation event, Series E Preferred are convertible into common stock at the stockholders' option at any time at the original issuance price of $4.50 per share divided by the then effective conversion price which is currently the original issuance price of $4.50 per share multiplied by 3.9 (1:0.2564 conversion ratio), plus any declared but unpaid dividends (excluding accrued dividends).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Mandatory conversion</w:t>
      </w:r>
    </w:p>
    <w:p>
      <w:pPr>
        <w:spacing w:after="0" w:line="19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All series of Preferred Stock are automatically converted at the then effective conversion price upon the completion of a qualified IPO. Currently, the effective conversion price is $3.7647 per share for Series A Preferred, $7.9182 per share for Series B Preferred, $11.70 per share for Series C Preferred, $16.77 per share for Series D Preferred, and $16.77 per share of Series SRN Preferred. The Series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60" w:name="page261"/>
    <w:bookmarkEnd w:id="26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Preferred effective conversion price upon a qualified IPO is determined based on the number of common stock shares issuable calculated as the highest of: (a) $5.175 (Series E Preferred liquidation price) divided by the IPO price per share paid by the underwriters; (b) each shares of Series E Preferred converting into 0.2949 shares of common stock, or (c) $4.50 divided by the then effective Series E Preferred conversion price (currently $17.55 per share).</w:t>
      </w:r>
    </w:p>
    <w:p>
      <w:pPr>
        <w:spacing w:after="0" w:line="159"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Tier II Preferred are also automatically convertible as a single class upon, the vote of at least two-thirds of the voting power of all Tier II Preferred at the then effective conversion price (3.9:1 conversion ratio, except Series D Preferred which is 1:0.2683). Series E Preferred are automatically convertible as a single class upon a majority vote of Series E Preferred stockholders at the then effective conversion price (currently $17.55 per share) times 1.15 (1:0.2949 conversion ratio). Series SRN Preferred are automatically convertible as a single class upon (a) the sale of a majority of the Company's outstanding capital stock, (b) an IPO (whether or not a qualified IPO), or (c) an agreement among the majority of Series SRN Preferred stockholders, at the then effective conversion price (currently $16.77 per share).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Upon liquidation, dissolution, or winding up of business, including deemed liquidation events, Series E Preferred stockholders can elect to (1) convert into common stock at the original</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Series E Preferred issuance price of $4.50 per share divided by the then effective conversion price (currently the original issuance price of $4.50 multiplied by 3.9) multiplied by 1.15</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(1:0.2949 conversion ratio), or (2) receive liquidation preference at 1.15 times the per-share original issuance price, or $5.175, plus any unpaid accrued dividends (whether or not declared),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and any additional declared but unpaid dividends. Series E Preferred shares have preferences in priority to Tier II Preferred, Series SRN Preferred, and common stock. If assets available for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distribution are insufficient to satisfy the Series E Preferred liquidation payment amounts in full, assets available for distribution will be allocated among Series E Preferred shares ratably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and in proportion to the full preferential amount of shareholding.</w:t>
      </w:r>
    </w:p>
    <w:p>
      <w:pPr>
        <w:spacing w:after="0" w:line="193" w:lineRule="exact"/>
        <w:rPr>
          <w:sz w:val="20"/>
          <w:szCs w:val="20"/>
          <w:color w:val="auto"/>
        </w:rPr>
      </w:pPr>
    </w:p>
    <w:p>
      <w:pPr>
        <w:ind w:right="160"/>
        <w:spacing w:after="0" w:line="266" w:lineRule="auto"/>
        <w:rPr>
          <w:sz w:val="20"/>
          <w:szCs w:val="20"/>
          <w:color w:val="auto"/>
        </w:rPr>
      </w:pPr>
      <w:r>
        <w:rPr>
          <w:rFonts w:ascii="Arial" w:cs="Arial" w:eastAsia="Arial" w:hAnsi="Arial"/>
          <w:sz w:val="15"/>
          <w:szCs w:val="15"/>
          <w:color w:val="auto"/>
        </w:rPr>
        <w:t>After Series E Preferred stockholders are satisfied, any remaining assets available will be distributed to the Tier II Preferred stockholders at an amount equal to their original issuance price plus any unpaid accrued dividends (whether or not declared), and any additional declared but unpaid dividends. If assets available for distribution are insufficient to satisfy the Tier II Preferred liquidation payment amounts in full, assets available for distribution will be allocated among shares of Tier II Preferred shares ratably and in proportion to the full preferential amount of shareholding.</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After the Senior Preferred stockholders are satisfied, any remaining assets available will be distributed to the Series SRN Preferred stockholders at an amount equal to their original issuance price plus any declared but unpaid dividends. Series SRN Preferred are not entitled to accrued dividends. If assets available for distribution are insufficient to satisfy the Series SRN Preferred liquidation payment amounts in full, assets available for distribution will be allocated among Series SRN Preferred shares ratably and in proportion to the full preferential amount of shareholding.</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In the event any series of Preferred Stock would have received a greater amount of distribution than the amounts summarized above if those series of Preferred Stock had been converted into common stock, then all shares of such series of Preferred Stock would receive the higher distribution amount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1" w:name="page262"/>
    <w:bookmarkEnd w:id="26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if they had been converted into common stock. This option does not apply to any holders of Preferred Stock who converted their shareholdings prior to or independent of the liquidation or deemed liquidation event.</w:t>
      </w:r>
    </w:p>
    <w:p>
      <w:pPr>
        <w:spacing w:after="0" w:line="151"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After all series Preferred Stock are satisfied in full, any excess assets available for distribution will be allocated ratably among common stock based on the ratable common stock shares held by each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rights</w:t>
      </w:r>
    </w:p>
    <w:p>
      <w:pPr>
        <w:spacing w:after="0" w:line="199" w:lineRule="exact"/>
        <w:rPr>
          <w:sz w:val="20"/>
          <w:szCs w:val="20"/>
          <w:color w:val="auto"/>
        </w:rPr>
      </w:pPr>
    </w:p>
    <w:p>
      <w:pPr>
        <w:ind w:right="40"/>
        <w:spacing w:after="0" w:line="273" w:lineRule="auto"/>
        <w:rPr>
          <w:sz w:val="20"/>
          <w:szCs w:val="20"/>
          <w:color w:val="auto"/>
        </w:rPr>
      </w:pPr>
      <w:r>
        <w:rPr>
          <w:rFonts w:ascii="Arial" w:cs="Arial" w:eastAsia="Arial" w:hAnsi="Arial"/>
          <w:sz w:val="13"/>
          <w:szCs w:val="13"/>
          <w:color w:val="auto"/>
        </w:rPr>
        <w:t xml:space="preserve">Senior Preferred are redeemable at the option of the stockholders at any time on or after November 7, 2019 upon a written notice by at least </w:t>
      </w:r>
      <w:r>
        <w:rPr>
          <w:rFonts w:ascii="Arial" w:cs="Arial" w:eastAsia="Arial" w:hAnsi="Arial"/>
          <w:sz w:val="21"/>
          <w:szCs w:val="21"/>
          <w:color w:val="auto"/>
          <w:vertAlign w:val="superscript"/>
        </w:rPr>
        <w:t>2</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xml:space="preserve"> of the Senior Preferred stockholders then outstanding voting as a single class, at a price that equals their respective original issuance price per share, plus all accrued but unpaid dividends and all other declared and unpaid dividends, to be paid in four equal annual installments. Any unpaid redemption amounts will be accelerated prior to the effective date of Series SRN Preferred redemption, if elected.</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As long as the Company has outstanding loans or similar commitments, Series SRN Preferred shares are not redeemable. In the absence of outstanding loans or similar commitments, Series SRN Preferred are redeemable at the option of each stockholder at any time on or after November 7, 2019, at a price per share that equals the original issuance price per share plus a 16.5% internal rate of return. In the event the Company's cash funds are insufficient to redeem all Series SRN Preferred shares including the 16.5% internal rate of return, the Company will issue a promissory note for the unredeemed shares with a term up to two years and accrues interest at 16.5%. Series SRN Preferred shares are not entitled to receive additional dividends once the redemption option is elected.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Common stock</w:t>
      </w:r>
    </w:p>
    <w:p>
      <w:pPr>
        <w:spacing w:after="0" w:line="195"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The voting, dividend and liquidation rights of the common stockholders are subject to and qualified by the rights, powers and preferences of the Preferred Stock. The common stock has the following characteristics: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202" w:lineRule="exact"/>
        <w:rPr>
          <w:sz w:val="20"/>
          <w:szCs w:val="20"/>
          <w:color w:val="auto"/>
        </w:rPr>
      </w:pPr>
    </w:p>
    <w:p>
      <w:pPr>
        <w:jc w:val="both"/>
        <w:ind w:right="440"/>
        <w:spacing w:after="0" w:line="270" w:lineRule="auto"/>
        <w:rPr>
          <w:sz w:val="20"/>
          <w:szCs w:val="20"/>
          <w:color w:val="auto"/>
        </w:rPr>
      </w:pPr>
      <w:r>
        <w:rPr>
          <w:rFonts w:ascii="Arial" w:cs="Arial" w:eastAsia="Arial" w:hAnsi="Arial"/>
          <w:sz w:val="15"/>
          <w:szCs w:val="15"/>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March 31, 2016, no dividends have been declared or paid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62" w:name="page263"/>
    <w:bookmarkEnd w:id="26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202" w:lineRule="exact"/>
        <w:rPr>
          <w:sz w:val="20"/>
          <w:szCs w:val="20"/>
          <w:color w:val="auto"/>
        </w:rPr>
      </w:pPr>
    </w:p>
    <w:p>
      <w:pPr>
        <w:ind w:right="380"/>
        <w:spacing w:after="0" w:line="319" w:lineRule="auto"/>
        <w:rPr>
          <w:sz w:val="20"/>
          <w:szCs w:val="20"/>
          <w:color w:val="auto"/>
        </w:rPr>
      </w:pPr>
      <w:r>
        <w:rPr>
          <w:rFonts w:ascii="Arial" w:cs="Arial" w:eastAsia="Arial" w:hAnsi="Arial"/>
          <w:sz w:val="14"/>
          <w:szCs w:val="14"/>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as-converted basis.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Reserved shares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authorized shares of common stock for future issuance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Periods ending</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5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2016</w:t>
            </w:r>
          </w:p>
        </w:tc>
        <w:tc>
          <w:tcPr>
            <w:tcW w:w="140" w:type="dxa"/>
            <w:vAlign w:val="bottom"/>
          </w:tcPr>
          <w:p>
            <w:pPr>
              <w:spacing w:after="0"/>
              <w:rPr>
                <w:sz w:val="13"/>
                <w:szCs w:val="13"/>
                <w:color w:val="auto"/>
              </w:rPr>
            </w:pPr>
          </w:p>
        </w:tc>
      </w:tr>
      <w:tr>
        <w:trPr>
          <w:trHeight w:val="131"/>
        </w:trPr>
        <w:tc>
          <w:tcPr>
            <w:tcW w:w="5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94"/>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A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664,068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B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1,907,006</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1,907,006</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C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1,282,051</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D Preferred</w:t>
            </w:r>
          </w:p>
        </w:tc>
        <w:tc>
          <w:tcPr>
            <w:tcW w:w="1180" w:type="dxa"/>
            <w:vAlign w:val="bottom"/>
          </w:tcPr>
          <w:p>
            <w:pPr>
              <w:jc w:val="right"/>
              <w:spacing w:after="0"/>
              <w:rPr>
                <w:sz w:val="20"/>
                <w:szCs w:val="20"/>
                <w:color w:val="auto"/>
              </w:rPr>
            </w:pPr>
            <w:r>
              <w:rPr>
                <w:rFonts w:ascii="Arial" w:cs="Arial" w:eastAsia="Arial" w:hAnsi="Arial"/>
                <w:sz w:val="15"/>
                <w:szCs w:val="15"/>
                <w:color w:val="auto"/>
              </w:rPr>
              <w:t>2,094,015</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2,191,412</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Conversion of Series SRN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1,438,746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1,798,433</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Conversion of Series E Preferred with warrants</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2,662,885</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common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650,618</w:t>
            </w:r>
          </w:p>
        </w:tc>
        <w:tc>
          <w:tcPr>
            <w:tcW w:w="140" w:type="dxa"/>
            <w:vAlign w:val="bottom"/>
            <w:shd w:val="clear" w:color="auto" w:fill="CCEEFF"/>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Arial" w:cs="Arial" w:eastAsia="Arial" w:hAnsi="Arial"/>
                <w:sz w:val="15"/>
                <w:szCs w:val="15"/>
                <w:color w:val="auto"/>
              </w:rPr>
              <w:t>Shares available for future stock incentive awards</w:t>
            </w:r>
          </w:p>
        </w:tc>
        <w:tc>
          <w:tcPr>
            <w:tcW w:w="1180" w:type="dxa"/>
            <w:vAlign w:val="bottom"/>
          </w:tcPr>
          <w:p>
            <w:pPr>
              <w:jc w:val="right"/>
              <w:spacing w:after="0"/>
              <w:rPr>
                <w:sz w:val="20"/>
                <w:szCs w:val="20"/>
                <w:color w:val="auto"/>
              </w:rPr>
            </w:pPr>
            <w:r>
              <w:rPr>
                <w:rFonts w:ascii="Arial" w:cs="Arial" w:eastAsia="Arial" w:hAnsi="Arial"/>
                <w:sz w:val="15"/>
                <w:szCs w:val="15"/>
                <w:color w:val="auto"/>
              </w:rPr>
              <w:t>1,544</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100,034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7,091</w:t>
            </w:r>
          </w:p>
        </w:tc>
        <w:tc>
          <w:tcPr>
            <w:tcW w:w="140" w:type="dxa"/>
            <w:vAlign w:val="bottom"/>
          </w:tcPr>
          <w:p>
            <w:pPr>
              <w:spacing w:after="0"/>
              <w:rPr>
                <w:sz w:val="16"/>
                <w:szCs w:val="16"/>
                <w:color w:val="auto"/>
              </w:rPr>
            </w:pPr>
          </w:p>
        </w:tc>
      </w:tr>
      <w:tr>
        <w:trPr>
          <w:trHeight w:val="18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Exercise of outstanding common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1,143,237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1,569,379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1,736,681</w:t>
            </w:r>
          </w:p>
        </w:tc>
        <w:tc>
          <w:tcPr>
            <w:tcW w:w="140" w:type="dxa"/>
            <w:vAlign w:val="bottom"/>
            <w:shd w:val="clear" w:color="auto" w:fill="CCEEFF"/>
          </w:tcPr>
          <w:p>
            <w:pPr>
              <w:spacing w:after="0"/>
              <w:rPr>
                <w:sz w:val="16"/>
                <w:szCs w:val="16"/>
                <w:color w:val="auto"/>
              </w:rPr>
            </w:pPr>
          </w:p>
        </w:tc>
      </w:tr>
      <w:tr>
        <w:trPr>
          <w:trHeight w:val="177"/>
        </w:trPr>
        <w:tc>
          <w:tcPr>
            <w:tcW w:w="5380" w:type="dxa"/>
            <w:vAlign w:val="bottom"/>
          </w:tcPr>
          <w:p>
            <w:pPr>
              <w:spacing w:after="0"/>
              <w:rPr>
                <w:sz w:val="20"/>
                <w:szCs w:val="20"/>
                <w:color w:val="auto"/>
              </w:rPr>
            </w:pPr>
            <w:r>
              <w:rPr>
                <w:rFonts w:ascii="Arial" w:cs="Arial" w:eastAsia="Arial" w:hAnsi="Arial"/>
                <w:sz w:val="15"/>
                <w:szCs w:val="15"/>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8,530,667</w:t>
            </w:r>
          </w:p>
        </w:tc>
        <w:tc>
          <w:tcPr>
            <w:tcW w:w="1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12,825,886</w:t>
            </w:r>
          </w:p>
        </w:tc>
        <w:tc>
          <w:tcPr>
            <w:tcW w:w="1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12,900,245</w:t>
            </w:r>
          </w:p>
        </w:tc>
        <w:tc>
          <w:tcPr>
            <w:tcW w:w="140" w:type="dxa"/>
            <w:vAlign w:val="bottom"/>
          </w:tcPr>
          <w:p>
            <w:pPr>
              <w:spacing w:after="0"/>
              <w:rPr>
                <w:sz w:val="15"/>
                <w:szCs w:val="15"/>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Stock incentive plans</w:t>
      </w:r>
    </w:p>
    <w:p>
      <w:pPr>
        <w:spacing w:after="0" w:line="195"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The Company maintains the 2008 Equity Incentive Plan (the "Plan") for employees, consultants, advisors, and directors. The Plan provides for the granting of incentive and non-qualified stock option and restricted stock awards as determined by the Board. As of March 31, 2016, a total of 2,200,592 shares of common stock are authorized for grants under the Plan with 7,091 shares available for future grant. All stock options granted under the 2008 Plan may be exercised into restricted stock subject to forfeiture provisions upon termination.</w:t>
      </w:r>
    </w:p>
    <w:p>
      <w:pPr>
        <w:spacing w:after="0" w:line="144"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The Plan provides that the exercise price of incentive stock options cannot be less than 100% of the fair market value of the common stock on the grant date for participants who own less than 10% of the total combined voting power of the Company, and not less than 110% for participants who own more than 10% of the Company's voting power. Options and restricted stock granted under the Plan vest over periods as determined by the Board, which are generally four years and with terms that generally expire ten years from the grant date. The fair value of each option award is estimated on the grant date using Black-Scholes. Expected volatilities are based on historical volatilities from guideline companies, since there is no active market for the Company's common stock. The Company uses the "simplified" method to estimate the expected life of options granted and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3" w:name="page264"/>
    <w:bookmarkEnd w:id="26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outstanding. The risk-free interest rate used is the rate for a U.S. Treasury zero coupon issue with a remaining life consistent with the options expected life on the grant date. The Company has not paid, and does not expect to pay, any cash dividends in the foreseeable future. Forfeitures are estimated at the time of grant and are adjusted, if necessary, in subsequent periods if actual forfeitures differ from those estimates. The Company has estimated a forfeitures rate of 10% based on historical attrition trends. The Company records stock-based compensation expense only on the awards that are expected to vest.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employee stock option grants issued in 2014 and 2015 and for the three months ended March 31, 2016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540"/>
              <w:spacing w:after="0"/>
              <w:rPr>
                <w:sz w:val="20"/>
                <w:szCs w:val="20"/>
                <w:color w:val="auto"/>
              </w:rPr>
            </w:pPr>
            <w:r>
              <w:rPr>
                <w:rFonts w:ascii="Arial" w:cs="Arial" w:eastAsia="Arial" w:hAnsi="Arial"/>
                <w:sz w:val="12"/>
                <w:szCs w:val="12"/>
                <w:b w:val="1"/>
                <w:bCs w:val="1"/>
                <w:color w:val="auto"/>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8"/>
        </w:trPr>
        <w:tc>
          <w:tcPr>
            <w:tcW w:w="4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March 31,</w:t>
            </w:r>
          </w:p>
        </w:tc>
      </w:tr>
      <w:tr>
        <w:trPr>
          <w:trHeight w:val="154"/>
        </w:trPr>
        <w:tc>
          <w:tcPr>
            <w:tcW w:w="47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2015</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center"/>
              <w:ind w:right="29"/>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47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1.54%</w:t>
            </w: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Expected life</w:t>
            </w:r>
          </w:p>
        </w:tc>
        <w:tc>
          <w:tcPr>
            <w:tcW w:w="2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5.94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c>
          <w:tcPr>
            <w:tcW w:w="140" w:type="dxa"/>
            <w:vAlign w:val="bottom"/>
            <w:shd w:val="clear" w:color="auto" w:fill="CCEEFF"/>
          </w:tcPr>
          <w:p>
            <w:pPr>
              <w:spacing w:after="0"/>
              <w:rPr>
                <w:sz w:val="16"/>
                <w:szCs w:val="16"/>
                <w:color w:val="auto"/>
              </w:rPr>
            </w:pPr>
          </w:p>
        </w:tc>
      </w:tr>
      <w:tr>
        <w:trPr>
          <w:trHeight w:val="185"/>
        </w:trPr>
        <w:tc>
          <w:tcPr>
            <w:tcW w:w="4780" w:type="dxa"/>
            <w:vAlign w:val="bottom"/>
          </w:tcPr>
          <w:p>
            <w:pPr>
              <w:spacing w:after="0"/>
              <w:rPr>
                <w:sz w:val="20"/>
                <w:szCs w:val="20"/>
                <w:color w:val="auto"/>
              </w:rPr>
            </w:pPr>
            <w:r>
              <w:rPr>
                <w:rFonts w:ascii="Arial" w:cs="Arial" w:eastAsia="Arial" w:hAnsi="Arial"/>
                <w:sz w:val="15"/>
                <w:szCs w:val="15"/>
                <w:color w:val="auto"/>
              </w:rPr>
              <w:t>Expected volatility</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100.81%</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79.80%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75.26%</w:t>
            </w:r>
          </w:p>
        </w:tc>
      </w:tr>
      <w:tr>
        <w:trPr>
          <w:trHeight w:val="185"/>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fair value of common stock</w:t>
            </w:r>
          </w:p>
        </w:tc>
        <w:tc>
          <w:tcPr>
            <w:tcW w:w="2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5"/>
                <w:szCs w:val="15"/>
                <w:color w:val="auto"/>
              </w:rPr>
              <w:t>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w:t>
            </w:r>
          </w:p>
        </w:tc>
        <w:tc>
          <w:tcPr>
            <w:tcW w:w="140" w:type="dxa"/>
            <w:vAlign w:val="bottom"/>
            <w:shd w:val="clear" w:color="auto" w:fill="CCEEFF"/>
          </w:tcPr>
          <w:p>
            <w:pPr>
              <w:spacing w:after="0"/>
              <w:rPr>
                <w:sz w:val="16"/>
                <w:szCs w:val="16"/>
                <w:color w:val="auto"/>
              </w:rPr>
            </w:pPr>
          </w:p>
        </w:tc>
      </w:tr>
    </w:tbl>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resulting weighted average grant date fair value of stock options granted to employees during the years ended December 31, 2014 and 2015 was $6.86 and $5.03, respectively, and $7.14 and $4.64 for the three months ended March 31, 2015 and 2016, respectively. The aggregate intrinsic value of stock options exercised during the years ended December 2014 and 2015 was $0.3 million and $0.3 million, respectively, and less than $0.1 million for the three months ended March 31, 2015 and 2016.</w:t>
      </w:r>
    </w:p>
    <w:p>
      <w:pPr>
        <w:spacing w:after="0" w:line="159" w:lineRule="exact"/>
        <w:rPr>
          <w:sz w:val="20"/>
          <w:szCs w:val="20"/>
          <w:color w:val="auto"/>
        </w:rPr>
      </w:pPr>
    </w:p>
    <w:p>
      <w:pPr>
        <w:ind w:right="660"/>
        <w:spacing w:after="0" w:line="319" w:lineRule="auto"/>
        <w:rPr>
          <w:sz w:val="20"/>
          <w:szCs w:val="20"/>
          <w:color w:val="auto"/>
        </w:rPr>
      </w:pPr>
      <w:r>
        <w:rPr>
          <w:rFonts w:ascii="Arial" w:cs="Arial" w:eastAsia="Arial" w:hAnsi="Arial"/>
          <w:sz w:val="14"/>
          <w:szCs w:val="14"/>
          <w:color w:val="auto"/>
        </w:rPr>
        <w:t>As of December 31, 2014 and December 31, 2015, and at March 31, 2016, total unrecognized compensation expense related to unvested employee stock options was $0.9 million, $2.3 million and $2.4 million, respectively, which is expected to be recognized over a weighted average period of 2.3 years, 3.1 years and 3.0 years,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assumptions used for unvested non-employee stock options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5"/>
              </w:rPr>
              <w:t>Three months</w:t>
            </w:r>
          </w:p>
        </w:tc>
      </w:tr>
      <w:tr>
        <w:trPr>
          <w:trHeight w:val="127"/>
        </w:trPr>
        <w:tc>
          <w:tcPr>
            <w:tcW w:w="6880" w:type="dxa"/>
            <w:vAlign w:val="bottom"/>
          </w:tcPr>
          <w:p>
            <w:pPr>
              <w:spacing w:after="0"/>
              <w:rPr>
                <w:sz w:val="11"/>
                <w:szCs w:val="11"/>
                <w:color w:val="auto"/>
              </w:rPr>
            </w:pPr>
          </w:p>
        </w:tc>
        <w:tc>
          <w:tcPr>
            <w:tcW w:w="1280" w:type="dxa"/>
            <w:vAlign w:val="bottom"/>
            <w:gridSpan w:val="3"/>
          </w:tcPr>
          <w:p>
            <w:pPr>
              <w:jc w:val="right"/>
              <w:ind w:right="440"/>
              <w:spacing w:after="0" w:line="128" w:lineRule="exact"/>
              <w:rPr>
                <w:sz w:val="20"/>
                <w:szCs w:val="20"/>
                <w:color w:val="auto"/>
              </w:rPr>
            </w:pPr>
            <w:r>
              <w:rPr>
                <w:rFonts w:ascii="Arial" w:cs="Arial" w:eastAsia="Arial" w:hAnsi="Arial"/>
                <w:sz w:val="12"/>
                <w:szCs w:val="12"/>
                <w:b w:val="1"/>
                <w:bCs w:val="1"/>
                <w:color w:val="auto"/>
              </w:rPr>
              <w:t>Year ended</w:t>
            </w:r>
          </w:p>
        </w:tc>
        <w:tc>
          <w:tcPr>
            <w:tcW w:w="9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79"/>
              </w:rPr>
              <w:t>ended</w:t>
            </w:r>
          </w:p>
        </w:tc>
      </w:tr>
      <w:tr>
        <w:trPr>
          <w:trHeight w:val="138"/>
        </w:trPr>
        <w:tc>
          <w:tcPr>
            <w:tcW w:w="6880" w:type="dxa"/>
            <w:vAlign w:val="bottom"/>
          </w:tcPr>
          <w:p>
            <w:pPr>
              <w:spacing w:after="0"/>
              <w:rPr>
                <w:sz w:val="12"/>
                <w:szCs w:val="1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March 31,</w:t>
            </w:r>
          </w:p>
        </w:tc>
      </w:tr>
      <w:tr>
        <w:trPr>
          <w:trHeight w:val="154"/>
        </w:trPr>
        <w:tc>
          <w:tcPr>
            <w:tcW w:w="688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2014</w:t>
            </w:r>
          </w:p>
        </w:tc>
        <w:tc>
          <w:tcPr>
            <w:tcW w:w="4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19"/>
        </w:trPr>
        <w:tc>
          <w:tcPr>
            <w:tcW w:w="6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88"/>
              </w:rPr>
              <w:t>(unaudited)</w:t>
            </w:r>
          </w:p>
        </w:tc>
        <w:tc>
          <w:tcPr>
            <w:tcW w:w="140" w:type="dxa"/>
            <w:vAlign w:val="bottom"/>
          </w:tcPr>
          <w:p>
            <w:pPr>
              <w:spacing w:after="0"/>
              <w:rPr>
                <w:sz w:val="10"/>
                <w:szCs w:val="10"/>
                <w:color w:val="auto"/>
              </w:rPr>
            </w:pP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85"/>
        </w:trPr>
        <w:tc>
          <w:tcPr>
            <w:tcW w:w="688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680" w:type="dxa"/>
            <w:vAlign w:val="bottom"/>
          </w:tcPr>
          <w:p>
            <w:pPr>
              <w:jc w:val="right"/>
              <w:ind w:right="112"/>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Expected life (in years)</w:t>
            </w: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5.87</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9.94</w:t>
            </w:r>
          </w:p>
        </w:tc>
        <w:tc>
          <w:tcPr>
            <w:tcW w:w="140" w:type="dxa"/>
            <w:vAlign w:val="bottom"/>
            <w:shd w:val="clear" w:color="auto" w:fill="CCEEFF"/>
          </w:tcPr>
          <w:p>
            <w:pPr>
              <w:spacing w:after="0"/>
              <w:rPr>
                <w:sz w:val="16"/>
                <w:szCs w:val="16"/>
                <w:color w:val="auto"/>
              </w:rPr>
            </w:pPr>
          </w:p>
        </w:tc>
      </w:tr>
      <w:tr>
        <w:trPr>
          <w:trHeight w:val="190"/>
        </w:trPr>
        <w:tc>
          <w:tcPr>
            <w:tcW w:w="6880" w:type="dxa"/>
            <w:vAlign w:val="bottom"/>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tcPr>
          <w:p>
            <w:pPr>
              <w:jc w:val="right"/>
              <w:spacing w:after="0"/>
              <w:rPr>
                <w:sz w:val="20"/>
                <w:szCs w:val="20"/>
                <w:color w:val="auto"/>
              </w:rPr>
            </w:pPr>
            <w:r>
              <w:rPr>
                <w:rFonts w:ascii="Arial" w:cs="Arial" w:eastAsia="Arial" w:hAnsi="Arial"/>
                <w:sz w:val="15"/>
                <w:szCs w:val="15"/>
                <w:color w:val="auto"/>
              </w:rPr>
              <w:t>98.25%</w:t>
            </w:r>
          </w:p>
        </w:tc>
        <w:tc>
          <w:tcPr>
            <w:tcW w:w="600" w:type="dxa"/>
            <w:vAlign w:val="bottom"/>
            <w:gridSpan w:val="2"/>
          </w:tcPr>
          <w:p>
            <w:pPr>
              <w:jc w:val="right"/>
              <w:ind w:right="20"/>
              <w:spacing w:after="0"/>
              <w:rPr>
                <w:sz w:val="20"/>
                <w:szCs w:val="20"/>
                <w:color w:val="auto"/>
              </w:rPr>
            </w:pPr>
            <w:r>
              <w:rPr>
                <w:rFonts w:ascii="Arial" w:cs="Arial" w:eastAsia="Arial" w:hAnsi="Arial"/>
                <w:sz w:val="15"/>
                <w:szCs w:val="15"/>
                <w:color w:val="auto"/>
              </w:rPr>
              <w:t>98.18%</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82.48%</w:t>
            </w:r>
          </w:p>
        </w:tc>
      </w:tr>
    </w:tbl>
    <w:p>
      <w:pPr>
        <w:spacing w:after="0" w:line="173"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The unvested options held by non-employees are revalued using the Company's estimate of fair value on each vesting and reporting date through the remaining vesting period. Non-employee stock-based compensation expense of $0.5 million and $0.4 million was recorded 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64" w:name="page265"/>
    <w:bookmarkEnd w:id="26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and 2015, respectively, and of $0.1 million and less than $0.1 million for the three months ended March 31, 2015 and March 31, 2016, respectively.</w:t>
      </w:r>
    </w:p>
    <w:p>
      <w:pPr>
        <w:spacing w:after="0" w:line="198" w:lineRule="exact"/>
        <w:rPr>
          <w:sz w:val="20"/>
          <w:szCs w:val="20"/>
          <w:color w:val="auto"/>
        </w:rPr>
      </w:pPr>
    </w:p>
    <w:p>
      <w:pPr>
        <w:ind w:right="440"/>
        <w:spacing w:after="0" w:line="319" w:lineRule="auto"/>
        <w:rPr>
          <w:sz w:val="20"/>
          <w:szCs w:val="20"/>
          <w:color w:val="auto"/>
        </w:rPr>
      </w:pPr>
      <w:r>
        <w:rPr>
          <w:rFonts w:ascii="Arial" w:cs="Arial" w:eastAsia="Arial" w:hAnsi="Arial"/>
          <w:sz w:val="14"/>
          <w:szCs w:val="14"/>
          <w:color w:val="auto"/>
        </w:rPr>
        <w:t>As of December 31, 2014 and 2015 and March 31, 2016, total unrecognized compensation expense related to unvested non-employee stock options was $0.4 million, $0.1 million and $0.5 million, respectively, which is expected to be recognized over a weighted average period of 0.8 years, 2.2 years and 3.5 years,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activity under the Plan for the year ended December 31, 2015 and the quarter ended March 31, 2016: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w w:val="99"/>
              </w:rPr>
              <w:t>Weighted-</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average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 of</w:t>
            </w:r>
          </w:p>
        </w:tc>
        <w:tc>
          <w:tcPr>
            <w:tcW w:w="860" w:type="dxa"/>
            <w:vAlign w:val="bottom"/>
          </w:tcPr>
          <w:p>
            <w:pPr>
              <w:jc w:val="center"/>
              <w:ind w:left="183"/>
              <w:spacing w:after="0"/>
              <w:rPr>
                <w:sz w:val="20"/>
                <w:szCs w:val="20"/>
                <w:color w:val="auto"/>
              </w:rPr>
            </w:pPr>
            <w:r>
              <w:rPr>
                <w:rFonts w:ascii="Arial" w:cs="Arial" w:eastAsia="Arial" w:hAnsi="Arial"/>
                <w:sz w:val="12"/>
                <w:szCs w:val="12"/>
                <w:b w:val="1"/>
                <w:bCs w:val="1"/>
                <w:color w:val="auto"/>
              </w:rPr>
              <w:t>exercise</w:t>
            </w:r>
          </w:p>
        </w:tc>
        <w:tc>
          <w:tcPr>
            <w:tcW w:w="2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contractual term</w:t>
            </w:r>
          </w:p>
        </w:tc>
        <w:tc>
          <w:tcPr>
            <w:tcW w:w="14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options</w:t>
            </w:r>
          </w:p>
        </w:tc>
        <w:tc>
          <w:tcPr>
            <w:tcW w:w="860" w:type="dxa"/>
            <w:vAlign w:val="bottom"/>
          </w:tcPr>
          <w:p>
            <w:pPr>
              <w:jc w:val="right"/>
              <w:ind w:right="123"/>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40" w:type="dxa"/>
            <w:vAlign w:val="bottom"/>
          </w:tcPr>
          <w:p>
            <w:pPr>
              <w:jc w:val="right"/>
              <w:ind w:right="263"/>
              <w:spacing w:after="0"/>
              <w:rPr>
                <w:sz w:val="20"/>
                <w:szCs w:val="20"/>
                <w:color w:val="auto"/>
              </w:rPr>
            </w:pPr>
            <w:r>
              <w:rPr>
                <w:rFonts w:ascii="Arial" w:cs="Arial" w:eastAsia="Arial" w:hAnsi="Arial"/>
                <w:sz w:val="12"/>
                <w:szCs w:val="12"/>
                <w:b w:val="1"/>
                <w:bCs w:val="1"/>
                <w:color w:val="auto"/>
              </w:rPr>
              <w:t>(in years)</w:t>
            </w: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040" w:type="dxa"/>
            <w:vAlign w:val="bottom"/>
            <w:tcBorders>
              <w:top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Employee</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800,165</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3.24</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6.99</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4,895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485,833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7.91</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(20,861)</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1.21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(17,977)</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6.32</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1,247,160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5.05</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7.41</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3,130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668,465</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2.61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2,946</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4.84</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3,138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1,171,380</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1,247,160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5.05</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7.41</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3,130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94,871</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(2,564)</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0.62</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(1,928)</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76"/>
              </w:rPr>
              <w:t>7.47</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1,337,539</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5.19</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7.36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4,376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726,702</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3.09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5.73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3,790</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5.01</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7.21</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4,318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1,254,639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b w:val="1"/>
                <w:bCs w:val="1"/>
                <w:color w:val="auto"/>
              </w:rPr>
              <w:t>Non-Employee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Outstanding at December 31, 2014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343,072</w:t>
            </w:r>
          </w:p>
        </w:tc>
        <w:tc>
          <w:tcPr>
            <w:tcW w:w="100" w:type="dxa"/>
            <w:vAlign w:val="bottom"/>
          </w:tcPr>
          <w:p>
            <w:pPr>
              <w:spacing w:after="0"/>
              <w:rPr>
                <w:sz w:val="11"/>
                <w:szCs w:val="11"/>
                <w:color w:val="auto"/>
              </w:rPr>
            </w:pP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28" w:lineRule="exact"/>
              <w:rPr>
                <w:sz w:val="20"/>
                <w:szCs w:val="20"/>
                <w:color w:val="auto"/>
              </w:rPr>
            </w:pPr>
            <w:r>
              <w:rPr>
                <w:rFonts w:ascii="Arial" w:cs="Arial" w:eastAsia="Arial" w:hAnsi="Arial"/>
                <w:sz w:val="12"/>
                <w:szCs w:val="12"/>
                <w:color w:val="auto"/>
              </w:rPr>
              <w:t>6.5</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2,207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78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(20,852)</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w w:val="76"/>
              </w:rPr>
              <w:t>2.91</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December 31, 2015</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322,200</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2.93</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5.50</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1,288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December 31, 2015</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310,680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2.70</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5.40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December 31, 2015</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2.93</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5.50</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1,288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322,219</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Outstanding at December 31, 2015</w:t>
            </w:r>
          </w:p>
        </w:tc>
        <w:tc>
          <w:tcPr>
            <w:tcW w:w="6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322,220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2.91</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5.50</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1,288</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(unaudited)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shd w:val="clear" w:color="auto" w:fill="CCEEFF"/>
          </w:tcPr>
          <w:p>
            <w:pPr>
              <w:ind w:left="100"/>
              <w:spacing w:after="0" w:line="128" w:lineRule="exact"/>
              <w:rPr>
                <w:sz w:val="20"/>
                <w:szCs w:val="20"/>
                <w:color w:val="auto"/>
              </w:rPr>
            </w:pPr>
            <w:r>
              <w:rPr>
                <w:rFonts w:ascii="Arial" w:cs="Arial" w:eastAsia="Arial" w:hAnsi="Arial"/>
                <w:sz w:val="12"/>
                <w:szCs w:val="12"/>
                <w:color w:val="auto"/>
              </w:rPr>
              <w:t>Granted</w:t>
            </w: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76,923</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line="128" w:lineRule="exact"/>
              <w:rPr>
                <w:sz w:val="20"/>
                <w:szCs w:val="20"/>
                <w:color w:val="auto"/>
              </w:rPr>
            </w:pPr>
            <w:r>
              <w:rPr>
                <w:rFonts w:ascii="Arial" w:cs="Arial" w:eastAsia="Arial" w:hAnsi="Arial"/>
                <w:sz w:val="12"/>
                <w:szCs w:val="12"/>
                <w:color w:val="auto"/>
                <w:w w:val="76"/>
              </w:rPr>
              <w:t>7.02</w:t>
            </w:r>
          </w:p>
        </w:tc>
        <w:tc>
          <w:tcPr>
            <w:tcW w:w="114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40" w:type="dxa"/>
            <w:vAlign w:val="bottom"/>
          </w:tcPr>
          <w:p>
            <w:pPr>
              <w:ind w:left="100"/>
              <w:spacing w:after="0" w:line="128" w:lineRule="exact"/>
              <w:rPr>
                <w:sz w:val="20"/>
                <w:szCs w:val="20"/>
                <w:color w:val="auto"/>
              </w:rPr>
            </w:pPr>
            <w:r>
              <w:rPr>
                <w:rFonts w:ascii="Arial" w:cs="Arial" w:eastAsia="Arial" w:hAnsi="Arial"/>
                <w:sz w:val="12"/>
                <w:szCs w:val="12"/>
                <w:color w:val="auto"/>
              </w:rPr>
              <w:t>Exercised</w:t>
            </w:r>
          </w:p>
        </w:tc>
        <w:tc>
          <w:tcPr>
            <w:tcW w:w="780" w:type="dxa"/>
            <w:vAlign w:val="bottom"/>
            <w:gridSpan w:val="2"/>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703"/>
              <w:spacing w:after="0" w:line="128"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28"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Forfeited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060" w:type="dxa"/>
            <w:vAlign w:val="bottom"/>
            <w:gridSpan w:val="2"/>
          </w:tcPr>
          <w:p>
            <w:pPr>
              <w:spacing w:after="0" w:line="119" w:lineRule="exact"/>
              <w:rPr>
                <w:sz w:val="20"/>
                <w:szCs w:val="20"/>
                <w:color w:val="auto"/>
              </w:rPr>
            </w:pPr>
            <w:r>
              <w:rPr>
                <w:rFonts w:ascii="Arial" w:cs="Arial" w:eastAsia="Arial" w:hAnsi="Arial"/>
                <w:sz w:val="12"/>
                <w:szCs w:val="12"/>
                <w:color w:val="auto"/>
              </w:rPr>
              <w:t>Outstanding at March 31, 2016</w:t>
            </w:r>
          </w:p>
        </w:tc>
        <w:tc>
          <w:tcPr>
            <w:tcW w:w="68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2"/>
                <w:szCs w:val="12"/>
                <w:color w:val="auto"/>
              </w:rPr>
              <w:t>399,143</w:t>
            </w:r>
          </w:p>
        </w:tc>
        <w:tc>
          <w:tcPr>
            <w:tcW w:w="100" w:type="dxa"/>
            <w:vAlign w:val="bottom"/>
          </w:tcPr>
          <w:p>
            <w:pPr>
              <w:spacing w:after="0"/>
              <w:rPr>
                <w:sz w:val="10"/>
                <w:szCs w:val="10"/>
                <w:color w:val="auto"/>
              </w:rPr>
            </w:pPr>
          </w:p>
        </w:tc>
        <w:tc>
          <w:tcPr>
            <w:tcW w:w="860" w:type="dxa"/>
            <w:vAlign w:val="bottom"/>
          </w:tcPr>
          <w:p>
            <w:pPr>
              <w:jc w:val="right"/>
              <w:ind w:right="703"/>
              <w:spacing w:after="0" w:line="119"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3"/>
              <w:spacing w:after="0" w:line="119" w:lineRule="exact"/>
              <w:rPr>
                <w:sz w:val="20"/>
                <w:szCs w:val="20"/>
                <w:color w:val="auto"/>
              </w:rPr>
            </w:pPr>
            <w:r>
              <w:rPr>
                <w:rFonts w:ascii="Arial" w:cs="Arial" w:eastAsia="Arial" w:hAnsi="Arial"/>
                <w:sz w:val="12"/>
                <w:szCs w:val="12"/>
                <w:color w:val="auto"/>
                <w:w w:val="76"/>
              </w:rPr>
              <w:t>3.72</w:t>
            </w:r>
          </w:p>
        </w:tc>
        <w:tc>
          <w:tcPr>
            <w:tcW w:w="1140" w:type="dxa"/>
            <w:vAlign w:val="bottom"/>
          </w:tcPr>
          <w:p>
            <w:pPr>
              <w:jc w:val="right"/>
              <w:ind w:right="3"/>
              <w:spacing w:after="0" w:line="119" w:lineRule="exact"/>
              <w:rPr>
                <w:sz w:val="20"/>
                <w:szCs w:val="20"/>
                <w:color w:val="auto"/>
              </w:rPr>
            </w:pPr>
            <w:r>
              <w:rPr>
                <w:rFonts w:ascii="Arial" w:cs="Arial" w:eastAsia="Arial" w:hAnsi="Arial"/>
                <w:sz w:val="12"/>
                <w:szCs w:val="12"/>
                <w:color w:val="auto"/>
              </w:rPr>
              <w:t>6.16</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1,787</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shd w:val="clear" w:color="auto" w:fill="CCEEFF"/>
          </w:tcPr>
          <w:p>
            <w:pPr>
              <w:spacing w:after="0" w:line="103" w:lineRule="exact"/>
              <w:rPr>
                <w:sz w:val="20"/>
                <w:szCs w:val="20"/>
                <w:color w:val="auto"/>
              </w:rPr>
            </w:pPr>
            <w:r>
              <w:rPr>
                <w:rFonts w:ascii="Arial" w:cs="Arial" w:eastAsia="Arial" w:hAnsi="Arial"/>
                <w:sz w:val="10"/>
                <w:szCs w:val="10"/>
                <w:color w:val="auto"/>
              </w:rPr>
              <w:t>Vested at March 31, 2016</w:t>
            </w:r>
          </w:p>
        </w:tc>
        <w:tc>
          <w:tcPr>
            <w:tcW w:w="680" w:type="dxa"/>
            <w:vAlign w:val="bottom"/>
            <w:tcBorders>
              <w:bottom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316,770</w:t>
            </w: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03"/>
              <w:spacing w:after="0" w:line="10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23"/>
              <w:spacing w:after="0" w:line="103" w:lineRule="exact"/>
              <w:rPr>
                <w:sz w:val="20"/>
                <w:szCs w:val="20"/>
                <w:color w:val="auto"/>
              </w:rPr>
            </w:pPr>
            <w:r>
              <w:rPr>
                <w:rFonts w:ascii="Arial" w:cs="Arial" w:eastAsia="Arial" w:hAnsi="Arial"/>
                <w:sz w:val="10"/>
                <w:szCs w:val="10"/>
                <w:color w:val="auto"/>
                <w:w w:val="92"/>
              </w:rPr>
              <w:t>2.79</w:t>
            </w:r>
          </w:p>
        </w:tc>
        <w:tc>
          <w:tcPr>
            <w:tcW w:w="1140" w:type="dxa"/>
            <w:vAlign w:val="bottom"/>
            <w:shd w:val="clear" w:color="auto" w:fill="CCEEFF"/>
          </w:tcPr>
          <w:p>
            <w:pPr>
              <w:jc w:val="right"/>
              <w:ind w:right="3"/>
              <w:spacing w:after="0" w:line="103" w:lineRule="exact"/>
              <w:rPr>
                <w:sz w:val="20"/>
                <w:szCs w:val="20"/>
                <w:color w:val="auto"/>
              </w:rPr>
            </w:pPr>
            <w:r>
              <w:rPr>
                <w:rFonts w:ascii="Arial" w:cs="Arial" w:eastAsia="Arial" w:hAnsi="Arial"/>
                <w:sz w:val="10"/>
                <w:szCs w:val="10"/>
                <w:color w:val="auto"/>
              </w:rPr>
              <w:t>5.23</w:t>
            </w:r>
          </w:p>
        </w:tc>
        <w:tc>
          <w:tcPr>
            <w:tcW w:w="140" w:type="dxa"/>
            <w:vAlign w:val="bottom"/>
            <w:shd w:val="clear" w:color="auto" w:fill="CCEEFF"/>
          </w:tcPr>
          <w:p>
            <w:pPr>
              <w:ind w:left="80"/>
              <w:spacing w:after="0" w:line="103" w:lineRule="exact"/>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03" w:lineRule="exact"/>
              <w:rPr>
                <w:sz w:val="20"/>
                <w:szCs w:val="20"/>
                <w:color w:val="auto"/>
              </w:rPr>
            </w:pPr>
            <w:r>
              <w:rPr>
                <w:rFonts w:ascii="Arial" w:cs="Arial" w:eastAsia="Arial" w:hAnsi="Arial"/>
                <w:sz w:val="10"/>
                <w:szCs w:val="10"/>
                <w:color w:val="auto"/>
              </w:rPr>
              <w:t>1,705</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2"/>
                <w:szCs w:val="12"/>
                <w:color w:val="auto"/>
              </w:rPr>
              <w:t>Vested and expected to vest at March 31, 2016</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703"/>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3"/>
              <w:spacing w:after="0"/>
              <w:rPr>
                <w:sz w:val="20"/>
                <w:szCs w:val="20"/>
                <w:color w:val="auto"/>
              </w:rPr>
            </w:pPr>
            <w:r>
              <w:rPr>
                <w:rFonts w:ascii="Arial" w:cs="Arial" w:eastAsia="Arial" w:hAnsi="Arial"/>
                <w:sz w:val="12"/>
                <w:szCs w:val="12"/>
                <w:color w:val="auto"/>
                <w:w w:val="76"/>
              </w:rPr>
              <w:t>3.72</w:t>
            </w:r>
          </w:p>
        </w:tc>
        <w:tc>
          <w:tcPr>
            <w:tcW w:w="1140" w:type="dxa"/>
            <w:vAlign w:val="bottom"/>
            <w:vMerge w:val="restart"/>
          </w:tcPr>
          <w:p>
            <w:pPr>
              <w:jc w:val="right"/>
              <w:ind w:right="3"/>
              <w:spacing w:after="0"/>
              <w:rPr>
                <w:sz w:val="20"/>
                <w:szCs w:val="20"/>
                <w:color w:val="auto"/>
              </w:rPr>
            </w:pPr>
            <w:r>
              <w:rPr>
                <w:rFonts w:ascii="Arial" w:cs="Arial" w:eastAsia="Arial" w:hAnsi="Arial"/>
                <w:sz w:val="12"/>
                <w:szCs w:val="12"/>
                <w:color w:val="auto"/>
              </w:rPr>
              <w:t>6.16</w:t>
            </w:r>
          </w:p>
        </w:tc>
        <w:tc>
          <w:tcPr>
            <w:tcW w:w="140" w:type="dxa"/>
            <w:vAlign w:val="bottom"/>
            <w:vMerge w:val="restart"/>
          </w:tcPr>
          <w:p>
            <w:pPr>
              <w:ind w:left="8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1,787</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60" w:type="dxa"/>
            <w:vAlign w:val="bottom"/>
            <w:gridSpan w:val="2"/>
            <w:vMerge w:val="continue"/>
          </w:tcPr>
          <w:p>
            <w:pPr>
              <w:spacing w:after="0"/>
              <w:rPr>
                <w:sz w:val="8"/>
                <w:szCs w:val="8"/>
                <w:color w:val="auto"/>
              </w:rPr>
            </w:pPr>
          </w:p>
        </w:tc>
        <w:tc>
          <w:tcPr>
            <w:tcW w:w="68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399,143</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26630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5" w:name="page266"/>
    <w:bookmarkEnd w:id="26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a repurchase provision whereby the Company has the right to repurchase any unvested shares when/if the shareholders terminate their business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As of December 31, 2014 and 2015 and at March 31, 2016, the remaining liability was less than $0.1 million.</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Total fair value of restricted shares that vested during the years ended December 31, 2014 and 2015, was $0.1 million and less than $0.1 million, respectively, and for the three months ended March 31, 2016 was less than $0.1 million.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restricted stock award activity of the Plan during the year ended December 31, 2014 and 2015 and for the three months ended March 31, 2016:</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Three months ended</w:t>
            </w:r>
          </w:p>
        </w:tc>
      </w:tr>
      <w:tr>
        <w:trPr>
          <w:trHeight w:val="149"/>
        </w:trPr>
        <w:tc>
          <w:tcPr>
            <w:tcW w:w="4760" w:type="dxa"/>
            <w:vAlign w:val="bottom"/>
          </w:tcPr>
          <w:p>
            <w:pPr>
              <w:spacing w:after="0"/>
              <w:rPr>
                <w:sz w:val="12"/>
                <w:szCs w:val="12"/>
                <w:color w:val="auto"/>
              </w:rPr>
            </w:pPr>
          </w:p>
        </w:tc>
        <w:tc>
          <w:tcPr>
            <w:tcW w:w="1380" w:type="dxa"/>
            <w:vAlign w:val="bottom"/>
            <w:gridSpan w:val="5"/>
          </w:tcPr>
          <w:p>
            <w:pPr>
              <w:jc w:val="right"/>
              <w:ind w:right="69"/>
              <w:spacing w:after="0"/>
              <w:rPr>
                <w:sz w:val="20"/>
                <w:szCs w:val="20"/>
                <w:color w:val="auto"/>
              </w:rPr>
            </w:pPr>
            <w:r>
              <w:rPr>
                <w:rFonts w:ascii="Arial" w:cs="Arial" w:eastAsia="Arial" w:hAnsi="Arial"/>
                <w:sz w:val="12"/>
                <w:szCs w:val="12"/>
                <w:b w:val="1"/>
                <w:bCs w:val="1"/>
                <w:color w:val="auto"/>
              </w:rPr>
              <w:t>December 31, 2014</w:t>
            </w:r>
          </w:p>
        </w:tc>
        <w:tc>
          <w:tcPr>
            <w:tcW w:w="140" w:type="dxa"/>
            <w:vAlign w:val="bottom"/>
          </w:tcPr>
          <w:p>
            <w:pPr>
              <w:spacing w:after="0"/>
              <w:rPr>
                <w:sz w:val="12"/>
                <w:szCs w:val="12"/>
                <w:color w:val="auto"/>
              </w:rPr>
            </w:pPr>
          </w:p>
        </w:tc>
        <w:tc>
          <w:tcPr>
            <w:tcW w:w="1320" w:type="dxa"/>
            <w:vAlign w:val="bottom"/>
            <w:gridSpan w:val="5"/>
          </w:tcPr>
          <w:p>
            <w:pPr>
              <w:jc w:val="right"/>
              <w:ind w:right="29"/>
              <w:spacing w:after="0"/>
              <w:rPr>
                <w:sz w:val="20"/>
                <w:szCs w:val="20"/>
                <w:color w:val="auto"/>
              </w:rPr>
            </w:pPr>
            <w:r>
              <w:rPr>
                <w:rFonts w:ascii="Arial" w:cs="Arial" w:eastAsia="Arial" w:hAnsi="Arial"/>
                <w:sz w:val="12"/>
                <w:szCs w:val="12"/>
                <w:b w:val="1"/>
                <w:bCs w:val="1"/>
                <w:color w:val="auto"/>
              </w:rPr>
              <w:t>December 31, 2015</w:t>
            </w:r>
          </w:p>
        </w:tc>
        <w:tc>
          <w:tcPr>
            <w:tcW w:w="140" w:type="dxa"/>
            <w:vAlign w:val="bottom"/>
          </w:tcPr>
          <w:p>
            <w:pPr>
              <w:spacing w:after="0"/>
              <w:rPr>
                <w:sz w:val="12"/>
                <w:szCs w:val="12"/>
                <w:color w:val="auto"/>
              </w:rPr>
            </w:pPr>
          </w:p>
        </w:tc>
        <w:tc>
          <w:tcPr>
            <w:tcW w:w="1460" w:type="dxa"/>
            <w:vAlign w:val="bottom"/>
            <w:gridSpan w:val="6"/>
          </w:tcPr>
          <w:p>
            <w:pPr>
              <w:jc w:val="center"/>
              <w:ind w:right="140"/>
              <w:spacing w:after="0"/>
              <w:rPr>
                <w:sz w:val="20"/>
                <w:szCs w:val="20"/>
                <w:color w:val="auto"/>
              </w:rPr>
            </w:pPr>
            <w:r>
              <w:rPr>
                <w:rFonts w:ascii="Arial" w:cs="Arial" w:eastAsia="Arial" w:hAnsi="Arial"/>
                <w:sz w:val="12"/>
                <w:szCs w:val="12"/>
                <w:b w:val="1"/>
                <w:bCs w:val="1"/>
                <w:color w:val="auto"/>
              </w:rPr>
              <w:t>March 31, 2016</w:t>
            </w:r>
          </w:p>
        </w:tc>
      </w:tr>
      <w:tr>
        <w:trPr>
          <w:trHeight w:val="121"/>
        </w:trPr>
        <w:tc>
          <w:tcPr>
            <w:tcW w:w="47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2"/>
                <w:szCs w:val="12"/>
                <w:b w:val="1"/>
                <w:bCs w:val="1"/>
                <w:color w:val="auto"/>
              </w:rPr>
              <w:t>Weighted-</w:t>
            </w:r>
          </w:p>
        </w:tc>
        <w:tc>
          <w:tcPr>
            <w:tcW w:w="140" w:type="dxa"/>
            <w:vAlign w:val="bottom"/>
          </w:tcPr>
          <w:p>
            <w:pPr>
              <w:spacing w:after="0"/>
              <w:rPr>
                <w:sz w:val="10"/>
                <w:szCs w:val="10"/>
                <w:color w:val="auto"/>
              </w:rPr>
            </w:pP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9"/>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average</w:t>
            </w:r>
          </w:p>
        </w:tc>
      </w:tr>
      <w:tr>
        <w:trPr>
          <w:trHeight w:val="139"/>
        </w:trPr>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exercise</w:t>
            </w:r>
          </w:p>
        </w:tc>
      </w:tr>
      <w:tr>
        <w:trPr>
          <w:trHeight w:val="167"/>
        </w:trPr>
        <w:tc>
          <w:tcPr>
            <w:tcW w:w="47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center"/>
              <w:ind w:right="2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price</w:t>
            </w:r>
          </w:p>
        </w:tc>
      </w:tr>
      <w:tr>
        <w:trPr>
          <w:trHeight w:val="136"/>
        </w:trPr>
        <w:tc>
          <w:tcPr>
            <w:tcW w:w="47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5"/>
          </w:tcPr>
          <w:p>
            <w:pPr>
              <w:jc w:val="center"/>
              <w:spacing w:after="0" w:line="13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Unvested at beginning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70,804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15,264</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7,574</w:t>
            </w: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85"/>
        </w:trPr>
        <w:tc>
          <w:tcPr>
            <w:tcW w:w="4760" w:type="dxa"/>
            <w:vAlign w:val="bottom"/>
          </w:tcPr>
          <w:p>
            <w:pPr>
              <w:ind w:left="160"/>
              <w:spacing w:after="0"/>
              <w:rPr>
                <w:sz w:val="20"/>
                <w:szCs w:val="20"/>
                <w:color w:val="auto"/>
              </w:rPr>
            </w:pPr>
            <w:r>
              <w:rPr>
                <w:rFonts w:ascii="Arial" w:cs="Arial" w:eastAsia="Arial" w:hAnsi="Arial"/>
                <w:sz w:val="15"/>
                <w:szCs w:val="15"/>
                <w:color w:val="auto"/>
              </w:rPr>
              <w:t>Issued</w:t>
            </w:r>
          </w:p>
        </w:tc>
        <w:tc>
          <w:tcPr>
            <w:tcW w:w="620" w:type="dxa"/>
            <w:vAlign w:val="bottom"/>
          </w:tcPr>
          <w:p>
            <w:pPr>
              <w:jc w:val="right"/>
              <w:spacing w:after="0"/>
              <w:rPr>
                <w:sz w:val="20"/>
                <w:szCs w:val="20"/>
                <w:color w:val="auto"/>
              </w:rPr>
            </w:pPr>
            <w:r>
              <w:rPr>
                <w:rFonts w:ascii="Arial" w:cs="Arial" w:eastAsia="Arial" w:hAnsi="Arial"/>
                <w:sz w:val="15"/>
                <w:szCs w:val="15"/>
                <w:color w:val="auto"/>
              </w:rPr>
              <w:t>2,564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0.62</w:t>
            </w: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47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Vested</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(58,104)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(7,690)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(1,895)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6"/>
                <w:szCs w:val="16"/>
                <w:color w:val="auto"/>
              </w:rPr>
            </w:pPr>
          </w:p>
        </w:tc>
      </w:tr>
      <w:tr>
        <w:trPr>
          <w:trHeight w:val="177"/>
        </w:trPr>
        <w:tc>
          <w:tcPr>
            <w:tcW w:w="4760" w:type="dxa"/>
            <w:vAlign w:val="bottom"/>
          </w:tcPr>
          <w:p>
            <w:pPr>
              <w:spacing w:after="0"/>
              <w:rPr>
                <w:sz w:val="20"/>
                <w:szCs w:val="20"/>
                <w:color w:val="auto"/>
              </w:rPr>
            </w:pPr>
            <w:r>
              <w:rPr>
                <w:rFonts w:ascii="Arial" w:cs="Arial" w:eastAsia="Arial" w:hAnsi="Arial"/>
                <w:sz w:val="15"/>
                <w:szCs w:val="15"/>
                <w:color w:val="auto"/>
              </w:rPr>
              <w:t>Unvested at end of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15,264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7,574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2.77</w:t>
            </w:r>
          </w:p>
        </w:tc>
        <w:tc>
          <w:tcPr>
            <w:tcW w:w="140" w:type="dxa"/>
            <w:vAlign w:val="bottom"/>
          </w:tcPr>
          <w:p>
            <w:pPr>
              <w:spacing w:after="0"/>
              <w:rPr>
                <w:sz w:val="15"/>
                <w:szCs w:val="15"/>
                <w:color w:val="auto"/>
              </w:rPr>
            </w:pPr>
          </w:p>
        </w:tc>
      </w:tr>
      <w:tr>
        <w:trPr>
          <w:trHeight w:val="20"/>
        </w:trPr>
        <w:tc>
          <w:tcPr>
            <w:tcW w:w="4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As of December 31, 2014 and 2015 and for the three months ended March 31, 2016, total unrecognized compensation expense related to restricted stock awards was less than $0.1 million, which the Company expects to recognize over a weighted average period of approximately 2.0 years, 1.0 year and 0.8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66" w:name="page267"/>
    <w:bookmarkEnd w:id="266"/>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right="280"/>
        <w:spacing w:after="0" w:line="282" w:lineRule="auto"/>
        <w:rPr>
          <w:sz w:val="20"/>
          <w:szCs w:val="20"/>
          <w:color w:val="auto"/>
        </w:rPr>
      </w:pPr>
      <w:r>
        <w:rPr>
          <w:rFonts w:ascii="Arial" w:cs="Arial" w:eastAsia="Arial" w:hAnsi="Arial"/>
          <w:sz w:val="15"/>
          <w:szCs w:val="15"/>
          <w:color w:val="auto"/>
        </w:rPr>
        <w:t>During the years ended December 31, 2014 and 2015 and for the three months ended March 31, 2015 and 2016, the Company recorded stock-based compensation expense as follows (in thousands):</w:t>
      </w:r>
    </w:p>
    <w:p>
      <w:pPr>
        <w:spacing w:after="0" w:line="148"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rPr>
              <w:t>Three months</w:t>
            </w:r>
          </w:p>
        </w:tc>
      </w:tr>
      <w:tr>
        <w:trPr>
          <w:trHeight w:val="13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228"/>
              <w:spacing w:after="0"/>
              <w:rPr>
                <w:sz w:val="20"/>
                <w:szCs w:val="20"/>
                <w:color w:val="auto"/>
              </w:rPr>
            </w:pPr>
            <w:r>
              <w:rPr>
                <w:rFonts w:ascii="Arial" w:cs="Arial" w:eastAsia="Arial" w:hAnsi="Arial"/>
                <w:sz w:val="12"/>
                <w:szCs w:val="12"/>
                <w:b w:val="1"/>
                <w:bCs w:val="1"/>
                <w:color w:val="auto"/>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left="72"/>
              <w:spacing w:after="0"/>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March 31,</w:t>
            </w:r>
          </w:p>
        </w:tc>
        <w:tc>
          <w:tcPr>
            <w:tcW w:w="2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2014</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2015</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2"/>
                <w:szCs w:val="12"/>
                <w:b w:val="1"/>
                <w:bCs w:val="1"/>
                <w:color w:val="auto"/>
              </w:rPr>
              <w:t>2015</w:t>
            </w:r>
          </w:p>
        </w:tc>
        <w:tc>
          <w:tcPr>
            <w:tcW w:w="5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3"/>
                <w:szCs w:val="13"/>
                <w:color w:val="auto"/>
              </w:rPr>
            </w:pPr>
          </w:p>
        </w:tc>
      </w:tr>
      <w:tr>
        <w:trPr>
          <w:trHeight w:val="131"/>
        </w:trPr>
        <w:tc>
          <w:tcPr>
            <w:tcW w:w="41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center"/>
              <w:ind w:right="45"/>
              <w:spacing w:after="0" w:line="131"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1"/>
                <w:szCs w:val="11"/>
                <w:color w:val="auto"/>
              </w:rPr>
            </w:pPr>
          </w:p>
        </w:tc>
      </w:tr>
      <w:tr>
        <w:trPr>
          <w:trHeight w:val="185"/>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167</w:t>
            </w:r>
          </w:p>
        </w:tc>
        <w:tc>
          <w:tcPr>
            <w:tcW w:w="140" w:type="dxa"/>
            <w:vAlign w:val="bottom"/>
            <w:shd w:val="clear" w:color="auto" w:fill="CCEEFF"/>
          </w:tcPr>
          <w:p>
            <w:pPr>
              <w:spacing w:after="0"/>
              <w:rPr>
                <w:sz w:val="16"/>
                <w:szCs w:val="16"/>
                <w:color w:val="auto"/>
              </w:rPr>
            </w:pPr>
          </w:p>
        </w:tc>
      </w:tr>
      <w:tr>
        <w:trPr>
          <w:trHeight w:val="185"/>
        </w:trPr>
        <w:tc>
          <w:tcPr>
            <w:tcW w:w="410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79"/>
              </w:rPr>
              <w:t>170</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9"/>
              </w:rPr>
              <w:t>115</w:t>
            </w:r>
          </w:p>
        </w:tc>
        <w:tc>
          <w:tcPr>
            <w:tcW w:w="140" w:type="dxa"/>
            <w:vAlign w:val="bottom"/>
          </w:tcPr>
          <w:p>
            <w:pPr>
              <w:spacing w:after="0"/>
              <w:rPr>
                <w:sz w:val="16"/>
                <w:szCs w:val="16"/>
                <w:color w:val="auto"/>
              </w:rPr>
            </w:pPr>
          </w:p>
        </w:tc>
      </w:tr>
      <w:tr>
        <w:trPr>
          <w:trHeight w:val="177"/>
        </w:trPr>
        <w:tc>
          <w:tcPr>
            <w:tcW w:w="41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5"/>
                <w:szCs w:val="15"/>
                <w:color w:val="auto"/>
                <w:w w:val="79"/>
              </w:rPr>
              <w:t>302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282</w:t>
            </w:r>
          </w:p>
        </w:tc>
        <w:tc>
          <w:tcPr>
            <w:tcW w:w="140" w:type="dxa"/>
            <w:vAlign w:val="bottom"/>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7" w:right="9200" w:hanging="7"/>
        <w:spacing w:after="0" w:line="541" w:lineRule="auto"/>
        <w:tabs>
          <w:tab w:leader="none" w:pos="259"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Revenue arrangements Sanofi collaboration agreement</w:t>
      </w:r>
    </w:p>
    <w:p>
      <w:pPr>
        <w:ind w:left="7" w:right="200"/>
        <w:spacing w:after="0" w:line="362" w:lineRule="auto"/>
        <w:rPr>
          <w:sz w:val="20"/>
          <w:szCs w:val="20"/>
          <w:color w:val="auto"/>
        </w:rPr>
      </w:pPr>
      <w:r>
        <w:rPr>
          <w:rFonts w:ascii="Arial" w:cs="Arial" w:eastAsia="Arial" w:hAnsi="Arial"/>
          <w:sz w:val="13"/>
          <w:szCs w:val="13"/>
          <w:color w:val="auto"/>
        </w:rPr>
        <w:t>On November 27, 2012, the Company and Sanofi entered into a license and research collaboration agreement focused on the identification and development of vaccines against food allergies. Under the arrangement, the Company will perform research to identify an initial vaccine candidate for development and commercialization by Sanofi under an exclusive license.</w:t>
      </w:r>
    </w:p>
    <w:p>
      <w:pPr>
        <w:spacing w:after="0" w:line="105" w:lineRule="exact"/>
        <w:rPr>
          <w:sz w:val="20"/>
          <w:szCs w:val="20"/>
          <w:color w:val="auto"/>
        </w:rPr>
      </w:pPr>
    </w:p>
    <w:p>
      <w:pPr>
        <w:ind w:left="7" w:right="480"/>
        <w:spacing w:after="0" w:line="282" w:lineRule="auto"/>
        <w:rPr>
          <w:sz w:val="20"/>
          <w:szCs w:val="20"/>
          <w:color w:val="auto"/>
        </w:rPr>
      </w:pPr>
      <w:r>
        <w:rPr>
          <w:rFonts w:ascii="Arial" w:cs="Arial" w:eastAsia="Arial" w:hAnsi="Arial"/>
          <w:sz w:val="15"/>
          <w:szCs w:val="15"/>
          <w:color w:val="auto"/>
        </w:rPr>
        <w:t>In November 2014, Sanofi exercised the option to include celiac disease as an additional indication and the Sanofi Agreement was amended to add terms specific to the celiac disease indication and to terminate Sanofi's right to exercise its option for any additional indications in May 2015.</w:t>
      </w:r>
    </w:p>
    <w:p>
      <w:pPr>
        <w:spacing w:after="0" w:line="151" w:lineRule="exact"/>
        <w:rPr>
          <w:sz w:val="20"/>
          <w:szCs w:val="20"/>
          <w:color w:val="auto"/>
        </w:rPr>
      </w:pPr>
    </w:p>
    <w:p>
      <w:pPr>
        <w:ind w:left="7" w:right="520"/>
        <w:spacing w:after="0" w:line="319" w:lineRule="auto"/>
        <w:rPr>
          <w:sz w:val="20"/>
          <w:szCs w:val="20"/>
          <w:color w:val="auto"/>
        </w:rPr>
      </w:pPr>
      <w:r>
        <w:rPr>
          <w:rFonts w:ascii="Arial" w:cs="Arial" w:eastAsia="Arial" w:hAnsi="Arial"/>
          <w:sz w:val="14"/>
          <w:szCs w:val="14"/>
          <w:color w:val="auto"/>
        </w:rPr>
        <w:t>Each party will carry out its obligations under the collaboration in accordance with a research plan approved by a Joint Research Committee ("JRC"). The Company will perform the majority of the research work to identify the potential candidate, and once identified, Sanofi will primarily be responsible for the clinical development of the candidate.</w:t>
      </w:r>
    </w:p>
    <w:p>
      <w:pPr>
        <w:spacing w:after="0" w:line="128" w:lineRule="exact"/>
        <w:rPr>
          <w:sz w:val="20"/>
          <w:szCs w:val="20"/>
          <w:color w:val="auto"/>
        </w:rPr>
      </w:pPr>
    </w:p>
    <w:p>
      <w:pPr>
        <w:ind w:left="7" w:right="40"/>
        <w:spacing w:after="0" w:line="270" w:lineRule="auto"/>
        <w:rPr>
          <w:sz w:val="20"/>
          <w:szCs w:val="20"/>
          <w:color w:val="auto"/>
        </w:rPr>
      </w:pPr>
      <w:r>
        <w:rPr>
          <w:rFonts w:ascii="Arial" w:cs="Arial" w:eastAsia="Arial" w:hAnsi="Arial"/>
          <w:sz w:val="15"/>
          <w:szCs w:val="15"/>
          <w:color w:val="auto"/>
        </w:rPr>
        <w:t>At any time during the term of the development plan, but before the fifth anniversary of the start of the research term for the applicable indication, Sanofi and the Company may agree to replace the previously nominated development candidate with a new development candidate. The Company would be entitled to additional consideration for any research services performed at such time.</w:t>
      </w:r>
    </w:p>
    <w:p>
      <w:pPr>
        <w:spacing w:after="0" w:line="159" w:lineRule="exact"/>
        <w:rPr>
          <w:sz w:val="20"/>
          <w:szCs w:val="20"/>
          <w:color w:val="auto"/>
        </w:rPr>
      </w:pPr>
    </w:p>
    <w:p>
      <w:pPr>
        <w:ind w:left="7" w:right="60"/>
        <w:spacing w:after="0" w:line="284" w:lineRule="auto"/>
        <w:rPr>
          <w:sz w:val="20"/>
          <w:szCs w:val="20"/>
          <w:color w:val="auto"/>
        </w:rPr>
      </w:pPr>
      <w:r>
        <w:rPr>
          <w:rFonts w:ascii="Arial" w:cs="Arial" w:eastAsia="Arial" w:hAnsi="Arial"/>
          <w:sz w:val="14"/>
          <w:szCs w:val="14"/>
          <w:color w:val="auto"/>
        </w:rPr>
        <w:t>The research term for the first indication continues until the earlier of (a) the nomination of a development candidate for the initial indication or (b) the third anniversary of the agreement. The research term for the second indication (celiac disease) will expire upon the earlier of (a) the nomination of a development candidate for the second indication and (b) May 7, 2019. In the event that the Company is unable to complete its research obligations by the expiration of the applicable research term, its obligation will be limited to exercising commercially reasonable efforts to complete such research up to one year after the end of the research term. Each party is responsible for its own internal costs, as well as any third-party or out-of-pocket costs incurred in the performance of the activities laid out in the research plan. If the parties agree to expand the Company's scope of work, such costs will be reimbursed by Sanofi based on an agreed upon budget. Once a development candidate is nominated, all development activities will be under the direction of Sanofi pursuant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66305"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7"/>
          </w:cols>
          <w:pgMar w:left="233" w:top="132" w:right="219" w:bottom="1440" w:gutter="0" w:footer="0" w:header="0"/>
        </w:sectPr>
      </w:pPr>
    </w:p>
    <w:bookmarkStart w:id="267" w:name="page268"/>
    <w:bookmarkEnd w:id="267"/>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development plan to be negotiated and agreed to at that time and Sanofi will pay the Company for expenses incurred within certain approved limits.</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 $3.0 million for each indication, which has been received for the food allergy indication. For each indication, the Company is also eligible for (i) a $5.0 million development candidate milestone payable to the Company at the start of preclinical development, (ii) further development milestones up to an aggregate of $127.0 million, which includes up to an aggregate of $57.0 million following the initiation of Phase I, Phase II and Phase III clinical trials for the indication and filing of the first biologic license application, more than two-thirds of which is attributable to the initiation of the Phase 3 clinical trail and the filing of the first biologic license application, and an aggregate of $70.0 million upon achieving various regulatory approvals in the United States, European Union, Japan and Brazil, Russia, India or China, of which the majority is attributable to regulatory approvals in the United States, (iii) sales milestones of up to an aggregate of $170.0 million, and (iv) tiered royalties on annual net sales of licensed products at percentages ranging from mid-single to low double digits.</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 However, the Company is in discussions with Sanofi to extend the research term for the first indication by one year (until November 27, 2016).</w:t>
      </w:r>
    </w:p>
    <w:p>
      <w:pPr>
        <w:spacing w:after="0" w:line="162" w:lineRule="exact"/>
        <w:rPr>
          <w:sz w:val="20"/>
          <w:szCs w:val="20"/>
          <w:color w:val="auto"/>
        </w:rPr>
      </w:pPr>
    </w:p>
    <w:p>
      <w:pPr>
        <w:ind w:right="60"/>
        <w:spacing w:after="0" w:line="313" w:lineRule="auto"/>
        <w:rPr>
          <w:sz w:val="20"/>
          <w:szCs w:val="20"/>
          <w:color w:val="auto"/>
        </w:rPr>
      </w:pPr>
      <w:r>
        <w:rPr>
          <w:rFonts w:ascii="Arial" w:cs="Arial" w:eastAsia="Arial" w:hAnsi="Arial"/>
          <w:sz w:val="13"/>
          <w:szCs w:val="13"/>
          <w:color w:val="auto"/>
        </w:rPr>
        <w:t>The Company identified the deliverables under the arrangement as the license, the research necessary to identify the development candidate, and participation on the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$2.1 million of revenue during each of the years ended December 31, 2014 and 2015, and $0.5 million and $0.1 million during the three months ended March 31, 2015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26630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268" w:name="page269"/>
    <w:bookmarkEnd w:id="26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research and collaboration agreements</w:t>
      </w:r>
    </w:p>
    <w:p>
      <w:pPr>
        <w:spacing w:after="0" w:line="195" w:lineRule="exact"/>
        <w:rPr>
          <w:sz w:val="20"/>
          <w:szCs w:val="20"/>
          <w:color w:val="auto"/>
        </w:rPr>
      </w:pPr>
    </w:p>
    <w:p>
      <w:pPr>
        <w:ind w:right="20"/>
        <w:spacing w:after="0" w:line="362" w:lineRule="auto"/>
        <w:rPr>
          <w:sz w:val="20"/>
          <w:szCs w:val="20"/>
          <w:color w:val="auto"/>
        </w:rPr>
      </w:pPr>
      <w:r>
        <w:rPr>
          <w:rFonts w:ascii="Arial" w:cs="Arial" w:eastAsia="Arial" w:hAnsi="Arial"/>
          <w:sz w:val="13"/>
          <w:szCs w:val="13"/>
          <w:color w:val="auto"/>
        </w:rPr>
        <w:t>The Company has entered into other research and collaboration agreements in 2014 and 2015 for which the Company did not recognize any revenue for the period ended December 31, 2014 and recognized revenue in the amount of $0.3 million for the period ended December 31, 2015, and less than $0.1 million for the three months ended March 31, 2015 and 2016.</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agreements</w:t>
      </w:r>
    </w:p>
    <w:p>
      <w:pPr>
        <w:spacing w:after="0" w:line="195" w:lineRule="exact"/>
        <w:rPr>
          <w:sz w:val="20"/>
          <w:szCs w:val="20"/>
          <w:color w:val="auto"/>
        </w:rPr>
      </w:pPr>
    </w:p>
    <w:p>
      <w:pPr>
        <w:jc w:val="both"/>
        <w:ind w:right="440"/>
        <w:spacing w:after="0" w:line="270" w:lineRule="auto"/>
        <w:rPr>
          <w:sz w:val="20"/>
          <w:szCs w:val="20"/>
          <w:color w:val="auto"/>
        </w:rPr>
      </w:pPr>
      <w:r>
        <w:rPr>
          <w:rFonts w:ascii="Arial" w:cs="Arial" w:eastAsia="Arial" w:hAnsi="Arial"/>
          <w:sz w:val="15"/>
          <w:szCs w:val="15"/>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NIH</w:t>
      </w:r>
    </w:p>
    <w:p>
      <w:pPr>
        <w:spacing w:after="0" w:line="198" w:lineRule="exact"/>
        <w:rPr>
          <w:sz w:val="20"/>
          <w:szCs w:val="20"/>
          <w:color w:val="auto"/>
        </w:rPr>
      </w:pPr>
    </w:p>
    <w:p>
      <w:pPr>
        <w:ind w:right="280"/>
        <w:spacing w:after="0" w:line="266" w:lineRule="auto"/>
        <w:rPr>
          <w:sz w:val="20"/>
          <w:szCs w:val="20"/>
          <w:color w:val="auto"/>
        </w:rPr>
      </w:pPr>
      <w:r>
        <w:rPr>
          <w:rFonts w:ascii="Arial" w:cs="Arial" w:eastAsia="Arial" w:hAnsi="Arial"/>
          <w:sz w:val="15"/>
          <w:szCs w:val="15"/>
          <w:color w:val="auto"/>
        </w:rPr>
        <w:t>The Company has two grants through the Department of Health and Human Services, National Institutes of Health ("NIH"). The first grant, for an aggregate amount of $8.1 million, was awarded in May 2014 to support research in the development of a next generation vaccine for smoking cessation and relapse prevention. The Company recognized $0.6 million and $2.4 million of revenue for the periods ending December 31, 2014 and 2015, respectively, and $0.4 million and $1.8 million for the three months ended March 31, 2015 and 2016, respectively, under the arrangement.</w:t>
      </w:r>
    </w:p>
    <w:p>
      <w:pPr>
        <w:spacing w:after="0" w:line="162"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The second grant is for an aggregate amount of $0.2 million, which was awarded in September 2015 for the development of nanoparticles for immune tolerance to factor VIII. The company recognized revenue in the amount of $0.1 million for the year ended December 31, 2015 and less than $0.1 million for the three months ended March 31, 2016.</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JDRF</w:t>
      </w:r>
    </w:p>
    <w:p>
      <w:pPr>
        <w:spacing w:after="0" w:line="19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The Company had two contracts in effect with JDRF during 2014, and only one of those contracts was in effect during 2015. The first contract was a continuation and completion of the 2011 grant for $0.8 million. The Company recognized the remaining $0.2 million of revenue during the year ended December 31, 2014 under this contract. The second JDRF grant is a joint grant with Sanofi entered into in September 2014 for $0.4 million to conduct Type 1 Diabetes research. The Company recognized less than $0.1 million and $0.2 million of revenue related to this contract during the years ended December 31, 2014 and 2015, respectively, and less than $0.1 million and $0.1 million for the three months ended March 31, 2015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Bill and Melinda Gates Foundation</w:t>
      </w:r>
    </w:p>
    <w:p>
      <w:pPr>
        <w:spacing w:after="0" w:line="198" w:lineRule="exact"/>
        <w:rPr>
          <w:sz w:val="20"/>
          <w:szCs w:val="20"/>
          <w:color w:val="auto"/>
        </w:rPr>
      </w:pPr>
    </w:p>
    <w:p>
      <w:pPr>
        <w:ind w:right="240"/>
        <w:spacing w:after="0" w:line="297" w:lineRule="auto"/>
        <w:rPr>
          <w:sz w:val="20"/>
          <w:szCs w:val="20"/>
          <w:color w:val="auto"/>
        </w:rPr>
      </w:pPr>
      <w:r>
        <w:rPr>
          <w:rFonts w:ascii="Arial" w:cs="Arial" w:eastAsia="Arial" w:hAnsi="Arial"/>
          <w:sz w:val="14"/>
          <w:szCs w:val="14"/>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recognized for the years ending December 31, 2014 and 2015 was $0.2 million and $0.6 million, respectively, and was less than $0.1 million and $0.1 million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266305"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269" w:name="page270"/>
    <w:bookmarkEnd w:id="269"/>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2015 and 2016, respectively. Revenue is recognized on a proportional performance basis as it relates to employee time expended on the research, along reimbursement for external costs directly related to, and approved, by the grant terms.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Minpromtorg</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3"/>
          <w:szCs w:val="13"/>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clinical trial was delayed or terminated prior to completion. As a result of the penalty provision, the Company concluded the amounts received under the agreement were not fixed or determinable. Therefore, no revenue has been recognized to date. Through December 31, 2014, the Company received payments totaling approximately $1.4 million, which has been recorded as a contingently repayable grant funding liability in the accompanying consolidated balance sheets. The agreement also required the Company to maintain a deposit in a restricted bank account equal to approximately one year of expected contract payments, which approximates $1.0 million, to cover the potential penalty. The amount is classified as restricted cash in the consolidated balance sheets for the years ended December 31, 2014 and 2015. In January 2016, the deposit was released from the restricted deposit requirement. In 2014, the Company terminated its plan to conduct the clinical trial in Russia subjecting the Company to the penalty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In February 2015, the Company received an executed final settlement agreement from Minpromtorg that included the repayment of funds previously received by the Company totaling</w:t>
      </w:r>
    </w:p>
    <w:p>
      <w:pPr>
        <w:spacing w:after="0" w:line="2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The first audit period expired on December 31, 2015, and as a result $0.4 million of revenue was recognized for the year ending December 31, 2015. The remaining amount of unrecognized revenue is classified contingent repayable grant funding in the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Skolkovo</w:t>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received from Skolkovo $1.0 million in 2014, no additional funds were received for the year ending December 31, 2015 and $0.7 million was received for the 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0" w:name="page271"/>
    <w:bookmarkEnd w:id="270"/>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Skolkovo's audit or the expiration of the audit term.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Related-party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As part of the Series B Preferred and Series D Preferred financings (as described in Note 9), the Company's landlord (the "Landlord") purchased 49,254 shares of Series B Preferred at</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$2.0303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9). The Landlord paid the same price as the price paid by other investors in each of these Preferred Stock purchases.</w:t>
      </w:r>
    </w:p>
    <w:p>
      <w:pPr>
        <w:spacing w:after="0" w:line="163" w:lineRule="exact"/>
        <w:rPr>
          <w:sz w:val="20"/>
          <w:szCs w:val="20"/>
          <w:color w:val="auto"/>
        </w:rPr>
      </w:pPr>
    </w:p>
    <w:p>
      <w:pPr>
        <w:ind w:right="320"/>
        <w:spacing w:after="0" w:line="282" w:lineRule="auto"/>
        <w:rPr>
          <w:sz w:val="20"/>
          <w:szCs w:val="20"/>
          <w:color w:val="auto"/>
        </w:rPr>
      </w:pPr>
      <w:r>
        <w:rPr>
          <w:rFonts w:ascii="Arial" w:cs="Arial" w:eastAsia="Arial" w:hAnsi="Arial"/>
          <w:sz w:val="15"/>
          <w:szCs w:val="15"/>
          <w:color w:val="auto"/>
        </w:rPr>
        <w:t>The Company incurred expenses for consulting services provided by its founders totaling $0.3 million during each of the years ended December 31, 2014 and 2015, and $0.1 million for each of the three months ended March 31, 2015 and 2016.</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Technology license agreements</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On November 25, 2008, the Company entered into an Exclusive Patent License agreement with the Massachusetts Institute of Technology ("MIT"). The Company received an exclusive royalty-bearing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patent-cross-license agreement with BIND Therapeutics, Inc. whereby each party receives a license for the use of the other patents in their respective fields of use. In exchange for this license, the Company paid a one-time expense in 2008.</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color w:val="auto"/>
        </w:rPr>
        <w:t>In May 2014, the Company entered into a license agreement with Shenyang Sunshine Pharmaceutical Co., Ltd., or 3SBio, which is referred to as the 3SBio License. Pursuant to the 3SBio License, the Company was granted an exclusive license to certain pegsiticase-related patents and related "know-how" owned or in-licensed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266305"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1" w:name="page272"/>
    <w:bookmarkEnd w:id="27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therapeutic, diagnostic and prophylactic use. The Company was also granted a co-exclusive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159" w:lineRule="exact"/>
        <w:rPr>
          <w:sz w:val="20"/>
          <w:szCs w:val="20"/>
          <w:color w:val="auto"/>
        </w:rPr>
      </w:pPr>
    </w:p>
    <w:p>
      <w:pPr>
        <w:spacing w:after="0" w:line="304" w:lineRule="auto"/>
        <w:rPr>
          <w:sz w:val="20"/>
          <w:szCs w:val="20"/>
          <w:color w:val="auto"/>
        </w:rPr>
      </w:pPr>
      <w:r>
        <w:rPr>
          <w:rFonts w:ascii="Arial" w:cs="Arial" w:eastAsia="Arial" w:hAnsi="Arial"/>
          <w:sz w:val="13"/>
          <w:szCs w:val="13"/>
          <w:color w:val="auto"/>
        </w:rPr>
        <w:t>Pursuant to the 3SBio License, the Company is required to use commercially reasonable efforts to develop and commercialize a product containing pegsiticase or a related compound. If the Company does not commercialize any such product in a particular country in Asia, Africa or South America within 48 months after approval of any such product in the U.S.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milestone-based payments under the 3SBio License.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country-by-country and product-by-product basis) related to the pegsiticase component of products at percentages ranging from the low-to-mid single digits for products containing the Company's SVP technology, and a range of no more than ten percentage points from the mid-single digits to low double-digits for products without the Company's SVP technology. The Company will pay these royalties to 3SBio, subject to specified reductions, on a country-by-country and product-by-product basis until the later of (i) the date that all of the patent rights for that product have expired in that country, or (ii) a specified number of years from the first commercial sale of such product in such country.</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3SBio License expires on the date of expiration of all of the Company's royalty payment obligations unless earlier terminated by either party for an uncured material default or for the other party's bankruptcy. Any such termination by 3SBio for material default may be on a country-by-country or product-by-product basis in certain circumstances. The Company may also terminate the 3SBio License on a country-by-country or product-by-product basis for any reason effective upon 60 days' prior written notice to 3SBio or, with respect to a given product, immediately upon written notice to 3SBio if the Company identifies a safety or efficacy concern related to such product.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Income taxes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2" w:name="page273"/>
    <w:bookmarkEnd w:id="27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For the years ended December 31, 2014 and 2015, the Company did not record a current or deferred income tax expense or benefit. A reconciliation of the Company's effective tax rate to the statutory federal rate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7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2"/>
                <w:szCs w:val="12"/>
                <w:b w:val="1"/>
                <w:bCs w:val="1"/>
                <w:color w:val="auto"/>
              </w:rPr>
              <w:t>2014</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Statutory U.S. federal rate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State income taxes—net of federal benefit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w w:val="86"/>
              </w:rPr>
              <w:t>5.9</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Permanent items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Research tax credits/others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w w:val="86"/>
              </w:rPr>
              <w:t>1.6</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net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6"/>
            <w:shd w:val="clear" w:color="auto" w:fill="CCEEFF"/>
          </w:tcPr>
          <w:p>
            <w:pPr>
              <w:jc w:val="right"/>
              <w:ind w:right="80"/>
              <w:spacing w:after="0"/>
              <w:rPr>
                <w:sz w:val="20"/>
                <w:szCs w:val="20"/>
                <w:color w:val="auto"/>
              </w:rPr>
            </w:pPr>
            <w:r>
              <w:rPr>
                <w:rFonts w:ascii="Arial" w:cs="Arial" w:eastAsia="Arial" w:hAnsi="Arial"/>
                <w:sz w:val="15"/>
                <w:szCs w:val="15"/>
                <w:color w:val="auto"/>
              </w:rPr>
              <w:t>(33.0)</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gridSpan w:val="5"/>
          </w:tcPr>
          <w:p>
            <w:pPr>
              <w:jc w:val="right"/>
              <w:ind w:right="80"/>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68"/>
        </w:trPr>
        <w:tc>
          <w:tcPr>
            <w:tcW w:w="8740" w:type="dxa"/>
            <w:vAlign w:val="bottom"/>
            <w:gridSpan w:val="4"/>
          </w:tcPr>
          <w:p>
            <w:pPr>
              <w:jc w:val="right"/>
              <w:ind w:right="32"/>
              <w:spacing w:after="0"/>
              <w:rPr>
                <w:sz w:val="20"/>
                <w:szCs w:val="20"/>
                <w:color w:val="auto"/>
              </w:rPr>
            </w:pPr>
            <w:r>
              <w:rPr>
                <w:rFonts w:ascii="Arial" w:cs="Arial" w:eastAsia="Arial" w:hAnsi="Arial"/>
                <w:sz w:val="15"/>
                <w:szCs w:val="15"/>
                <w:color w:val="auto"/>
                <w:w w:val="89"/>
              </w:rPr>
              <w:t>The tax effects of temporary differences that give rise to the Company's net deferred tax assets as of December 31 are as follows (in thousands):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5"/>
          </w:tcPr>
          <w:p>
            <w:pPr>
              <w:jc w:val="right"/>
              <w:ind w:right="145"/>
              <w:spacing w:after="0"/>
              <w:rPr>
                <w:sz w:val="20"/>
                <w:szCs w:val="20"/>
                <w:color w:val="auto"/>
              </w:rPr>
            </w:pPr>
            <w:r>
              <w:rPr>
                <w:rFonts w:ascii="Arial" w:cs="Arial" w:eastAsia="Arial" w:hAnsi="Arial"/>
                <w:sz w:val="12"/>
                <w:szCs w:val="12"/>
                <w:b w:val="1"/>
                <w:bCs w:val="1"/>
                <w:color w:val="auto"/>
              </w:rPr>
              <w:t>2015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8"/>
          </w:tcPr>
          <w:p>
            <w:pPr>
              <w:jc w:val="right"/>
              <w:ind w:right="285"/>
              <w:spacing w:after="0" w:line="136"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Net operating loss carryforwards</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22,444</w:t>
            </w: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31,958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credits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2,305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355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570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Deferred rent and other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Deferred revenue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2,283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1,582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Patent costs/amortization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Tenant improvement allowance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Gross deferred tax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30,221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40,522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140" w:type="dxa"/>
            <w:vAlign w:val="bottom"/>
          </w:tcPr>
          <w:p>
            <w:pPr>
              <w:spacing w:after="0"/>
              <w:rPr>
                <w:sz w:val="24"/>
                <w:szCs w:val="24"/>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Depreciation</w:t>
            </w: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(388)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Debt discount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spacing w:after="0"/>
              <w:rPr>
                <w:sz w:val="20"/>
                <w:szCs w:val="20"/>
                <w:color w:val="auto"/>
              </w:rPr>
            </w:pPr>
            <w:r>
              <w:rPr>
                <w:rFonts w:ascii="Arial" w:cs="Arial" w:eastAsia="Arial" w:hAnsi="Arial"/>
                <w:sz w:val="15"/>
                <w:szCs w:val="15"/>
                <w:color w:val="auto"/>
              </w:rPr>
              <w:t>Unrealized foreign exchange gain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5"/>
                <w:szCs w:val="15"/>
                <w:color w:val="auto"/>
              </w:rPr>
              <w:t>(1,352)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5"/>
                <w:szCs w:val="15"/>
                <w:color w:val="auto"/>
              </w:rPr>
              <w:t>(1,728)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Gross deferred tax liabilities</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tcPr>
          <w:p>
            <w:pPr>
              <w:ind w:left="160"/>
              <w:spacing w:after="0"/>
              <w:rPr>
                <w:sz w:val="20"/>
                <w:szCs w:val="20"/>
                <w:color w:val="auto"/>
              </w:rPr>
            </w:pPr>
            <w:r>
              <w:rPr>
                <w:rFonts w:ascii="Arial" w:cs="Arial" w:eastAsia="Arial" w:hAnsi="Arial"/>
                <w:sz w:val="15"/>
                <w:szCs w:val="15"/>
                <w:color w:val="auto"/>
              </w:rPr>
              <w:t>Net deferred tax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28,422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5"/>
                <w:szCs w:val="15"/>
                <w:color w:val="auto"/>
                <w:w w:val="95"/>
              </w:rPr>
              <w:t>38,500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(28,422)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w w:val="89"/>
              </w:rPr>
              <w:t>(38,500)</w:t>
            </w:r>
          </w:p>
        </w:tc>
        <w:tc>
          <w:tcPr>
            <w:tcW w:w="0" w:type="dxa"/>
            <w:vAlign w:val="bottom"/>
          </w:tcPr>
          <w:p>
            <w:pPr>
              <w:spacing w:after="0"/>
              <w:rPr>
                <w:sz w:val="1"/>
                <w:szCs w:val="1"/>
                <w:color w:val="auto"/>
              </w:rPr>
            </w:pPr>
          </w:p>
        </w:tc>
      </w:tr>
      <w:tr>
        <w:trPr>
          <w:trHeight w:val="177"/>
        </w:trPr>
        <w:tc>
          <w:tcPr>
            <w:tcW w:w="8600" w:type="dxa"/>
            <w:vAlign w:val="bottom"/>
            <w:gridSpan w:val="2"/>
          </w:tcPr>
          <w:p>
            <w:pPr>
              <w:ind w:left="1140"/>
              <w:spacing w:after="0"/>
              <w:rPr>
                <w:sz w:val="20"/>
                <w:szCs w:val="20"/>
                <w:color w:val="auto"/>
              </w:rPr>
            </w:pPr>
            <w:r>
              <w:rPr>
                <w:rFonts w:ascii="Arial" w:cs="Arial" w:eastAsia="Arial" w:hAnsi="Arial"/>
                <w:sz w:val="15"/>
                <w:szCs w:val="15"/>
                <w:color w:val="auto"/>
              </w:rPr>
              <w:t>Net deferred tax assets</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The Company has provided a full valuation allowance against its net deferred tax assets, as the Company believes that it is more likely than not that the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3" w:name="page274"/>
    <w:bookmarkEnd w:id="273"/>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5"/>
          <w:szCs w:val="15"/>
          <w:color w:val="auto"/>
        </w:rPr>
        <w:t>concluded that it is more likely than not that the Company will not realize the benefit of its deferred tax assets. The valuation allowance increased by $4.3 million and $10.1 million for the years ended December 31, 2014 and 2015, respectively, primarily as a result of an increase in net operating loss. In 2014, the Company's Russian subsidiary was granted a 10 year tax holiday in Russia. As a result, previously reported deferred tax assets were adjusted for the change in tax rate. There has been no change to the tax holiday status for the subsidiary as of December 31, 2015.</w:t>
      </w:r>
    </w:p>
    <w:p>
      <w:pPr>
        <w:spacing w:after="0" w:line="16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At December 31, 2015, the Company had federal and state net operating loss carryforwards of $82.4 million and $76.3 million, which will expire at various times through 2035. Included in the net operating loss above is approximately $0.2 million related to excess stock option deductions. The Company also has federal and state research and development tax credit carryforwards of $1.6 million and $1.1 million available to reduce future tax liabilities, which will expire at various times through 2035.</w:t>
      </w:r>
    </w:p>
    <w:p>
      <w:pPr>
        <w:spacing w:after="0" w:line="159" w:lineRule="exact"/>
        <w:rPr>
          <w:sz w:val="20"/>
          <w:szCs w:val="20"/>
          <w:color w:val="auto"/>
        </w:rPr>
      </w:pPr>
    </w:p>
    <w:p>
      <w:pPr>
        <w:jc w:val="both"/>
        <w:ind w:right="100"/>
        <w:spacing w:after="0" w:line="270" w:lineRule="auto"/>
        <w:rPr>
          <w:sz w:val="20"/>
          <w:szCs w:val="20"/>
          <w:color w:val="auto"/>
        </w:rPr>
      </w:pPr>
      <w:r>
        <w:rPr>
          <w:rFonts w:ascii="Arial" w:cs="Arial" w:eastAsia="Arial" w:hAnsi="Arial"/>
          <w:sz w:val="15"/>
          <w:szCs w:val="15"/>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5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Company applies ASC 740, Income Taxes to uncertain tax positions. As of the adoption date on January 1, 2009 and through December 31, 2015, the Company had no unrecognized tax benefits or related interest and penalties accrued.</w:t>
      </w:r>
    </w:p>
    <w:p>
      <w:pPr>
        <w:spacing w:after="0" w:line="151" w:lineRule="exact"/>
        <w:rPr>
          <w:sz w:val="20"/>
          <w:szCs w:val="20"/>
          <w:color w:val="auto"/>
        </w:rPr>
      </w:pPr>
    </w:p>
    <w:p>
      <w:pPr>
        <w:ind w:right="40"/>
        <w:spacing w:after="0" w:line="319" w:lineRule="auto"/>
        <w:rPr>
          <w:sz w:val="20"/>
          <w:szCs w:val="20"/>
          <w:color w:val="auto"/>
        </w:rPr>
      </w:pPr>
      <w:r>
        <w:rPr>
          <w:rFonts w:ascii="Arial" w:cs="Arial" w:eastAsia="Arial" w:hAnsi="Arial"/>
          <w:sz w:val="13"/>
          <w:szCs w:val="13"/>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 of operations and comprehensive loss. As of December 31, 2015, the Company had no accrued interest related to uncertain tax positions.</w:t>
      </w:r>
    </w:p>
    <w:p>
      <w:pPr>
        <w:spacing w:after="0" w:line="151"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401(k) Savings Plan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Company maintains a defined-contribution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 contributions on a portion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66305"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74" w:name="page275"/>
    <w:bookmarkEnd w:id="27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contributions pursuant to the 401(k) Plan's matching formula. All matching contributions vest ratably over 4 years and participant contributions vest immediately.</w:t>
      </w:r>
    </w:p>
    <w:p>
      <w:pPr>
        <w:spacing w:after="0" w:line="198" w:lineRule="exact"/>
        <w:rPr>
          <w:sz w:val="20"/>
          <w:szCs w:val="20"/>
          <w:color w:val="auto"/>
        </w:rPr>
      </w:pPr>
    </w:p>
    <w:p>
      <w:pPr>
        <w:ind w:right="300"/>
        <w:spacing w:after="0" w:line="282" w:lineRule="auto"/>
        <w:rPr>
          <w:sz w:val="20"/>
          <w:szCs w:val="20"/>
          <w:color w:val="auto"/>
        </w:rPr>
      </w:pPr>
      <w:r>
        <w:rPr>
          <w:rFonts w:ascii="Arial" w:cs="Arial" w:eastAsia="Arial" w:hAnsi="Arial"/>
          <w:sz w:val="15"/>
          <w:szCs w:val="15"/>
          <w:color w:val="auto"/>
        </w:rPr>
        <w:t>Contributions by the Company totaling $0.1 million and $0.1 million for the years ended December 31, 2014 and 2015, respectively, and $0.1 million for each of the three months ended March 31, 2015 and 2016, have been recorded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Subsequent Events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 License Agreement</w:t>
      </w:r>
      <w:r>
        <w:rPr>
          <w:rFonts w:ascii="Arial" w:cs="Arial" w:eastAsia="Arial" w:hAnsi="Arial"/>
          <w:sz w:val="15"/>
          <w:szCs w:val="15"/>
          <w:color w:val="auto"/>
        </w:rPr>
        <w:t xml:space="preserve"> (unaudited)</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May 2016, the Company entered into a license agreement with the Massachusetts Eye and Ear Infirmary and The Schepens Eye Research Institute, Inc., or, collectively, MEE,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know-how owned or controlled by MEE, for use of Anc80 gene therapy vectors for gene augmentation therapies expressing certain target sequences.</w:t>
      </w:r>
    </w:p>
    <w:p>
      <w:pPr>
        <w:spacing w:after="0" w:line="148" w:lineRule="exact"/>
        <w:rPr>
          <w:sz w:val="20"/>
          <w:szCs w:val="20"/>
          <w:color w:val="auto"/>
        </w:rPr>
      </w:pPr>
    </w:p>
    <w:p>
      <w:pPr>
        <w:ind w:right="100"/>
        <w:spacing w:after="0" w:line="297" w:lineRule="auto"/>
        <w:rPr>
          <w:sz w:val="20"/>
          <w:szCs w:val="20"/>
          <w:color w:val="auto"/>
        </w:rPr>
      </w:pPr>
      <w:r>
        <w:rPr>
          <w:rFonts w:ascii="Arial" w:cs="Arial" w:eastAsia="Arial" w:hAnsi="Arial"/>
          <w:sz w:val="14"/>
          <w:szCs w:val="14"/>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44"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4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Pursuant to the MEE Agreement, the Company agreed to pay MEE a license fee in the low six figures, annual license maintenance fees ranging from the mid-twenty thousands to mid-seventy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product-by-licensed product basis, totaling up to an aggregate of between $4,175,000 to $37,025,000 and sales milestones on a licensed product-by-licensed product basis, totaling up to an aggregate of between $50,000,000 to $70,000,000; tiered royalties on a licensed product-by-licensed product and country-by-country basis equal to a percentage of net sales ranging from mid-single digits to mid-teens, subject to the prevalence of the targeted disease and certain reductions; and a percentage, in a range expected to be in the mid-teens depending on timing, of any sublicense income the Company receives from sublicensing its rights granted thereunder, subject to certain reductions and exclusions.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266305"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75" w:name="page276"/>
    <w:bookmarkEnd w:id="275"/>
    <w:p>
      <w:pPr>
        <w:ind w:left="7"/>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3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Selecta Biosciences,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728091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Arial" w:cs="Arial" w:eastAsia="Arial" w:hAnsi="Arial"/>
          <w:sz w:val="21"/>
          <w:szCs w:val="21"/>
          <w:color w:val="auto"/>
        </w:rPr>
        <w:t>NOTES TO CONSOLIDATED FINANCIAL STATEMENTS (Continued)</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Years Ended December 31, 2014 and 2015 and Unaudited Three Months Ended March 31, 2015 and 2016</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4"/>
          <w:szCs w:val="14"/>
          <w:color w:val="auto"/>
        </w:rPr>
        <w:t>exercise of each option, the Company agreed to pay MEE an option exercise fee ranging from low-six figures to mid-six figures, depending on the prevalence of the targeted disease.</w:t>
      </w:r>
    </w:p>
    <w:p>
      <w:pPr>
        <w:spacing w:after="0" w:line="210" w:lineRule="exact"/>
        <w:rPr>
          <w:sz w:val="20"/>
          <w:szCs w:val="20"/>
          <w:color w:val="auto"/>
        </w:rPr>
      </w:pPr>
    </w:p>
    <w:p>
      <w:pPr>
        <w:ind w:left="7"/>
        <w:spacing w:after="0" w:line="284" w:lineRule="auto"/>
        <w:rPr>
          <w:sz w:val="20"/>
          <w:szCs w:val="20"/>
          <w:color w:val="auto"/>
        </w:rPr>
      </w:pPr>
      <w:r>
        <w:rPr>
          <w:rFonts w:ascii="Arial" w:cs="Arial" w:eastAsia="Arial" w:hAnsi="Arial"/>
          <w:sz w:val="14"/>
          <w:szCs w:val="14"/>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sequence-by-target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b) Reverse Stock Split</w:t>
      </w:r>
    </w:p>
    <w:p>
      <w:pPr>
        <w:spacing w:after="0" w:line="198" w:lineRule="exact"/>
        <w:rPr>
          <w:sz w:val="20"/>
          <w:szCs w:val="20"/>
          <w:color w:val="auto"/>
        </w:rPr>
      </w:pPr>
    </w:p>
    <w:p>
      <w:pPr>
        <w:jc w:val="both"/>
        <w:ind w:left="7" w:right="100"/>
        <w:spacing w:after="0" w:line="290" w:lineRule="auto"/>
        <w:rPr>
          <w:sz w:val="20"/>
          <w:szCs w:val="20"/>
          <w:color w:val="auto"/>
        </w:rPr>
      </w:pPr>
      <w:r>
        <w:rPr>
          <w:rFonts w:ascii="Arial" w:cs="Arial" w:eastAsia="Arial" w:hAnsi="Arial"/>
          <w:sz w:val="14"/>
          <w:szCs w:val="14"/>
          <w:color w:val="auto"/>
        </w:rPr>
        <w:t>The Company's Board of Directors and stockholders approved a 1-for-3.9 reverse stock split of the Company's common stock. The reverse stock split became effective on June 7, 2016. All common stock share and per share amounts in the consolidated financial statements and notes thereto have been retroactively adjusted for all periods presented to give effect to this reverse stock split. The shares of common stock retained a par value of $0.0001 per share. Accordingly, the stockholder's deficit reflects the reverse stock split by reclassifying from common stock to additional paid in capital an amount equal to the par value of the decreased shares resulting from the effect of the reverse stock split.</w:t>
      </w:r>
    </w:p>
    <w:p>
      <w:pPr>
        <w:spacing w:after="0" w:line="148" w:lineRule="exact"/>
        <w:rPr>
          <w:sz w:val="20"/>
          <w:szCs w:val="20"/>
          <w:color w:val="auto"/>
        </w:rPr>
      </w:pPr>
    </w:p>
    <w:p>
      <w:pPr>
        <w:ind w:left="147" w:hanging="147"/>
        <w:spacing w:after="0"/>
        <w:tabs>
          <w:tab w:leader="none" w:pos="147" w:val="left"/>
        </w:tabs>
        <w:numPr>
          <w:ilvl w:val="0"/>
          <w:numId w:val="13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Equity Plan</w:t>
      </w:r>
      <w:r>
        <w:rPr>
          <w:rFonts w:ascii="Arial" w:cs="Arial" w:eastAsia="Arial" w:hAnsi="Arial"/>
          <w:sz w:val="15"/>
          <w:szCs w:val="15"/>
          <w:color w:val="auto"/>
        </w:rPr>
        <w:t xml:space="preserve"> (unaudited)</w:t>
      </w:r>
    </w:p>
    <w:p>
      <w:pPr>
        <w:spacing w:after="0" w:line="198" w:lineRule="exact"/>
        <w:rPr>
          <w:sz w:val="20"/>
          <w:szCs w:val="20"/>
          <w:color w:val="auto"/>
        </w:rPr>
      </w:pPr>
    </w:p>
    <w:p>
      <w:pPr>
        <w:ind w:left="7" w:right="240"/>
        <w:spacing w:after="0" w:line="266" w:lineRule="auto"/>
        <w:rPr>
          <w:sz w:val="20"/>
          <w:szCs w:val="20"/>
          <w:color w:val="auto"/>
        </w:rPr>
      </w:pPr>
      <w:r>
        <w:rPr>
          <w:rFonts w:ascii="Arial" w:cs="Arial" w:eastAsia="Arial" w:hAnsi="Arial"/>
          <w:sz w:val="15"/>
          <w:szCs w:val="15"/>
          <w:color w:val="auto"/>
        </w:rPr>
        <w:t>The Company's Board of Directors adopted and the Company's stockholders approved the Selecta Bioscience, Inc. 2016 incentive plan ("2016 Plan"), which will become effective on the date that is immediately prior to the date of effectiveness of the registration statement on Form S-1 for the Company's initial public offering. The 2016 Plan provides for the grant of incentive stock options, nonstatutory stock options, restricted stock awards, restricted stock units, stock appreciation rights and other stock-based awards. The Company's employees, officers, directors and consultants and advisors are eligible to receive awards under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66305"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08"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7"/>
          </w:cols>
          <w:pgMar w:left="233" w:top="133" w:right="239" w:bottom="1440" w:gutter="0" w:footer="0" w:header="0"/>
        </w:sectPr>
      </w:pPr>
    </w:p>
    <w:bookmarkStart w:id="276" w:name="page277"/>
    <w:bookmarkEnd w:id="276"/>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130175</wp:posOffset>
            </wp:positionV>
            <wp:extent cx="4699635" cy="11766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4699635" cy="117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Until , 2016 (the 25th day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71385" cy="203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80"/>
          </w:cols>
          <w:pgMar w:left="240" w:top="132" w:right="379" w:bottom="1440" w:gutter="0" w:footer="0" w:header="0"/>
        </w:sectPr>
      </w:pPr>
    </w:p>
    <w:bookmarkStart w:id="277" w:name="page278"/>
    <w:bookmarkEnd w:id="277"/>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80910" cy="6985"/>
                    </a:xfrm>
                    <a:prstGeom prst="rect">
                      <a:avLst/>
                    </a:prstGeom>
                    <a:noFill/>
                  </pic:spPr>
                </pic:pic>
              </a:graphicData>
            </a:graphic>
          </wp:anchor>
        </w:drawing>
        <w:t>Part II</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Other Expenses of Issuance and Distribution.</w:t>
      </w:r>
    </w:p>
    <w:p>
      <w:pPr>
        <w:spacing w:after="0" w:line="202"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the Financial Industry Regulatory Authority, Inc., or FINRA, filing fee and the NASDAQ listing fee.</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r>
      <w:tr>
        <w:trPr>
          <w:trHeight w:val="177"/>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7,875</w:t>
            </w:r>
          </w:p>
        </w:tc>
        <w:tc>
          <w:tcPr>
            <w:tcW w:w="140" w:type="dxa"/>
            <w:vAlign w:val="bottom"/>
            <w:shd w:val="clear" w:color="auto" w:fill="CCEEFF"/>
          </w:tcPr>
          <w:p>
            <w:pPr>
              <w:spacing w:after="0"/>
              <w:rPr>
                <w:sz w:val="15"/>
                <w:szCs w:val="15"/>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FINRA filing fee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12,230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NASDAQ initial listing fee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140" w:type="dxa"/>
            <w:vAlign w:val="bottom"/>
            <w:shd w:val="clear" w:color="auto" w:fill="CCEEFF"/>
          </w:tcPr>
          <w:p>
            <w:pPr>
              <w:spacing w:after="0"/>
              <w:rPr>
                <w:sz w:val="16"/>
                <w:szCs w:val="16"/>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Accountants' fees and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1,050,000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2,461,866</w:t>
            </w:r>
          </w:p>
        </w:tc>
        <w:tc>
          <w:tcPr>
            <w:tcW w:w="140" w:type="dxa"/>
            <w:vAlign w:val="bottom"/>
            <w:shd w:val="clear" w:color="auto" w:fill="CCEEFF"/>
          </w:tcPr>
          <w:p>
            <w:pPr>
              <w:spacing w:after="0"/>
              <w:rPr>
                <w:sz w:val="16"/>
                <w:szCs w:val="16"/>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Printing and engraving expenses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120,000</w:t>
            </w:r>
          </w:p>
        </w:tc>
        <w:tc>
          <w:tcPr>
            <w:tcW w:w="140" w:type="dxa"/>
            <w:vAlign w:val="bottom"/>
          </w:tcPr>
          <w:p>
            <w:pPr>
              <w:spacing w:after="0"/>
              <w:rPr>
                <w:sz w:val="16"/>
                <w:szCs w:val="16"/>
                <w:color w:val="auto"/>
              </w:rPr>
            </w:pPr>
          </w:p>
        </w:tc>
      </w:tr>
      <w:tr>
        <w:trPr>
          <w:trHeight w:val="185"/>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Miscellaneous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123,030</w:t>
            </w:r>
          </w:p>
        </w:tc>
        <w:tc>
          <w:tcPr>
            <w:tcW w:w="140" w:type="dxa"/>
            <w:vAlign w:val="bottom"/>
            <w:shd w:val="clear" w:color="auto" w:fill="CCEEFF"/>
          </w:tcPr>
          <w:p>
            <w:pPr>
              <w:spacing w:after="0"/>
              <w:rPr>
                <w:sz w:val="16"/>
                <w:szCs w:val="16"/>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Total expenses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3,900,000</w:t>
            </w:r>
          </w:p>
        </w:tc>
        <w:tc>
          <w:tcPr>
            <w:tcW w:w="14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7"/>
        </w:trPr>
        <w:tc>
          <w:tcPr>
            <w:tcW w:w="940" w:type="dxa"/>
            <w:vAlign w:val="bottom"/>
            <w:tcBorders>
              <w:bottom w:val="single" w:sz="8" w:color="auto"/>
            </w:tcBorders>
          </w:tcPr>
          <w:p>
            <w:pPr>
              <w:spacing w:after="0"/>
              <w:rPr>
                <w:sz w:val="5"/>
                <w:szCs w:val="5"/>
                <w:color w:val="auto"/>
              </w:rPr>
            </w:pPr>
          </w:p>
        </w:tc>
        <w:tc>
          <w:tcPr>
            <w:tcW w:w="7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restated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7" w:lineRule="exact"/>
        <w:rPr>
          <w:sz w:val="20"/>
          <w:szCs w:val="20"/>
          <w:color w:val="auto"/>
        </w:rPr>
      </w:pPr>
    </w:p>
    <w:p>
      <w:pPr>
        <w:ind w:right="20"/>
        <w:spacing w:after="0" w:line="308" w:lineRule="auto"/>
        <w:rPr>
          <w:sz w:val="20"/>
          <w:szCs w:val="20"/>
          <w:color w:val="auto"/>
        </w:rPr>
      </w:pPr>
      <w:r>
        <w:rPr>
          <w:rFonts w:ascii="Arial" w:cs="Arial" w:eastAsia="Arial" w:hAnsi="Arial"/>
          <w:sz w:val="13"/>
          <w:szCs w:val="13"/>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266305"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78" w:name="page279"/>
    <w:bookmarkEnd w:id="278"/>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but in view of all of the circumstances of the case, such person is fairly and reasonably entitled to indemnity for such expenses which the Court of Chancery or such other court shall deem proper.</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Our restated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restated certificate of incorporation provides that we will indemnify any Indemnitee who was or is a party to an action or suit by or in the right of us to procure a judgment in our favour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4"/>
          <w:szCs w:val="14"/>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51"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the Securities Act, against certain liabilities.</w:t>
      </w:r>
    </w:p>
    <w:p>
      <w:pPr>
        <w:spacing w:after="0" w:line="124"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Recent Sales of Unregistered Securities.</w:t>
      </w:r>
    </w:p>
    <w:p>
      <w:pPr>
        <w:spacing w:after="0" w:line="202"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Set forth below is information regarding securities issued by us within the past three years. Also included is the consideration received by us for such shares and information relating to the section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79" w:name="page280"/>
    <w:bookmarkEnd w:id="279"/>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the Securities Act, or rule of the Securities and Exchange Commission, under which exemption from registration was claimed.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  Issuance of Capital Stock.</w:t>
      </w:r>
    </w:p>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From April 7, 2014 to August 14, 2014, the registrant issued an aggregate of 3,211,105 shares of Series D Preferred Stock for aggregate consideration of $14.4 million to accredited investors pursuant to Section 4(a)(2) of the Securities Act and Rule 506 as a transaction not involving a public offering.</w:t>
      </w:r>
    </w:p>
    <w:p>
      <w:pPr>
        <w:spacing w:after="0" w:line="151" w:lineRule="exact"/>
        <w:rPr>
          <w:sz w:val="20"/>
          <w:szCs w:val="20"/>
          <w:color w:val="auto"/>
        </w:rPr>
      </w:pPr>
    </w:p>
    <w:p>
      <w:pPr>
        <w:ind w:right="220"/>
        <w:spacing w:after="0" w:line="282" w:lineRule="auto"/>
        <w:rPr>
          <w:sz w:val="20"/>
          <w:szCs w:val="20"/>
          <w:color w:val="auto"/>
        </w:rPr>
      </w:pPr>
      <w:r>
        <w:rPr>
          <w:rFonts w:ascii="Arial" w:cs="Arial" w:eastAsia="Arial" w:hAnsi="Arial"/>
          <w:sz w:val="15"/>
          <w:szCs w:val="15"/>
          <w:color w:val="auto"/>
        </w:rPr>
        <w:t>On July 15, 2014, the registrant also issued an aggregate of 1,333,332 shares of Series SRN Preferred Stock for aggregate consideration of $6.0 million to accredited investors pursuant to Section 4(a)(2) of the Securities Act and Rule 506 as a transaction not involving a public offering.</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On August 27, 2015, September 3, 2015 and September 17, 2015, the registrant issued an aggregate of 7,269,338 shares of Series E Preferred Stock for aggregate consideration of</w:t>
      </w:r>
    </w:p>
    <w:p>
      <w:pPr>
        <w:spacing w:after="0" w:line="29"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$32.7 million to accredited investors and 1,619,550 shares of Series E Preferred upon the cancellation of debt totaling $7.3 million pursuant to Section 4(a)(2) of the Securities Act and Rule 506 as a transaction not involving a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(b)  Equity Grants.</w:t>
      </w:r>
    </w:p>
    <w:p>
      <w:pPr>
        <w:spacing w:after="0" w:line="198"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Since December 31, 2012, the registrant granted stock options to purchase an aggregate of 1,056,748 shares of its common stock with exercise prices ranging between $2.77 and $9.36 per share, including stock options that were exercised prior to vesting in exchange for 30,318 shares of restricted stock, and 2,564 shares of restricted common stock to employees, non-employees, and directors in connection with services provided to the registrant by such parties.</w:t>
      </w:r>
    </w:p>
    <w:p>
      <w:pPr>
        <w:spacing w:after="0" w:line="159" w:lineRule="exact"/>
        <w:rPr>
          <w:sz w:val="20"/>
          <w:szCs w:val="20"/>
          <w:color w:val="auto"/>
        </w:rPr>
      </w:pPr>
    </w:p>
    <w:p>
      <w:pPr>
        <w:ind w:right="100"/>
        <w:spacing w:after="0" w:line="319" w:lineRule="auto"/>
        <w:rPr>
          <w:sz w:val="20"/>
          <w:szCs w:val="20"/>
          <w:color w:val="auto"/>
        </w:rPr>
      </w:pPr>
      <w:r>
        <w:rPr>
          <w:rFonts w:ascii="Arial" w:cs="Arial" w:eastAsia="Arial" w:hAnsi="Arial"/>
          <w:sz w:val="14"/>
          <w:szCs w:val="14"/>
          <w:color w:val="auto"/>
        </w:rPr>
        <w:t>In May 2016, the registrant granted stock options to purchase an aggregate of 390,805 shares of common stock, which will become effective in connection with this offering, to some of our executive officers and employees, at an exercise price per share equal to the initial public offering price in this offering in connection with services provided to the registrant.</w:t>
      </w:r>
    </w:p>
    <w:p>
      <w:pPr>
        <w:spacing w:after="0" w:line="128" w:lineRule="exact"/>
        <w:rPr>
          <w:sz w:val="20"/>
          <w:szCs w:val="20"/>
          <w:color w:val="auto"/>
        </w:rPr>
      </w:pPr>
    </w:p>
    <w:p>
      <w:pPr>
        <w:ind w:right="100"/>
        <w:spacing w:after="0" w:line="330" w:lineRule="auto"/>
        <w:rPr>
          <w:sz w:val="20"/>
          <w:szCs w:val="20"/>
          <w:color w:val="auto"/>
        </w:rPr>
      </w:pPr>
      <w:r>
        <w:rPr>
          <w:rFonts w:ascii="Arial" w:cs="Arial" w:eastAsia="Arial" w:hAnsi="Arial"/>
          <w:sz w:val="13"/>
          <w:szCs w:val="13"/>
          <w:color w:val="auto"/>
        </w:rPr>
        <w:t>The issuances of such stock options, the shares of common stock issuable upon the exercise of such options and such restricted shares of common stock were issued pursuant to written compensatory plans or arrangements with our employees, directors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125" w:lineRule="exact"/>
        <w:rPr>
          <w:sz w:val="20"/>
          <w:szCs w:val="20"/>
          <w:color w:val="auto"/>
        </w:rPr>
      </w:pPr>
    </w:p>
    <w:p>
      <w:pPr>
        <w:spacing w:after="0"/>
        <w:tabs>
          <w:tab w:leader="none" w:pos="28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3"/>
          <w:szCs w:val="13"/>
          <w:color w:val="auto"/>
        </w:rPr>
        <w:t>Warrants.</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On August 9, 2013 and July 25, 2014, the registrant issued warrants to purchase an aggregate of 66,668 shares of Series D preferred stock to Oxford Finance LLC, or Oxford, and Square 1 Bank pursuant to Section 4(a)(2) of the Securities Act as a transaction not involving a public offering</w:t>
      </w:r>
    </w:p>
    <w:p>
      <w:pPr>
        <w:spacing w:after="0" w:line="151"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On July 24, 2015, the registrant issued warrants to purchase up to 80,820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240"/>
        <w:spacing w:after="0" w:line="282" w:lineRule="auto"/>
        <w:rPr>
          <w:sz w:val="20"/>
          <w:szCs w:val="20"/>
          <w:color w:val="auto"/>
        </w:rPr>
      </w:pPr>
      <w:r>
        <w:rPr>
          <w:rFonts w:ascii="Arial" w:cs="Arial" w:eastAsia="Arial" w:hAnsi="Arial"/>
          <w:sz w:val="15"/>
          <w:szCs w:val="15"/>
          <w:color w:val="auto"/>
        </w:rPr>
        <w:t>On August 27, 2015, September 3, 2015 and September 17, 2015, the registrant issued warrants to purchase up to an aggregate of 569,791 shares of common stock to accredited investors pursuant to Section 4(a)(2) of the Securities Act and Rule 506 as a transaction not involving a public offering.</w:t>
      </w:r>
    </w:p>
    <w:p>
      <w:pPr>
        <w:spacing w:after="0" w:line="151" w:lineRule="exact"/>
        <w:rPr>
          <w:sz w:val="20"/>
          <w:szCs w:val="20"/>
          <w:color w:val="auto"/>
        </w:rPr>
      </w:pPr>
    </w:p>
    <w:p>
      <w:pPr>
        <w:ind w:right="700"/>
        <w:spacing w:after="0" w:line="282" w:lineRule="auto"/>
        <w:rPr>
          <w:sz w:val="20"/>
          <w:szCs w:val="20"/>
          <w:color w:val="auto"/>
        </w:rPr>
      </w:pPr>
      <w:r>
        <w:rPr>
          <w:rFonts w:ascii="Arial" w:cs="Arial" w:eastAsia="Arial" w:hAnsi="Arial"/>
          <w:sz w:val="15"/>
          <w:szCs w:val="15"/>
          <w:color w:val="auto"/>
        </w:rPr>
        <w:t>On December 31, 2015, the registrant issued warrants to purchase up to an aggregate of 37,978 shares of Series E Preferred Stock to Oxford and Pacific Western Bank pursuant to Section 4(a)(2) of the Securities Act as a transaction not involving a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266305"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5"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3"/>
          <w:szCs w:val="13"/>
          <w:b w:val="1"/>
          <w:bCs w:val="1"/>
          <w:color w:val="auto"/>
        </w:rPr>
        <w:t>Exhibits and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00" w:type="dxa"/>
            <w:vAlign w:val="bottom"/>
          </w:tcPr>
          <w:p>
            <w:pPr>
              <w:spacing w:after="0"/>
              <w:rPr>
                <w:sz w:val="12"/>
                <w:szCs w:val="12"/>
                <w:color w:val="auto"/>
              </w:rPr>
            </w:pPr>
          </w:p>
        </w:tc>
      </w:tr>
      <w:tr>
        <w:trPr>
          <w:trHeight w:val="149"/>
        </w:trPr>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00" w:type="dxa"/>
            <w:vAlign w:val="bottom"/>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8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1.1**</w:t>
            </w:r>
          </w:p>
        </w:tc>
        <w:tc>
          <w:tcPr>
            <w:tcW w:w="830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Form of Underwriting Agreement</w:t>
            </w:r>
          </w:p>
        </w:tc>
      </w:tr>
      <w:tr>
        <w:trPr>
          <w:trHeight w:val="387"/>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3.1**</w:t>
            </w:r>
          </w:p>
        </w:tc>
        <w:tc>
          <w:tcPr>
            <w:tcW w:w="8300" w:type="dxa"/>
            <w:vAlign w:val="bottom"/>
          </w:tcPr>
          <w:p>
            <w:pPr>
              <w:ind w:left="6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3.2**</w:t>
            </w:r>
          </w:p>
        </w:tc>
        <w:tc>
          <w:tcPr>
            <w:tcW w:w="8300" w:type="dxa"/>
            <w:vAlign w:val="bottom"/>
          </w:tcPr>
          <w:p>
            <w:pPr>
              <w:ind w:left="6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3.3**</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3.4**</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4.1**</w:t>
            </w:r>
          </w:p>
        </w:tc>
        <w:tc>
          <w:tcPr>
            <w:tcW w:w="8300" w:type="dxa"/>
            <w:vAlign w:val="bottom"/>
          </w:tcPr>
          <w:p>
            <w:pPr>
              <w:ind w:left="6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w w:val="91"/>
              </w:rPr>
              <w:t>stockholders party thereto, as amended by Amendment No. 1 to Fifth Amended and Restated Investors' Rights Agreement, dated as of</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June 7, 2016</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4.2**</w:t>
            </w:r>
          </w:p>
        </w:tc>
        <w:tc>
          <w:tcPr>
            <w:tcW w:w="8300" w:type="dxa"/>
            <w:vAlign w:val="bottom"/>
          </w:tcPr>
          <w:p>
            <w:pPr>
              <w:ind w:left="6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4.3**</w:t>
            </w:r>
          </w:p>
        </w:tc>
        <w:tc>
          <w:tcPr>
            <w:tcW w:w="8300" w:type="dxa"/>
            <w:vAlign w:val="bottom"/>
          </w:tcPr>
          <w:p>
            <w:pPr>
              <w:ind w:left="60"/>
              <w:spacing w:after="0"/>
              <w:rPr>
                <w:sz w:val="20"/>
                <w:szCs w:val="20"/>
                <w:color w:val="auto"/>
              </w:rPr>
            </w:pPr>
            <w:r>
              <w:rPr>
                <w:rFonts w:ascii="Arial" w:cs="Arial" w:eastAsia="Arial" w:hAnsi="Arial"/>
                <w:sz w:val="15"/>
                <w:szCs w:val="15"/>
                <w:color w:val="auto"/>
                <w:w w:val="92"/>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Convertible Notes Financing,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4.4**</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Registrant to Investors in the Registrant's Series E Preferred Stock Financing,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4.5**</w:t>
            </w:r>
          </w:p>
        </w:tc>
        <w:tc>
          <w:tcPr>
            <w:tcW w:w="8300" w:type="dxa"/>
            <w:vAlign w:val="bottom"/>
          </w:tcPr>
          <w:p>
            <w:pPr>
              <w:ind w:left="6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Oxford Finance LLC and Square One Bank, together with a schedule of warrantholders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4.6**</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Finance LLC and Square One Bank, together with a schedule of warrantholders</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5.1**</w:t>
            </w:r>
          </w:p>
        </w:tc>
        <w:tc>
          <w:tcPr>
            <w:tcW w:w="8300" w:type="dxa"/>
            <w:vAlign w:val="bottom"/>
          </w:tcPr>
          <w:p>
            <w:pPr>
              <w:ind w:left="6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40" w:type="dxa"/>
            <w:vAlign w:val="bottom"/>
            <w:gridSpan w:val="2"/>
          </w:tcPr>
          <w:p>
            <w:pPr>
              <w:jc w:val="right"/>
              <w:ind w:right="205"/>
              <w:spacing w:after="0"/>
              <w:rPr>
                <w:sz w:val="20"/>
                <w:szCs w:val="20"/>
                <w:color w:val="auto"/>
              </w:rPr>
            </w:pPr>
            <w:r>
              <w:rPr>
                <w:rFonts w:ascii="Arial" w:cs="Arial" w:eastAsia="Arial" w:hAnsi="Arial"/>
                <w:sz w:val="15"/>
                <w:szCs w:val="15"/>
                <w:color w:val="auto"/>
              </w:rPr>
              <w:t>10.1</w:t>
            </w:r>
          </w:p>
        </w:tc>
        <w:tc>
          <w:tcPr>
            <w:tcW w:w="8300" w:type="dxa"/>
            <w:vAlign w:val="bottom"/>
          </w:tcPr>
          <w:p>
            <w:pPr>
              <w:ind w:left="6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10.2**</w:t>
            </w:r>
          </w:p>
        </w:tc>
        <w:tc>
          <w:tcPr>
            <w:tcW w:w="8300" w:type="dxa"/>
            <w:vAlign w:val="bottom"/>
          </w:tcPr>
          <w:p>
            <w:pPr>
              <w:ind w:left="60"/>
              <w:spacing w:after="0"/>
              <w:rPr>
                <w:sz w:val="20"/>
                <w:szCs w:val="20"/>
                <w:color w:val="auto"/>
              </w:rPr>
            </w:pPr>
            <w:r>
              <w:rPr>
                <w:rFonts w:ascii="Arial" w:cs="Arial" w:eastAsia="Arial" w:hAnsi="Arial"/>
                <w:sz w:val="15"/>
                <w:szCs w:val="15"/>
                <w:color w:val="auto"/>
              </w:rPr>
              <w:t>2016 Incentive Award Plan and form of award agreements thereunder</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10.3**</w:t>
            </w:r>
          </w:p>
        </w:tc>
        <w:tc>
          <w:tcPr>
            <w:tcW w:w="8300" w:type="dxa"/>
            <w:vAlign w:val="bottom"/>
          </w:tcPr>
          <w:p>
            <w:pPr>
              <w:ind w:left="6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10.4**</w:t>
            </w:r>
          </w:p>
        </w:tc>
        <w:tc>
          <w:tcPr>
            <w:tcW w:w="8300" w:type="dxa"/>
            <w:vAlign w:val="bottom"/>
          </w:tcPr>
          <w:p>
            <w:pPr>
              <w:ind w:left="6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10.5**</w:t>
            </w:r>
          </w:p>
        </w:tc>
        <w:tc>
          <w:tcPr>
            <w:tcW w:w="8300" w:type="dxa"/>
            <w:vAlign w:val="bottom"/>
          </w:tcPr>
          <w:p>
            <w:pPr>
              <w:ind w:left="6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40" w:type="dxa"/>
            <w:vAlign w:val="bottom"/>
            <w:gridSpan w:val="2"/>
          </w:tcPr>
          <w:p>
            <w:pPr>
              <w:jc w:val="right"/>
              <w:ind w:right="65"/>
              <w:spacing w:after="0"/>
              <w:rPr>
                <w:sz w:val="20"/>
                <w:szCs w:val="20"/>
                <w:color w:val="auto"/>
              </w:rPr>
            </w:pPr>
            <w:r>
              <w:rPr>
                <w:rFonts w:ascii="Arial" w:cs="Arial" w:eastAsia="Arial" w:hAnsi="Arial"/>
                <w:sz w:val="15"/>
                <w:szCs w:val="15"/>
                <w:color w:val="auto"/>
              </w:rPr>
              <w:t>10.6**</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Finance LLC and Pacific Western Bank</w:t>
            </w:r>
          </w:p>
        </w:tc>
      </w:tr>
      <w:tr>
        <w:trPr>
          <w:trHeight w:val="389"/>
        </w:trPr>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10.7(a)†**</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Exclusive Patent License Agreement, dated as of November 25, 2008, by and between the Registrant and the Massachusetts Institute of</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Technology</w:t>
            </w:r>
          </w:p>
        </w:tc>
      </w:tr>
      <w:tr>
        <w:trPr>
          <w:trHeight w:val="389"/>
        </w:trPr>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10.7(b)†**</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First Amendment to Exclusive Patent License Agreement, dated as of January 12, 2010, by and between the Registrant and the</w:t>
            </w: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Massachusetts Institute of 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8" w:right="1379" w:bottom="1440" w:gutter="0" w:footer="0" w:header="0"/>
        </w:sectPr>
      </w:pPr>
    </w:p>
    <w:bookmarkStart w:id="281" w:name="page282"/>
    <w:bookmarkEnd w:id="281"/>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8300" w:type="dxa"/>
            <w:vAlign w:val="bottom"/>
          </w:tcPr>
          <w:p>
            <w:pPr>
              <w:spacing w:after="0"/>
              <w:rPr>
                <w:sz w:val="12"/>
                <w:szCs w:val="12"/>
                <w:color w:val="auto"/>
              </w:rPr>
            </w:pPr>
          </w:p>
        </w:tc>
      </w:tr>
      <w:tr>
        <w:trPr>
          <w:trHeight w:val="149"/>
        </w:trPr>
        <w:tc>
          <w:tcPr>
            <w:tcW w:w="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83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840" w:type="dxa"/>
            <w:vAlign w:val="bottom"/>
          </w:tcPr>
          <w:p>
            <w:pPr>
              <w:jc w:val="right"/>
              <w:spacing w:after="0"/>
              <w:rPr>
                <w:sz w:val="20"/>
                <w:szCs w:val="20"/>
                <w:color w:val="auto"/>
              </w:rPr>
            </w:pPr>
            <w:r>
              <w:rPr>
                <w:rFonts w:ascii="Arial" w:cs="Arial" w:eastAsia="Arial" w:hAnsi="Arial"/>
                <w:sz w:val="15"/>
                <w:szCs w:val="15"/>
                <w:color w:val="auto"/>
              </w:rPr>
              <w:t>10.7(c)†**</w:t>
            </w:r>
          </w:p>
        </w:tc>
        <w:tc>
          <w:tcPr>
            <w:tcW w:w="8300" w:type="dxa"/>
            <w:vAlign w:val="bottom"/>
          </w:tcPr>
          <w:p>
            <w:pPr>
              <w:ind w:left="60"/>
              <w:spacing w:after="0"/>
              <w:rPr>
                <w:sz w:val="20"/>
                <w:szCs w:val="20"/>
                <w:color w:val="auto"/>
              </w:rPr>
            </w:pPr>
            <w:r>
              <w:rPr>
                <w:rFonts w:ascii="Arial" w:cs="Arial" w:eastAsia="Arial" w:hAnsi="Arial"/>
                <w:sz w:val="15"/>
                <w:szCs w:val="15"/>
                <w:color w:val="auto"/>
                <w:w w:val="93"/>
              </w:rPr>
              <w:t>Letter Agreement, dated as of November 27, 2012, by and among the Registrant, Massachusetts Institute of Technology and Sanofi</w:t>
            </w:r>
          </w:p>
        </w:tc>
      </w:tr>
      <w:tr>
        <w:trPr>
          <w:trHeight w:val="387"/>
        </w:trPr>
        <w:tc>
          <w:tcPr>
            <w:tcW w:w="840" w:type="dxa"/>
            <w:vAlign w:val="bottom"/>
          </w:tcPr>
          <w:p>
            <w:pPr>
              <w:jc w:val="right"/>
              <w:spacing w:after="0"/>
              <w:rPr>
                <w:sz w:val="20"/>
                <w:szCs w:val="20"/>
                <w:color w:val="auto"/>
              </w:rPr>
            </w:pPr>
            <w:r>
              <w:rPr>
                <w:rFonts w:ascii="Arial" w:cs="Arial" w:eastAsia="Arial" w:hAnsi="Arial"/>
                <w:sz w:val="15"/>
                <w:szCs w:val="15"/>
                <w:color w:val="auto"/>
              </w:rPr>
              <w:t>10.7(d)†**</w:t>
            </w:r>
          </w:p>
        </w:tc>
        <w:tc>
          <w:tcPr>
            <w:tcW w:w="8300" w:type="dxa"/>
            <w:vAlign w:val="bottom"/>
          </w:tcPr>
          <w:p>
            <w:pPr>
              <w:ind w:left="60"/>
              <w:spacing w:after="0"/>
              <w:rPr>
                <w:sz w:val="20"/>
                <w:szCs w:val="20"/>
                <w:color w:val="auto"/>
              </w:rPr>
            </w:pPr>
            <w:r>
              <w:rPr>
                <w:rFonts w:ascii="Arial" w:cs="Arial" w:eastAsia="Arial" w:hAnsi="Arial"/>
                <w:sz w:val="15"/>
                <w:szCs w:val="15"/>
                <w:color w:val="auto"/>
                <w:w w:val="94"/>
              </w:rPr>
              <w:t>Letter Amendment, dated as of November 27, 2012, by and between the Registrant and the Massachusetts Institute of Technology</w:t>
            </w:r>
          </w:p>
        </w:tc>
      </w:tr>
      <w:tr>
        <w:trPr>
          <w:trHeight w:val="389"/>
        </w:trPr>
        <w:tc>
          <w:tcPr>
            <w:tcW w:w="840" w:type="dxa"/>
            <w:vAlign w:val="bottom"/>
          </w:tcPr>
          <w:p>
            <w:pPr>
              <w:jc w:val="right"/>
              <w:spacing w:after="0"/>
              <w:rPr>
                <w:sz w:val="20"/>
                <w:szCs w:val="20"/>
                <w:color w:val="auto"/>
              </w:rPr>
            </w:pPr>
            <w:r>
              <w:rPr>
                <w:rFonts w:ascii="Arial" w:cs="Arial" w:eastAsia="Arial" w:hAnsi="Arial"/>
                <w:sz w:val="15"/>
                <w:szCs w:val="15"/>
                <w:color w:val="auto"/>
              </w:rPr>
              <w:t>10.7(e)†**</w:t>
            </w:r>
          </w:p>
        </w:tc>
        <w:tc>
          <w:tcPr>
            <w:tcW w:w="8300" w:type="dxa"/>
            <w:vAlign w:val="bottom"/>
          </w:tcPr>
          <w:p>
            <w:pPr>
              <w:ind w:left="60"/>
              <w:spacing w:after="0"/>
              <w:rPr>
                <w:sz w:val="20"/>
                <w:szCs w:val="20"/>
                <w:color w:val="auto"/>
              </w:rPr>
            </w:pPr>
            <w:r>
              <w:rPr>
                <w:rFonts w:ascii="Arial" w:cs="Arial" w:eastAsia="Arial" w:hAnsi="Arial"/>
                <w:sz w:val="15"/>
                <w:szCs w:val="15"/>
                <w:color w:val="auto"/>
                <w:w w:val="95"/>
              </w:rPr>
              <w:t>Second Amendment to Exclusive Patent License Agreement, dated as of August 29, 2013, by and between the Registrant and the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Massachusetts Institute of Technology</w:t>
            </w:r>
          </w:p>
        </w:tc>
      </w:tr>
      <w:tr>
        <w:trPr>
          <w:trHeight w:val="394"/>
        </w:trPr>
        <w:tc>
          <w:tcPr>
            <w:tcW w:w="840" w:type="dxa"/>
            <w:vAlign w:val="bottom"/>
          </w:tcPr>
          <w:p>
            <w:pPr>
              <w:jc w:val="right"/>
              <w:spacing w:after="0"/>
              <w:rPr>
                <w:sz w:val="20"/>
                <w:szCs w:val="20"/>
                <w:color w:val="auto"/>
              </w:rPr>
            </w:pPr>
            <w:r>
              <w:rPr>
                <w:rFonts w:ascii="Arial" w:cs="Arial" w:eastAsia="Arial" w:hAnsi="Arial"/>
                <w:sz w:val="15"/>
                <w:szCs w:val="15"/>
                <w:color w:val="auto"/>
              </w:rPr>
              <w:t>10.8(a)†**</w:t>
            </w:r>
          </w:p>
        </w:tc>
        <w:tc>
          <w:tcPr>
            <w:tcW w:w="8300" w:type="dxa"/>
            <w:vAlign w:val="bottom"/>
          </w:tcPr>
          <w:p>
            <w:pPr>
              <w:ind w:left="60"/>
              <w:spacing w:after="0"/>
              <w:rPr>
                <w:sz w:val="20"/>
                <w:szCs w:val="20"/>
                <w:color w:val="auto"/>
              </w:rPr>
            </w:pPr>
            <w:r>
              <w:rPr>
                <w:rFonts w:ascii="Arial" w:cs="Arial" w:eastAsia="Arial" w:hAnsi="Arial"/>
                <w:sz w:val="15"/>
                <w:szCs w:val="15"/>
                <w:color w:val="auto"/>
                <w:w w:val="99"/>
              </w:rPr>
              <w:t>License and Research Collaboration Agreement, dated as of November 27, 2012, by and between the Registrant and Sanofi</w:t>
            </w:r>
          </w:p>
        </w:tc>
      </w:tr>
      <w:tr>
        <w:trPr>
          <w:trHeight w:val="389"/>
        </w:trPr>
        <w:tc>
          <w:tcPr>
            <w:tcW w:w="840" w:type="dxa"/>
            <w:vAlign w:val="bottom"/>
          </w:tcPr>
          <w:p>
            <w:pPr>
              <w:jc w:val="right"/>
              <w:spacing w:after="0"/>
              <w:rPr>
                <w:sz w:val="20"/>
                <w:szCs w:val="20"/>
                <w:color w:val="auto"/>
              </w:rPr>
            </w:pPr>
            <w:r>
              <w:rPr>
                <w:rFonts w:ascii="Arial" w:cs="Arial" w:eastAsia="Arial" w:hAnsi="Arial"/>
                <w:sz w:val="15"/>
                <w:szCs w:val="15"/>
                <w:color w:val="auto"/>
              </w:rPr>
              <w:t>10.8(b)†**</w:t>
            </w:r>
          </w:p>
        </w:tc>
        <w:tc>
          <w:tcPr>
            <w:tcW w:w="8300" w:type="dxa"/>
            <w:vAlign w:val="bottom"/>
          </w:tcPr>
          <w:p>
            <w:pPr>
              <w:ind w:left="60"/>
              <w:spacing w:after="0"/>
              <w:rPr>
                <w:sz w:val="20"/>
                <w:szCs w:val="20"/>
                <w:color w:val="auto"/>
              </w:rPr>
            </w:pPr>
            <w:r>
              <w:rPr>
                <w:rFonts w:ascii="Arial" w:cs="Arial" w:eastAsia="Arial" w:hAnsi="Arial"/>
                <w:sz w:val="15"/>
                <w:szCs w:val="15"/>
                <w:color w:val="auto"/>
                <w:w w:val="95"/>
              </w:rPr>
              <w:t>Supplemental Agreement No. 1 to License and Research Collaboration Agreement, dated as of May 7, 2015, by and between the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Registrant and Sanofi</w:t>
            </w:r>
          </w:p>
        </w:tc>
      </w:tr>
      <w:tr>
        <w:trPr>
          <w:trHeight w:val="394"/>
        </w:trPr>
        <w:tc>
          <w:tcPr>
            <w:tcW w:w="840" w:type="dxa"/>
            <w:vAlign w:val="bottom"/>
          </w:tcPr>
          <w:p>
            <w:pPr>
              <w:jc w:val="right"/>
              <w:spacing w:after="0"/>
              <w:rPr>
                <w:sz w:val="20"/>
                <w:szCs w:val="20"/>
                <w:color w:val="auto"/>
              </w:rPr>
            </w:pPr>
            <w:r>
              <w:rPr>
                <w:rFonts w:ascii="Arial" w:cs="Arial" w:eastAsia="Arial" w:hAnsi="Arial"/>
                <w:sz w:val="15"/>
                <w:szCs w:val="15"/>
                <w:color w:val="auto"/>
              </w:rPr>
              <w:t>10.9†**</w:t>
            </w:r>
          </w:p>
        </w:tc>
        <w:tc>
          <w:tcPr>
            <w:tcW w:w="8300" w:type="dxa"/>
            <w:vAlign w:val="bottom"/>
          </w:tcPr>
          <w:p>
            <w:pPr>
              <w:ind w:left="60"/>
              <w:spacing w:after="0"/>
              <w:rPr>
                <w:sz w:val="20"/>
                <w:szCs w:val="20"/>
                <w:color w:val="auto"/>
              </w:rPr>
            </w:pPr>
            <w:r>
              <w:rPr>
                <w:rFonts w:ascii="Arial" w:cs="Arial" w:eastAsia="Arial" w:hAnsi="Arial"/>
                <w:sz w:val="15"/>
                <w:szCs w:val="15"/>
                <w:color w:val="auto"/>
                <w:w w:val="96"/>
              </w:rPr>
              <w:t>License Agreement, dated as of May 12, 2014, by and between the Registrant and Shenyang Sunshine Pharmaceutical Co., Ltd.</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10.10†**</w:t>
            </w:r>
          </w:p>
        </w:tc>
        <w:tc>
          <w:tcPr>
            <w:tcW w:w="8300" w:type="dxa"/>
            <w:vAlign w:val="bottom"/>
          </w:tcPr>
          <w:p>
            <w:pPr>
              <w:ind w:left="60"/>
              <w:spacing w:after="0"/>
              <w:rPr>
                <w:sz w:val="20"/>
                <w:szCs w:val="20"/>
                <w:color w:val="auto"/>
              </w:rPr>
            </w:pPr>
            <w:r>
              <w:rPr>
                <w:rFonts w:ascii="Arial" w:cs="Arial" w:eastAsia="Arial" w:hAnsi="Arial"/>
                <w:sz w:val="15"/>
                <w:szCs w:val="15"/>
                <w:color w:val="auto"/>
              </w:rPr>
              <w:t>Manufacturing Services Agreement, dated as of August 1, 2014, by and between the Registrant and Shenyang Sunshine</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Pharmaceutical Co., Ltd.</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10.11†**</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Patent Cross-License Agreement, dated as of December 18, 2008, by and between the Registrant and BIND Therapeutics, Inc. (formerly</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BIND Biosciences, Inc.)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10.12†**</w:t>
            </w:r>
          </w:p>
        </w:tc>
        <w:tc>
          <w:tcPr>
            <w:tcW w:w="8300" w:type="dxa"/>
            <w:vAlign w:val="bottom"/>
          </w:tcPr>
          <w:p>
            <w:pPr>
              <w:ind w:left="60"/>
              <w:spacing w:after="0"/>
              <w:rPr>
                <w:sz w:val="20"/>
                <w:szCs w:val="20"/>
                <w:color w:val="auto"/>
              </w:rPr>
            </w:pPr>
            <w:r>
              <w:rPr>
                <w:rFonts w:ascii="Arial" w:cs="Arial" w:eastAsia="Arial" w:hAnsi="Arial"/>
                <w:sz w:val="15"/>
                <w:szCs w:val="15"/>
                <w:color w:val="auto"/>
                <w:w w:val="92"/>
              </w:rPr>
              <w:t>Exclusive License Agreement, dated as of May 17, 2016, by and among the Registrant, the Massachusetts Eye and Ear Infirmary and</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The Schepens Eye Research Institute, Inc.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10.13†**</w:t>
            </w:r>
          </w:p>
        </w:tc>
        <w:tc>
          <w:tcPr>
            <w:tcW w:w="8300" w:type="dxa"/>
            <w:vAlign w:val="bottom"/>
          </w:tcPr>
          <w:p>
            <w:pPr>
              <w:ind w:left="60"/>
              <w:spacing w:after="0"/>
              <w:rPr>
                <w:sz w:val="20"/>
                <w:szCs w:val="20"/>
                <w:color w:val="auto"/>
              </w:rPr>
            </w:pPr>
            <w:r>
              <w:rPr>
                <w:rFonts w:ascii="Arial" w:cs="Arial" w:eastAsia="Arial" w:hAnsi="Arial"/>
                <w:sz w:val="15"/>
                <w:szCs w:val="15"/>
                <w:color w:val="auto"/>
                <w:w w:val="90"/>
              </w:rPr>
              <w:t>Lease, dated as of September 30, 2008, as amended by the First Amendment, dated as of July 12, 2011, the Second Amendment, dated</w:t>
            </w:r>
          </w:p>
        </w:tc>
      </w:tr>
      <w:tr>
        <w:trPr>
          <w:trHeight w:val="185"/>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w w:val="95"/>
              </w:rPr>
              <w:t>as of October 11, 2011 and the Third Amendment, dated as of April 6, 2015, by and between the Registrant and ARE-480 Arsenal</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Street, LLC</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10.14**</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Consulting Agreement, dated as of March 10, 2008, as amended by the First Amendment to Consulting Agreement, dated as of</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840" w:type="dxa"/>
            <w:vAlign w:val="bottom"/>
          </w:tcPr>
          <w:p>
            <w:pPr>
              <w:ind w:left="220"/>
              <w:spacing w:after="0"/>
              <w:rPr>
                <w:sz w:val="20"/>
                <w:szCs w:val="20"/>
                <w:color w:val="auto"/>
              </w:rPr>
            </w:pPr>
            <w:r>
              <w:rPr>
                <w:rFonts w:ascii="Arial" w:cs="Arial" w:eastAsia="Arial" w:hAnsi="Arial"/>
                <w:sz w:val="15"/>
                <w:szCs w:val="15"/>
                <w:color w:val="auto"/>
              </w:rPr>
              <w:t>10.15**</w:t>
            </w:r>
          </w:p>
        </w:tc>
        <w:tc>
          <w:tcPr>
            <w:tcW w:w="8300" w:type="dxa"/>
            <w:vAlign w:val="bottom"/>
          </w:tcPr>
          <w:p>
            <w:pPr>
              <w:ind w:left="60"/>
              <w:spacing w:after="0"/>
              <w:rPr>
                <w:sz w:val="20"/>
                <w:szCs w:val="20"/>
                <w:color w:val="auto"/>
              </w:rPr>
            </w:pPr>
            <w:r>
              <w:rPr>
                <w:rFonts w:ascii="Arial" w:cs="Arial" w:eastAsia="Arial" w:hAnsi="Arial"/>
                <w:sz w:val="15"/>
                <w:szCs w:val="15"/>
                <w:color w:val="auto"/>
                <w:w w:val="97"/>
              </w:rPr>
              <w:t>Consulting Agreement, dated as of March 10, 2008, as amended by the First Amendment to Consulting Agreement, dated as of</w:t>
            </w:r>
          </w:p>
        </w:tc>
      </w:tr>
      <w:tr>
        <w:trPr>
          <w:trHeight w:val="190"/>
        </w:trPr>
        <w:tc>
          <w:tcPr>
            <w:tcW w:w="840" w:type="dxa"/>
            <w:vAlign w:val="bottom"/>
          </w:tcPr>
          <w:p>
            <w:pPr>
              <w:spacing w:after="0"/>
              <w:rPr>
                <w:sz w:val="16"/>
                <w:szCs w:val="16"/>
                <w:color w:val="auto"/>
              </w:rPr>
            </w:pPr>
          </w:p>
        </w:tc>
        <w:tc>
          <w:tcPr>
            <w:tcW w:w="8300" w:type="dxa"/>
            <w:vAlign w:val="bottom"/>
          </w:tcPr>
          <w:p>
            <w:pPr>
              <w:ind w:left="6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10.16**</w:t>
            </w:r>
          </w:p>
        </w:tc>
        <w:tc>
          <w:tcPr>
            <w:tcW w:w="8300" w:type="dxa"/>
            <w:vAlign w:val="bottom"/>
          </w:tcPr>
          <w:p>
            <w:pPr>
              <w:ind w:left="60"/>
              <w:spacing w:after="0"/>
              <w:rPr>
                <w:sz w:val="20"/>
                <w:szCs w:val="20"/>
                <w:color w:val="auto"/>
              </w:rPr>
            </w:pPr>
            <w:r>
              <w:rPr>
                <w:rFonts w:ascii="Arial" w:cs="Arial" w:eastAsia="Arial" w:hAnsi="Arial"/>
                <w:sz w:val="15"/>
                <w:szCs w:val="15"/>
                <w:color w:val="auto"/>
              </w:rPr>
              <w:t>Summary of Oral Agreement, by and between the Registrant and Omid Farokhzad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10.17**</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Werner Cautreels</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10.18**</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Takashi Kei Kishimoto</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10.19**</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Peter Keller</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10.20**</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Earl E. Sands</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10.21**</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Lloyd P. M. Johnston, Ph.D.</w:t>
            </w:r>
          </w:p>
        </w:tc>
      </w:tr>
      <w:tr>
        <w:trPr>
          <w:trHeight w:val="394"/>
        </w:trPr>
        <w:tc>
          <w:tcPr>
            <w:tcW w:w="840" w:type="dxa"/>
            <w:vAlign w:val="bottom"/>
          </w:tcPr>
          <w:p>
            <w:pPr>
              <w:ind w:left="220"/>
              <w:spacing w:after="0"/>
              <w:rPr>
                <w:sz w:val="20"/>
                <w:szCs w:val="20"/>
                <w:color w:val="auto"/>
              </w:rPr>
            </w:pPr>
            <w:r>
              <w:rPr>
                <w:rFonts w:ascii="Arial" w:cs="Arial" w:eastAsia="Arial" w:hAnsi="Arial"/>
                <w:sz w:val="15"/>
                <w:szCs w:val="15"/>
                <w:color w:val="auto"/>
              </w:rPr>
              <w:t>10.22**</w:t>
            </w:r>
          </w:p>
        </w:tc>
        <w:tc>
          <w:tcPr>
            <w:tcW w:w="8300" w:type="dxa"/>
            <w:vAlign w:val="bottom"/>
          </w:tcPr>
          <w:p>
            <w:pPr>
              <w:ind w:left="60"/>
              <w:spacing w:after="0"/>
              <w:rPr>
                <w:sz w:val="20"/>
                <w:szCs w:val="20"/>
                <w:color w:val="auto"/>
              </w:rPr>
            </w:pPr>
            <w:r>
              <w:rPr>
                <w:rFonts w:ascii="Arial" w:cs="Arial" w:eastAsia="Arial" w:hAnsi="Arial"/>
                <w:sz w:val="15"/>
                <w:szCs w:val="15"/>
                <w:color w:val="auto"/>
              </w:rPr>
              <w:t>Employment Agreement, dated as of June 6, 2016, by and between the Registrant and David Abraham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82" w:name="page283"/>
    <w:bookmarkEnd w:id="282"/>
    <w:p>
      <w:pPr>
        <w:ind w:left="7"/>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8091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6" w:lineRule="exact"/>
        <w:rPr>
          <w:sz w:val="20"/>
          <w:szCs w:val="20"/>
          <w:color w:val="auto"/>
        </w:rPr>
      </w:pPr>
    </w:p>
    <w:tbl>
      <w:tblPr>
        <w:tblLayout w:type="fixed"/>
        <w:tblInd w:w="1147"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10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10.23**</w:t>
            </w:r>
          </w:p>
        </w:tc>
        <w:tc>
          <w:tcPr>
            <w:tcW w:w="834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color w:val="auto"/>
              </w:rPr>
              <w:t>Employment Agreement, dated as of June 6, 2016, by and between the Registrant and David Siewers</w:t>
            </w:r>
          </w:p>
        </w:tc>
      </w:tr>
      <w:tr>
        <w:trPr>
          <w:trHeight w:val="382"/>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10.24**</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w w:val="92"/>
              </w:rPr>
              <w:t>Consulting Agreement, dated as of July 22, 2009, by and between the Registrant and George R. Siber, M.D., as terminated by a letter,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dated as of June 1,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10.25**</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10.26**</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10.27**</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10.28**</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10.29**</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10.30**</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10.32**</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Power of Attorney (included on signature page)</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99.1**</w:t>
            </w:r>
          </w:p>
        </w:tc>
        <w:tc>
          <w:tcPr>
            <w:tcW w:w="8340" w:type="dxa"/>
            <w:vAlign w:val="bottom"/>
            <w:gridSpan w:val="2"/>
          </w:tcPr>
          <w:p>
            <w:pPr>
              <w:ind w:left="100"/>
              <w:spacing w:after="0"/>
              <w:rPr>
                <w:sz w:val="20"/>
                <w:szCs w:val="20"/>
                <w:color w:val="auto"/>
              </w:rPr>
            </w:pPr>
            <w:r>
              <w:rPr>
                <w:rFonts w:ascii="Arial" w:cs="Arial" w:eastAsia="Arial" w:hAnsi="Arial"/>
                <w:sz w:val="15"/>
                <w:szCs w:val="15"/>
                <w:color w:val="auto"/>
              </w:rPr>
              <w:t>Consent of Director Nominee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7" w:hanging="463"/>
        <w:spacing w:after="0"/>
        <w:tabs>
          <w:tab w:leader="none" w:pos="1607" w:val="left"/>
        </w:tabs>
        <w:numPr>
          <w:ilvl w:val="0"/>
          <w:numId w:val="139"/>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105" w:lineRule="exact"/>
        <w:rPr>
          <w:sz w:val="20"/>
          <w:szCs w:val="20"/>
          <w:color w:val="auto"/>
        </w:rPr>
      </w:pPr>
    </w:p>
    <w:p>
      <w:pPr>
        <w:ind w:left="1607" w:hanging="463"/>
        <w:spacing w:after="0"/>
        <w:tabs>
          <w:tab w:leader="none" w:pos="1607" w:val="left"/>
        </w:tabs>
        <w:numPr>
          <w:ilvl w:val="1"/>
          <w:numId w:val="140"/>
        </w:numPr>
        <w:rPr>
          <w:rFonts w:ascii="Arial" w:cs="Arial" w:eastAsia="Arial" w:hAnsi="Arial"/>
          <w:sz w:val="12"/>
          <w:szCs w:val="12"/>
          <w:color w:val="auto"/>
        </w:rPr>
      </w:pPr>
      <w:r>
        <w:rPr>
          <w:rFonts w:ascii="Arial" w:cs="Arial" w:eastAsia="Arial" w:hAnsi="Arial"/>
          <w:sz w:val="12"/>
          <w:szCs w:val="12"/>
          <w:color w:val="auto"/>
        </w:rPr>
        <w:t>Portions of this exhibit (indicated by asterisks) have been omitted pursuant to a request for confidential treatment pursuant to Rule 406 under the Securities Exchange Act of 1933.</w:t>
      </w:r>
    </w:p>
    <w:p>
      <w:pPr>
        <w:spacing w:after="0" w:line="176" w:lineRule="exact"/>
        <w:rPr>
          <w:rFonts w:ascii="Arial" w:cs="Arial" w:eastAsia="Arial" w:hAnsi="Arial"/>
          <w:sz w:val="12"/>
          <w:szCs w:val="12"/>
          <w:color w:val="auto"/>
        </w:rPr>
      </w:pPr>
    </w:p>
    <w:p>
      <w:pPr>
        <w:ind w:left="7" w:right="160" w:hanging="7"/>
        <w:spacing w:after="0" w:line="282" w:lineRule="auto"/>
        <w:tabs>
          <w:tab w:leader="none" w:pos="29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Financial Statement Schedules. Schedules not listed above have been omitted because the information required to be set forth therein is not applicable or is shown in the consolidated financial statements or notes thereto.</w:t>
      </w:r>
    </w:p>
    <w:p>
      <w:pPr>
        <w:spacing w:after="0" w:line="147" w:lineRule="exact"/>
        <w:rPr>
          <w:sz w:val="20"/>
          <w:szCs w:val="20"/>
          <w:color w:val="auto"/>
        </w:rPr>
      </w:pPr>
    </w:p>
    <w:p>
      <w:pPr>
        <w:ind w:left="7"/>
        <w:spacing w:after="0"/>
        <w:tabs>
          <w:tab w:leader="none" w:pos="667"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color w:val="auto"/>
        </w:rPr>
        <w:t>Undertakings.</w:t>
      </w:r>
    </w:p>
    <w:p>
      <w:pPr>
        <w:spacing w:after="0" w:line="202" w:lineRule="exact"/>
        <w:rPr>
          <w:sz w:val="20"/>
          <w:szCs w:val="20"/>
          <w:color w:val="auto"/>
        </w:rPr>
      </w:pPr>
    </w:p>
    <w:p>
      <w:pPr>
        <w:ind w:left="7"/>
        <w:spacing w:after="0" w:line="282"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151" w:lineRule="exact"/>
        <w:rPr>
          <w:sz w:val="20"/>
          <w:szCs w:val="20"/>
          <w:color w:val="auto"/>
        </w:rPr>
      </w:pPr>
    </w:p>
    <w:p>
      <w:pPr>
        <w:ind w:left="7" w:right="20"/>
        <w:spacing w:after="0" w:line="28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66305"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96" w:lineRule="exact"/>
        <w:rPr>
          <w:sz w:val="20"/>
          <w:szCs w:val="20"/>
          <w:color w:val="auto"/>
        </w:rPr>
      </w:pPr>
    </w:p>
    <w:p>
      <w:pPr>
        <w:ind w:left="47"/>
        <w:spacing w:after="0"/>
        <w:rPr>
          <w:sz w:val="20"/>
          <w:szCs w:val="20"/>
          <w:color w:val="auto"/>
        </w:rPr>
      </w:pPr>
      <w:r>
        <w:rPr>
          <w:rFonts w:ascii="Arial" w:cs="Arial" w:eastAsia="Arial" w:hAnsi="Arial"/>
          <w:sz w:val="12"/>
          <w:szCs w:val="12"/>
          <w:b w:val="1"/>
          <w:bCs w:val="1"/>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71385" cy="203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387"/>
          </w:cols>
          <w:pgMar w:left="233" w:top="129" w:right="27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28091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79" w:lineRule="exact"/>
        <w:rPr>
          <w:sz w:val="20"/>
          <w:szCs w:val="20"/>
          <w:color w:val="auto"/>
        </w:rPr>
      </w:pPr>
    </w:p>
    <w:p>
      <w:pPr>
        <w:ind w:right="40"/>
        <w:spacing w:after="0" w:line="287" w:lineRule="auto"/>
        <w:rPr>
          <w:sz w:val="20"/>
          <w:szCs w:val="20"/>
          <w:color w:val="auto"/>
        </w:rPr>
      </w:pPr>
      <w:r>
        <w:rPr>
          <w:rFonts w:ascii="Arial" w:cs="Arial" w:eastAsia="Arial" w:hAnsi="Arial"/>
          <w:sz w:val="14"/>
          <w:szCs w:val="14"/>
          <w:color w:val="auto"/>
        </w:rPr>
        <w:t>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undertakes that:</w:t>
      </w:r>
    </w:p>
    <w:p>
      <w:pPr>
        <w:spacing w:after="0" w:line="210" w:lineRule="exact"/>
        <w:rPr>
          <w:sz w:val="20"/>
          <w:szCs w:val="20"/>
          <w:color w:val="auto"/>
        </w:rPr>
      </w:pPr>
    </w:p>
    <w:p>
      <w:pPr>
        <w:jc w:val="both"/>
        <w:ind w:left="920" w:right="160" w:hanging="464"/>
        <w:spacing w:after="0" w:line="270" w:lineRule="auto"/>
        <w:tabs>
          <w:tab w:leader="none" w:pos="9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2" w:lineRule="exact"/>
        <w:rPr>
          <w:rFonts w:ascii="Arial" w:cs="Arial" w:eastAsia="Arial" w:hAnsi="Arial"/>
          <w:sz w:val="15"/>
          <w:szCs w:val="15"/>
          <w:color w:val="auto"/>
        </w:rPr>
      </w:pPr>
    </w:p>
    <w:p>
      <w:pPr>
        <w:ind w:left="920" w:right="400" w:hanging="464"/>
        <w:spacing w:after="0" w:line="362" w:lineRule="auto"/>
        <w:tabs>
          <w:tab w:leader="none" w:pos="920" w:val="left"/>
        </w:tabs>
        <w:numPr>
          <w:ilvl w:val="0"/>
          <w:numId w:val="141"/>
        </w:numPr>
        <w:rPr>
          <w:rFonts w:ascii="Arial" w:cs="Arial" w:eastAsia="Arial" w:hAnsi="Arial"/>
          <w:sz w:val="13"/>
          <w:szCs w:val="13"/>
          <w:color w:val="auto"/>
        </w:rPr>
      </w:pPr>
      <w:r>
        <w:rPr>
          <w:rFonts w:ascii="Arial" w:cs="Arial" w:eastAsia="Arial" w:hAnsi="Arial"/>
          <w:sz w:val="13"/>
          <w:szCs w:val="13"/>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66305"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84" w:name="page285"/>
    <w:bookmarkEnd w:id="284"/>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Pursuant to the requirements of the Securities Act, the registrant has duly caused this registration statement to be signed on its behalf by the undersigned, thereunto duly authorized, in the City of Watertown, Commonwealth of Massachusetts, on this 20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day of June, 2016.</w:t>
      </w:r>
    </w:p>
    <w:p>
      <w:pPr>
        <w:spacing w:after="0" w:line="25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SELECTA BIOSCIENCES, INC.</w:t>
      </w:r>
    </w:p>
    <w:p>
      <w:pPr>
        <w:spacing w:after="0" w:line="221"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64135</wp:posOffset>
            </wp:positionV>
            <wp:extent cx="3353435"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353435" cy="7620"/>
                    </a:xfrm>
                    <a:prstGeom prst="rect">
                      <a:avLst/>
                    </a:prstGeom>
                    <a:noFill/>
                  </pic:spPr>
                </pic:pic>
              </a:graphicData>
            </a:graphic>
          </wp:anchor>
        </w:drawing>
      </w:r>
    </w:p>
    <w:p>
      <w:pPr>
        <w:spacing w:after="0" w:line="15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Werner Cautreels, Ph.D.</w:t>
      </w:r>
    </w:p>
    <w:p>
      <w:pPr>
        <w:spacing w:after="0" w:line="18" w:lineRule="exact"/>
        <w:rPr>
          <w:sz w:val="20"/>
          <w:szCs w:val="20"/>
          <w:color w:val="auto"/>
        </w:rPr>
      </w:pPr>
    </w:p>
    <w:p>
      <w:pPr>
        <w:ind w:left="61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266305"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285" w:name="page286"/>
    <w:bookmarkEnd w:id="28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0910" cy="7620"/>
                    </a:xfrm>
                    <a:prstGeom prst="rect">
                      <a:avLst/>
                    </a:prstGeom>
                    <a:noFill/>
                  </pic:spPr>
                </pic:pic>
              </a:graphicData>
            </a:graphic>
          </wp:anchor>
        </w:drawing>
        <w:t>Signatures and power of attorney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held on the dates indicated.</w:t>
      </w:r>
    </w:p>
    <w:p>
      <w:pPr>
        <w:spacing w:after="0" w:line="207" w:lineRule="exact"/>
        <w:rPr>
          <w:sz w:val="20"/>
          <w:szCs w:val="20"/>
          <w:color w:val="auto"/>
        </w:rPr>
      </w:pPr>
    </w:p>
    <w:p>
      <w:pPr>
        <w:ind w:left="1140"/>
        <w:spacing w:after="0"/>
        <w:tabs>
          <w:tab w:leader="none" w:pos="6680" w:val="left"/>
          <w:tab w:leader="none" w:pos="9680"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wp:posOffset>
            </wp:positionV>
            <wp:extent cx="583946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839460" cy="7620"/>
                    </a:xfrm>
                    <a:prstGeom prst="rect">
                      <a:avLst/>
                    </a:prstGeom>
                    <a:noFill/>
                  </pic:spPr>
                </pic:pic>
              </a:graphicData>
            </a:graphic>
          </wp:anchor>
        </w:drawing>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/s/ WERNER CAUTREELS, PH.D.</w:t>
            </w:r>
          </w:p>
        </w:tc>
        <w:tc>
          <w:tcPr>
            <w:tcW w:w="4920" w:type="dxa"/>
            <w:vAlign w:val="bottom"/>
          </w:tcPr>
          <w:p>
            <w:pPr>
              <w:ind w:left="120"/>
              <w:spacing w:after="0"/>
              <w:rPr>
                <w:sz w:val="20"/>
                <w:szCs w:val="20"/>
                <w:color w:val="auto"/>
              </w:rPr>
            </w:pPr>
            <w:r>
              <w:rPr>
                <w:rFonts w:ascii="Arial" w:cs="Arial" w:eastAsia="Arial" w:hAnsi="Arial"/>
                <w:sz w:val="15"/>
                <w:szCs w:val="15"/>
                <w:color w:val="auto"/>
                <w:w w:val="97"/>
              </w:rPr>
              <w:t>President, Chief Executive Officer and Director (principal executive officer)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89"/>
              </w:rPr>
              <w:t>Werner Cautreels, Ph.D.</w:t>
            </w:r>
          </w:p>
        </w:tc>
        <w:tc>
          <w:tcPr>
            <w:tcW w:w="4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/s/ DAVID SIEWERS</w:t>
            </w:r>
          </w:p>
        </w:tc>
        <w:tc>
          <w:tcPr>
            <w:tcW w:w="4920" w:type="dxa"/>
            <w:vAlign w:val="bottom"/>
          </w:tcPr>
          <w:p>
            <w:pPr>
              <w:ind w:left="120"/>
              <w:spacing w:after="0"/>
              <w:rPr>
                <w:sz w:val="20"/>
                <w:szCs w:val="20"/>
                <w:color w:val="auto"/>
              </w:rPr>
            </w:pPr>
            <w:r>
              <w:rPr>
                <w:rFonts w:ascii="Arial" w:cs="Arial" w:eastAsia="Arial" w:hAnsi="Arial"/>
                <w:sz w:val="15"/>
                <w:szCs w:val="15"/>
                <w:color w:val="auto"/>
                <w:w w:val="99"/>
              </w:rPr>
              <w:t>Chief Financial Officer (principal financial officer and principal accounting</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65"/>
        </w:trPr>
        <w:tc>
          <w:tcPr>
            <w:tcW w:w="46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4920" w:type="dxa"/>
            <w:vAlign w:val="bottom"/>
            <w:vMerge w:val="restart"/>
          </w:tcPr>
          <w:p>
            <w:pPr>
              <w:ind w:left="120"/>
              <w:spacing w:after="0"/>
              <w:rPr>
                <w:sz w:val="20"/>
                <w:szCs w:val="20"/>
                <w:color w:val="auto"/>
              </w:rPr>
            </w:pPr>
            <w:r>
              <w:rPr>
                <w:rFonts w:ascii="Arial" w:cs="Arial" w:eastAsia="Arial" w:hAnsi="Arial"/>
                <w:sz w:val="15"/>
                <w:szCs w:val="15"/>
                <w:color w:val="auto"/>
              </w:rPr>
              <w:t>officer)</w:t>
            </w: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2720" w:type="dxa"/>
            <w:vAlign w:val="bottom"/>
            <w:vMerge w:val="restart"/>
          </w:tcPr>
          <w:p>
            <w:pPr>
              <w:jc w:val="center"/>
              <w:ind w:right="405"/>
              <w:spacing w:after="0"/>
              <w:rPr>
                <w:sz w:val="20"/>
                <w:szCs w:val="20"/>
                <w:color w:val="auto"/>
              </w:rPr>
            </w:pPr>
            <w:r>
              <w:rPr>
                <w:rFonts w:ascii="Arial" w:cs="Arial" w:eastAsia="Arial" w:hAnsi="Arial"/>
                <w:sz w:val="15"/>
                <w:szCs w:val="15"/>
                <w:color w:val="auto"/>
                <w:w w:val="91"/>
              </w:rPr>
              <w:t>David Siewers</w:t>
            </w:r>
          </w:p>
        </w:tc>
        <w:tc>
          <w:tcPr>
            <w:tcW w:w="49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6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2"/>
              </w:rPr>
              <w:t>Omid Farokhzad, M.D.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0"/>
              </w:rPr>
              <w:t>Carl Gordon, Ph.D.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1"/>
              </w:rPr>
              <w:t>Peter Barton Hutt</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2"/>
              </w:rPr>
              <w:t>Edwin M. Kania, Jr.</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0"/>
              </w:rPr>
              <w:t>Robert S. Langer, Sc.D.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2"/>
              </w:rPr>
              <w:t>Amir Nashat, Sc.D.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5"/>
              </w:rPr>
              <w:t>Aymeric Sallin, M.S.</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w w:val="94"/>
              </w:rPr>
              <w:t>Leysan Shaydullina, M.D.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71"/>
        </w:trPr>
        <w:tc>
          <w:tcPr>
            <w:tcW w:w="460" w:type="dxa"/>
            <w:vAlign w:val="bottom"/>
          </w:tcPr>
          <w:p>
            <w:pPr>
              <w:spacing w:after="0"/>
              <w:rPr>
                <w:sz w:val="24"/>
                <w:szCs w:val="24"/>
                <w:color w:val="auto"/>
              </w:rPr>
            </w:pPr>
          </w:p>
        </w:tc>
        <w:tc>
          <w:tcPr>
            <w:tcW w:w="2720" w:type="dxa"/>
            <w:vAlign w:val="bottom"/>
          </w:tcPr>
          <w:p>
            <w:pPr>
              <w:jc w:val="center"/>
              <w:ind w:right="405"/>
              <w:spacing w:after="0"/>
              <w:rPr>
                <w:sz w:val="20"/>
                <w:szCs w:val="20"/>
                <w:color w:val="auto"/>
              </w:rPr>
            </w:pPr>
            <w:r>
              <w:rPr>
                <w:rFonts w:ascii="Arial" w:cs="Arial" w:eastAsia="Arial" w:hAnsi="Arial"/>
                <w:sz w:val="15"/>
                <w:szCs w:val="15"/>
                <w:color w:val="auto"/>
              </w:rPr>
              <w:t>*</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2720" w:type="dxa"/>
            <w:vAlign w:val="bottom"/>
          </w:tcPr>
          <w:p>
            <w:pPr>
              <w:jc w:val="center"/>
              <w:ind w:right="425"/>
              <w:spacing w:after="0"/>
              <w:rPr>
                <w:sz w:val="20"/>
                <w:szCs w:val="20"/>
                <w:color w:val="auto"/>
              </w:rPr>
            </w:pPr>
            <w:r>
              <w:rPr>
                <w:rFonts w:ascii="Arial" w:cs="Arial" w:eastAsia="Arial" w:hAnsi="Arial"/>
                <w:sz w:val="15"/>
                <w:szCs w:val="15"/>
                <w:color w:val="auto"/>
                <w:w w:val="91"/>
              </w:rPr>
              <w:t>George Siber, M.D.</w:t>
            </w:r>
          </w:p>
        </w:tc>
        <w:tc>
          <w:tcPr>
            <w:tcW w:w="4920" w:type="dxa"/>
            <w:vAlign w:val="bottom"/>
          </w:tcPr>
          <w:p>
            <w:pPr>
              <w:ind w:left="120"/>
              <w:spacing w:after="0"/>
              <w:rPr>
                <w:sz w:val="20"/>
                <w:szCs w:val="20"/>
                <w:color w:val="auto"/>
              </w:rPr>
            </w:pPr>
            <w:r>
              <w:rPr>
                <w:rFonts w:ascii="Arial" w:cs="Arial" w:eastAsia="Arial" w:hAnsi="Arial"/>
                <w:sz w:val="15"/>
                <w:szCs w:val="15"/>
                <w:color w:val="auto"/>
              </w:rPr>
              <w:t>Director</w:t>
            </w:r>
          </w:p>
        </w:tc>
        <w:tc>
          <w:tcPr>
            <w:tcW w:w="1040" w:type="dxa"/>
            <w:vAlign w:val="bottom"/>
          </w:tcPr>
          <w:p>
            <w:pPr>
              <w:ind w:left="200"/>
              <w:spacing w:after="0"/>
              <w:rPr>
                <w:sz w:val="20"/>
                <w:szCs w:val="20"/>
                <w:color w:val="auto"/>
              </w:rPr>
            </w:pPr>
            <w:r>
              <w:rPr>
                <w:rFonts w:ascii="Arial" w:cs="Arial" w:eastAsia="Arial" w:hAnsi="Arial"/>
                <w:sz w:val="15"/>
                <w:szCs w:val="15"/>
                <w:color w:val="auto"/>
                <w:w w:val="86"/>
              </w:rPr>
              <w:t>June 20, 2016</w:t>
            </w:r>
          </w:p>
        </w:tc>
        <w:tc>
          <w:tcPr>
            <w:tcW w:w="0" w:type="dxa"/>
            <w:vAlign w:val="bottom"/>
          </w:tcPr>
          <w:p>
            <w:pPr>
              <w:spacing w:after="0"/>
              <w:rPr>
                <w:sz w:val="1"/>
                <w:szCs w:val="1"/>
                <w:color w:val="auto"/>
              </w:rPr>
            </w:pPr>
          </w:p>
        </w:tc>
      </w:tr>
      <w:tr>
        <w:trPr>
          <w:trHeight w:val="394"/>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2720" w:type="dxa"/>
            <w:vAlign w:val="bottom"/>
          </w:tcPr>
          <w:p>
            <w:pPr>
              <w:jc w:val="center"/>
              <w:spacing w:after="0"/>
              <w:rPr>
                <w:sz w:val="20"/>
                <w:szCs w:val="20"/>
                <w:color w:val="auto"/>
              </w:rPr>
            </w:pPr>
            <w:r>
              <w:rPr>
                <w:rFonts w:ascii="Arial" w:cs="Arial" w:eastAsia="Arial" w:hAnsi="Arial"/>
                <w:sz w:val="15"/>
                <w:szCs w:val="15"/>
                <w:color w:val="auto"/>
                <w:w w:val="95"/>
              </w:rPr>
              <w:t>/s/ WERNER CAUTREELS, PH.D.</w:t>
            </w:r>
          </w:p>
        </w:tc>
        <w:tc>
          <w:tcPr>
            <w:tcW w:w="4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60" w:type="dxa"/>
            <w:vAlign w:val="bottom"/>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5"/>
                <w:szCs w:val="15"/>
                <w:color w:val="auto"/>
                <w:w w:val="89"/>
              </w:rPr>
              <w:t>Werner Cautreels, Ph.D.</w:t>
            </w:r>
          </w:p>
        </w:tc>
        <w:tc>
          <w:tcPr>
            <w:tcW w:w="4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5"/>
                <w:szCs w:val="15"/>
                <w:i w:val="1"/>
                <w:iCs w:val="1"/>
                <w:color w:val="auto"/>
                <w:w w:val="96"/>
              </w:rPr>
              <w:t>Attorney-in-fact</w:t>
            </w:r>
          </w:p>
        </w:tc>
        <w:tc>
          <w:tcPr>
            <w:tcW w:w="4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266305"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71385" cy="203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86" w:name="page287"/>
    <w:bookmarkEnd w:id="286"/>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0910" cy="7620"/>
                    </a:xfrm>
                    <a:prstGeom prst="rect">
                      <a:avLst/>
                    </a:prstGeom>
                    <a:noFill/>
                  </pic:spPr>
                </pic:pic>
              </a:graphicData>
            </a:graphic>
          </wp:anchor>
        </w:drawing>
        <w:t>Exhibit index</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834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1.1**</w:t>
            </w:r>
          </w:p>
        </w:tc>
        <w:tc>
          <w:tcPr>
            <w:tcW w:w="834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Form of Underwriting Agreement</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3.1**</w:t>
            </w:r>
          </w:p>
        </w:tc>
        <w:tc>
          <w:tcPr>
            <w:tcW w:w="8340" w:type="dxa"/>
            <w:vAlign w:val="bottom"/>
          </w:tcPr>
          <w:p>
            <w:pPr>
              <w:ind w:left="80"/>
              <w:spacing w:after="0"/>
              <w:rPr>
                <w:sz w:val="20"/>
                <w:szCs w:val="20"/>
                <w:color w:val="auto"/>
              </w:rPr>
            </w:pPr>
            <w:r>
              <w:rPr>
                <w:rFonts w:ascii="Arial" w:cs="Arial" w:eastAsia="Arial" w:hAnsi="Arial"/>
                <w:sz w:val="15"/>
                <w:szCs w:val="15"/>
                <w:color w:val="auto"/>
              </w:rPr>
              <w:t>Certificate of Incorporation of the Registrant, as amended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3.2**</w:t>
            </w:r>
          </w:p>
        </w:tc>
        <w:tc>
          <w:tcPr>
            <w:tcW w:w="8340" w:type="dxa"/>
            <w:vAlign w:val="bottom"/>
          </w:tcPr>
          <w:p>
            <w:pPr>
              <w:ind w:left="80"/>
              <w:spacing w:after="0"/>
              <w:rPr>
                <w:sz w:val="20"/>
                <w:szCs w:val="20"/>
                <w:color w:val="auto"/>
              </w:rPr>
            </w:pPr>
            <w:r>
              <w:rPr>
                <w:rFonts w:ascii="Arial" w:cs="Arial" w:eastAsia="Arial" w:hAnsi="Arial"/>
                <w:sz w:val="15"/>
                <w:szCs w:val="15"/>
                <w:color w:val="auto"/>
              </w:rPr>
              <w:t>Bylaws of the Registrant (currently in effect)</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3.3**</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Certificate of Incorporation of the Registrant (to be effective upon the closing of this offering)</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3.4**</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Restated Bylaws of the Registrant (to be effective upon the closing of this offering)</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4.1**</w:t>
            </w:r>
          </w:p>
        </w:tc>
        <w:tc>
          <w:tcPr>
            <w:tcW w:w="8340" w:type="dxa"/>
            <w:vAlign w:val="bottom"/>
          </w:tcPr>
          <w:p>
            <w:pPr>
              <w:ind w:left="80"/>
              <w:spacing w:after="0"/>
              <w:rPr>
                <w:sz w:val="20"/>
                <w:szCs w:val="20"/>
                <w:color w:val="auto"/>
              </w:rPr>
            </w:pPr>
            <w:r>
              <w:rPr>
                <w:rFonts w:ascii="Arial" w:cs="Arial" w:eastAsia="Arial" w:hAnsi="Arial"/>
                <w:sz w:val="15"/>
                <w:szCs w:val="15"/>
                <w:color w:val="auto"/>
                <w:w w:val="91"/>
              </w:rPr>
              <w:t>Fifth Amended and Restated Investors' Rights Agreement, dated as of August 26, 2015, by and between the Registrant and each of the</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w w:val="92"/>
              </w:rPr>
              <w:t>stockholders party thereto, as amended by Amendment No. 1 to Fifth Amended and Restated Investors Rights Agreement, dated as of</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June 7,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4.2**</w:t>
            </w:r>
          </w:p>
        </w:tc>
        <w:tc>
          <w:tcPr>
            <w:tcW w:w="8340" w:type="dxa"/>
            <w:vAlign w:val="bottom"/>
          </w:tcPr>
          <w:p>
            <w:pPr>
              <w:ind w:left="80"/>
              <w:spacing w:after="0"/>
              <w:rPr>
                <w:sz w:val="20"/>
                <w:szCs w:val="20"/>
                <w:color w:val="auto"/>
              </w:rPr>
            </w:pPr>
            <w:r>
              <w:rPr>
                <w:rFonts w:ascii="Arial" w:cs="Arial" w:eastAsia="Arial" w:hAnsi="Arial"/>
                <w:sz w:val="15"/>
                <w:szCs w:val="15"/>
                <w:color w:val="auto"/>
              </w:rPr>
              <w:t>Specimen Stock Certificate evidencing the shares of common stock</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4.3**</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Common Stock, dated July 24, 2015, issued by the Registrant to Investors in the Registrant's April 2015</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Convertible Notes Financing,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4.4**</w:t>
            </w:r>
          </w:p>
        </w:tc>
        <w:tc>
          <w:tcPr>
            <w:tcW w:w="8340" w:type="dxa"/>
            <w:vAlign w:val="bottom"/>
          </w:tcPr>
          <w:p>
            <w:pPr>
              <w:ind w:left="80"/>
              <w:spacing w:after="0"/>
              <w:rPr>
                <w:sz w:val="20"/>
                <w:szCs w:val="20"/>
                <w:color w:val="auto"/>
              </w:rPr>
            </w:pPr>
            <w:r>
              <w:rPr>
                <w:rFonts w:ascii="Arial" w:cs="Arial" w:eastAsia="Arial" w:hAnsi="Arial"/>
                <w:sz w:val="15"/>
                <w:szCs w:val="15"/>
                <w:color w:val="auto"/>
                <w:w w:val="96"/>
              </w:rPr>
              <w:t>Form of Warrant to Purchase Common Stock, dated August 27, 2015, September 3, 2015 or September 17, 2015, issued by the</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Registrant to Investors in the Registrant's Series E Preferred Stock Financing,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4.5**</w:t>
            </w:r>
          </w:p>
        </w:tc>
        <w:tc>
          <w:tcPr>
            <w:tcW w:w="8340" w:type="dxa"/>
            <w:vAlign w:val="bottom"/>
          </w:tcPr>
          <w:p>
            <w:pPr>
              <w:ind w:left="80"/>
              <w:spacing w:after="0"/>
              <w:rPr>
                <w:sz w:val="20"/>
                <w:szCs w:val="20"/>
                <w:color w:val="auto"/>
              </w:rPr>
            </w:pPr>
            <w:r>
              <w:rPr>
                <w:rFonts w:ascii="Arial" w:cs="Arial" w:eastAsia="Arial" w:hAnsi="Arial"/>
                <w:sz w:val="15"/>
                <w:szCs w:val="15"/>
                <w:color w:val="auto"/>
                <w:w w:val="93"/>
              </w:rPr>
              <w:t>Form of Warrant to Purchase Shares of Series D Preferred Stock, dated August 9, 2013 or July 25, 2014, issued by the Registrant to</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Oxford Finance LLC and Square One Bank, together with a schedule of warrantholders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4.6**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Form of Warrant to Purchase Shares of Series E Preferred Stock, dated December 31, 2015, issued by the Registrant to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 together with a schedule of warrantholders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5.1**</w:t>
            </w:r>
          </w:p>
        </w:tc>
        <w:tc>
          <w:tcPr>
            <w:tcW w:w="8340" w:type="dxa"/>
            <w:vAlign w:val="bottom"/>
          </w:tcPr>
          <w:p>
            <w:pPr>
              <w:ind w:left="80"/>
              <w:spacing w:after="0"/>
              <w:rPr>
                <w:sz w:val="20"/>
                <w:szCs w:val="20"/>
                <w:color w:val="auto"/>
              </w:rPr>
            </w:pPr>
            <w:r>
              <w:rPr>
                <w:rFonts w:ascii="Arial" w:cs="Arial" w:eastAsia="Arial" w:hAnsi="Arial"/>
                <w:sz w:val="15"/>
                <w:szCs w:val="15"/>
                <w:color w:val="auto"/>
              </w:rPr>
              <w:t>Opinion of Latham &amp; Watkins LLP</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10.1</w:t>
            </w:r>
          </w:p>
        </w:tc>
        <w:tc>
          <w:tcPr>
            <w:tcW w:w="8340" w:type="dxa"/>
            <w:vAlign w:val="bottom"/>
          </w:tcPr>
          <w:p>
            <w:pPr>
              <w:ind w:left="80"/>
              <w:spacing w:after="0"/>
              <w:rPr>
                <w:sz w:val="20"/>
                <w:szCs w:val="20"/>
                <w:color w:val="auto"/>
              </w:rPr>
            </w:pPr>
            <w:r>
              <w:rPr>
                <w:rFonts w:ascii="Arial" w:cs="Arial" w:eastAsia="Arial" w:hAnsi="Arial"/>
                <w:sz w:val="15"/>
                <w:szCs w:val="15"/>
                <w:color w:val="auto"/>
              </w:rPr>
              <w:t>2008 Stock Incentive Plan, as amended, and form of option agreements thereunder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w:t>
            </w:r>
          </w:p>
        </w:tc>
        <w:tc>
          <w:tcPr>
            <w:tcW w:w="8340" w:type="dxa"/>
            <w:vAlign w:val="bottom"/>
          </w:tcPr>
          <w:p>
            <w:pPr>
              <w:ind w:left="80"/>
              <w:spacing w:after="0"/>
              <w:rPr>
                <w:sz w:val="20"/>
                <w:szCs w:val="20"/>
                <w:color w:val="auto"/>
              </w:rPr>
            </w:pPr>
            <w:r>
              <w:rPr>
                <w:rFonts w:ascii="Arial" w:cs="Arial" w:eastAsia="Arial" w:hAnsi="Arial"/>
                <w:sz w:val="15"/>
                <w:szCs w:val="15"/>
                <w:color w:val="auto"/>
              </w:rPr>
              <w:t>2016 Incentive Award Plan and form of award agreements thereunder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w:t>
            </w:r>
          </w:p>
        </w:tc>
        <w:tc>
          <w:tcPr>
            <w:tcW w:w="8340" w:type="dxa"/>
            <w:vAlign w:val="bottom"/>
          </w:tcPr>
          <w:p>
            <w:pPr>
              <w:ind w:left="80"/>
              <w:spacing w:after="0"/>
              <w:rPr>
                <w:sz w:val="20"/>
                <w:szCs w:val="20"/>
                <w:color w:val="auto"/>
              </w:rPr>
            </w:pPr>
            <w:r>
              <w:rPr>
                <w:rFonts w:ascii="Arial" w:cs="Arial" w:eastAsia="Arial" w:hAnsi="Arial"/>
                <w:sz w:val="15"/>
                <w:szCs w:val="15"/>
                <w:color w:val="auto"/>
              </w:rPr>
              <w:t>2016 Employee Stock Purchase Plan</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10.4**</w:t>
            </w:r>
          </w:p>
        </w:tc>
        <w:tc>
          <w:tcPr>
            <w:tcW w:w="8340" w:type="dxa"/>
            <w:vAlign w:val="bottom"/>
          </w:tcPr>
          <w:p>
            <w:pPr>
              <w:ind w:left="80"/>
              <w:spacing w:after="0"/>
              <w:rPr>
                <w:sz w:val="20"/>
                <w:szCs w:val="20"/>
                <w:color w:val="auto"/>
              </w:rPr>
            </w:pPr>
            <w:r>
              <w:rPr>
                <w:rFonts w:ascii="Arial" w:cs="Arial" w:eastAsia="Arial" w:hAnsi="Arial"/>
                <w:sz w:val="15"/>
                <w:szCs w:val="15"/>
                <w:color w:val="auto"/>
              </w:rPr>
              <w:t>Non-Employee Director Compensation Program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10.5**</w:t>
            </w:r>
          </w:p>
        </w:tc>
        <w:tc>
          <w:tcPr>
            <w:tcW w:w="8340" w:type="dxa"/>
            <w:vAlign w:val="bottom"/>
          </w:tcPr>
          <w:p>
            <w:pPr>
              <w:ind w:left="80"/>
              <w:spacing w:after="0"/>
              <w:rPr>
                <w:sz w:val="20"/>
                <w:szCs w:val="20"/>
                <w:color w:val="auto"/>
              </w:rPr>
            </w:pPr>
            <w:r>
              <w:rPr>
                <w:rFonts w:ascii="Arial" w:cs="Arial" w:eastAsia="Arial" w:hAnsi="Arial"/>
                <w:sz w:val="15"/>
                <w:szCs w:val="15"/>
                <w:color w:val="auto"/>
              </w:rPr>
              <w:t>Form of Indemnification Agreement for Directors and Officers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10.6**</w:t>
            </w:r>
          </w:p>
        </w:tc>
        <w:tc>
          <w:tcPr>
            <w:tcW w:w="8340" w:type="dxa"/>
            <w:vAlign w:val="bottom"/>
          </w:tcPr>
          <w:p>
            <w:pPr>
              <w:ind w:left="80"/>
              <w:spacing w:after="0"/>
              <w:rPr>
                <w:sz w:val="20"/>
                <w:szCs w:val="20"/>
                <w:color w:val="auto"/>
              </w:rPr>
            </w:pPr>
            <w:r>
              <w:rPr>
                <w:rFonts w:ascii="Arial" w:cs="Arial" w:eastAsia="Arial" w:hAnsi="Arial"/>
                <w:sz w:val="15"/>
                <w:szCs w:val="15"/>
                <w:color w:val="auto"/>
                <w:w w:val="97"/>
              </w:rPr>
              <w:t>Amended and Restated Loan and Security Agreement, dated as of December 31, 2015, by and between the Registrant, Oxford</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tcPr>
          <w:p>
            <w:pPr>
              <w:ind w:left="80"/>
              <w:spacing w:after="0"/>
              <w:rPr>
                <w:sz w:val="20"/>
                <w:szCs w:val="20"/>
                <w:color w:val="auto"/>
              </w:rPr>
            </w:pPr>
            <w:r>
              <w:rPr>
                <w:rFonts w:ascii="Arial" w:cs="Arial" w:eastAsia="Arial" w:hAnsi="Arial"/>
                <w:sz w:val="15"/>
                <w:szCs w:val="15"/>
                <w:color w:val="auto"/>
              </w:rPr>
              <w:t>Finance LLC and Pacific Western Bank</w:t>
            </w:r>
          </w:p>
        </w:tc>
      </w:tr>
    </w:tbl>
    <w:p>
      <w:pPr>
        <w:spacing w:after="0" w:line="180" w:lineRule="exact"/>
        <w:rPr>
          <w:sz w:val="20"/>
          <w:szCs w:val="20"/>
          <w:color w:val="auto"/>
        </w:rPr>
      </w:pPr>
    </w:p>
    <w:p>
      <w:pPr>
        <w:ind w:left="2020" w:right="100" w:hanging="754"/>
        <w:spacing w:after="0" w:line="314" w:lineRule="auto"/>
        <w:rPr>
          <w:sz w:val="20"/>
          <w:szCs w:val="20"/>
          <w:color w:val="auto"/>
        </w:rPr>
      </w:pPr>
      <w:r>
        <w:rPr>
          <w:rFonts w:ascii="Arial" w:cs="Arial" w:eastAsia="Arial" w:hAnsi="Arial"/>
          <w:sz w:val="15"/>
          <w:szCs w:val="15"/>
          <w:color w:val="auto"/>
        </w:rPr>
        <w:t>10.7(a)†** Exclusive Patent License Agreement, dated as of November 25, 2008, by and between the Registrant and the Massachusetts Institute of Technology</w:t>
      </w:r>
    </w:p>
    <w:p>
      <w:pPr>
        <w:spacing w:after="0" w:line="128" w:lineRule="exact"/>
        <w:rPr>
          <w:sz w:val="20"/>
          <w:szCs w:val="20"/>
          <w:color w:val="auto"/>
        </w:rPr>
      </w:pPr>
    </w:p>
    <w:p>
      <w:pPr>
        <w:ind w:left="2020" w:right="620" w:hanging="762"/>
        <w:spacing w:after="0" w:line="314" w:lineRule="auto"/>
        <w:rPr>
          <w:sz w:val="20"/>
          <w:szCs w:val="20"/>
          <w:color w:val="auto"/>
        </w:rPr>
      </w:pPr>
      <w:r>
        <w:rPr>
          <w:rFonts w:ascii="Arial" w:cs="Arial" w:eastAsia="Arial" w:hAnsi="Arial"/>
          <w:sz w:val="15"/>
          <w:szCs w:val="15"/>
          <w:color w:val="auto"/>
        </w:rPr>
        <w:t>10.7(b)†** First Amendment to Exclusive Patent License Agreement, dated as of January 12, 2010, by and between the Registrant and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271385" cy="203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333" w:right="137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8091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Exhibit</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6985</wp:posOffset>
            </wp:positionV>
            <wp:extent cx="581025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810250" cy="7620"/>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1600" w:space="420"/>
            <w:col w:w="9420"/>
          </w:cols>
          <w:pgMar w:left="240" w:top="124" w:right="219"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10.7(c)†**  Letter Agreement, dated as of November 27, 2012, by and among the Registrant, Massachusetts Institute of Technology and Sanofi</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10.7(d)†**  Letter Amendment, dated as of November 27, 2012, by and between the Registrant and the Massachusetts Institute of Technology</w:t>
      </w:r>
    </w:p>
    <w:p>
      <w:pPr>
        <w:spacing w:after="0" w:line="221" w:lineRule="exact"/>
        <w:rPr>
          <w:sz w:val="20"/>
          <w:szCs w:val="20"/>
          <w:color w:val="auto"/>
        </w:rPr>
      </w:pPr>
    </w:p>
    <w:p>
      <w:pPr>
        <w:ind w:left="2020" w:right="1640" w:hanging="754"/>
        <w:spacing w:after="0" w:line="314" w:lineRule="auto"/>
        <w:rPr>
          <w:sz w:val="20"/>
          <w:szCs w:val="20"/>
          <w:color w:val="auto"/>
        </w:rPr>
      </w:pPr>
      <w:r>
        <w:rPr>
          <w:rFonts w:ascii="Arial" w:cs="Arial" w:eastAsia="Arial" w:hAnsi="Arial"/>
          <w:sz w:val="15"/>
          <w:szCs w:val="15"/>
          <w:color w:val="auto"/>
        </w:rPr>
        <w:t>10.7(e)†** Second Amendment to Exclusive Patent License Agreement, dated as of August 29, 2013, by and between the Registrant and the Massachusetts Institute of Technology</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10.8(a)†**  License and Research Collaboration Agreement, dated as of November 27, 2012, by and between the Registrant and Sanofi</w:t>
      </w:r>
    </w:p>
    <w:p>
      <w:pPr>
        <w:spacing w:after="0" w:line="221" w:lineRule="exact"/>
        <w:rPr>
          <w:sz w:val="20"/>
          <w:szCs w:val="20"/>
          <w:color w:val="auto"/>
        </w:rPr>
      </w:pPr>
    </w:p>
    <w:p>
      <w:pPr>
        <w:ind w:left="2020" w:right="1660" w:hanging="762"/>
        <w:spacing w:after="0" w:line="314" w:lineRule="auto"/>
        <w:rPr>
          <w:sz w:val="20"/>
          <w:szCs w:val="20"/>
          <w:color w:val="auto"/>
        </w:rPr>
      </w:pPr>
      <w:r>
        <w:rPr>
          <w:rFonts w:ascii="Arial" w:cs="Arial" w:eastAsia="Arial" w:hAnsi="Arial"/>
          <w:sz w:val="15"/>
          <w:szCs w:val="15"/>
          <w:color w:val="auto"/>
        </w:rPr>
        <w:t>10.8(b)†** Supplemental Agreement No. 1 to License and Research Collaboration Agreement, dated as of May 7, 2015, by and between the Registrant and Sanofi</w:t>
      </w:r>
    </w:p>
    <w:p>
      <w:pPr>
        <w:spacing w:after="0" w:line="12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10.9†**  License Agreement, dated as of May 12, 2014, by and between the Registrant and Shenyang Sunshine Pharmaceutical Co., Ltd.</w:t>
      </w:r>
    </w:p>
    <w:p>
      <w:pPr>
        <w:spacing w:after="0" w:line="221" w:lineRule="exact"/>
        <w:rPr>
          <w:sz w:val="20"/>
          <w:szCs w:val="20"/>
          <w:color w:val="auto"/>
        </w:rPr>
      </w:pPr>
    </w:p>
    <w:p>
      <w:pPr>
        <w:ind w:left="2020" w:right="2200" w:hanging="662"/>
        <w:spacing w:after="0" w:line="314" w:lineRule="auto"/>
        <w:rPr>
          <w:sz w:val="20"/>
          <w:szCs w:val="20"/>
          <w:color w:val="auto"/>
        </w:rPr>
      </w:pPr>
      <w:r>
        <w:rPr>
          <w:rFonts w:ascii="Arial" w:cs="Arial" w:eastAsia="Arial" w:hAnsi="Arial"/>
          <w:sz w:val="15"/>
          <w:szCs w:val="15"/>
          <w:color w:val="auto"/>
        </w:rPr>
        <w:t>10.10†** Manufacturing Services Agreement, dated as of August 1, 2014, by and between the Registrant and Shenyang Sunshine Pharmaceutical Co., Ltd.</w:t>
      </w:r>
    </w:p>
    <w:p>
      <w:pPr>
        <w:spacing w:after="0" w:line="128" w:lineRule="exact"/>
        <w:rPr>
          <w:sz w:val="20"/>
          <w:szCs w:val="20"/>
          <w:color w:val="auto"/>
        </w:rPr>
      </w:pPr>
    </w:p>
    <w:p>
      <w:pPr>
        <w:ind w:left="2020" w:right="1200" w:hanging="656"/>
        <w:spacing w:after="0" w:line="314" w:lineRule="auto"/>
        <w:rPr>
          <w:sz w:val="20"/>
          <w:szCs w:val="20"/>
          <w:color w:val="auto"/>
        </w:rPr>
      </w:pPr>
      <w:r>
        <w:rPr>
          <w:rFonts w:ascii="Arial" w:cs="Arial" w:eastAsia="Arial" w:hAnsi="Arial"/>
          <w:sz w:val="15"/>
          <w:szCs w:val="15"/>
          <w:color w:val="auto"/>
        </w:rPr>
        <w:t>10.11†** Patent Cross-License Agreement, dated as of December 18, 2008, by and between the Registrant and BIND Therapeutics, Inc. (formerly BIND Biosciences, Inc.)</w:t>
      </w:r>
    </w:p>
    <w:p>
      <w:pPr>
        <w:spacing w:after="0" w:line="128" w:lineRule="exact"/>
        <w:rPr>
          <w:sz w:val="20"/>
          <w:szCs w:val="20"/>
          <w:color w:val="auto"/>
        </w:rPr>
      </w:pPr>
    </w:p>
    <w:p>
      <w:pPr>
        <w:ind w:left="2020" w:right="1400" w:hanging="662"/>
        <w:spacing w:after="0" w:line="314" w:lineRule="auto"/>
        <w:rPr>
          <w:sz w:val="20"/>
          <w:szCs w:val="20"/>
          <w:color w:val="auto"/>
        </w:rPr>
      </w:pPr>
      <w:r>
        <w:rPr>
          <w:rFonts w:ascii="Arial" w:cs="Arial" w:eastAsia="Arial" w:hAnsi="Arial"/>
          <w:sz w:val="15"/>
          <w:szCs w:val="15"/>
          <w:color w:val="auto"/>
        </w:rPr>
        <w:t>10.12†** Exclusive License Agreement, dated as of May 17, 2016, by and among the Registrant, the Massachusetts Eye and Ear Infirmary and The Schepens Eye Research Institute, Inc.</w:t>
      </w:r>
    </w:p>
    <w:p>
      <w:pPr>
        <w:spacing w:after="0" w:line="128" w:lineRule="exact"/>
        <w:rPr>
          <w:sz w:val="20"/>
          <w:szCs w:val="20"/>
          <w:color w:val="auto"/>
        </w:rPr>
      </w:pPr>
    </w:p>
    <w:p>
      <w:pPr>
        <w:ind w:left="2020" w:right="1320" w:hanging="662"/>
        <w:spacing w:after="0" w:line="286" w:lineRule="auto"/>
        <w:rPr>
          <w:sz w:val="20"/>
          <w:szCs w:val="20"/>
          <w:color w:val="auto"/>
        </w:rPr>
      </w:pPr>
      <w:r>
        <w:rPr>
          <w:rFonts w:ascii="Arial" w:cs="Arial" w:eastAsia="Arial" w:hAnsi="Arial"/>
          <w:sz w:val="15"/>
          <w:szCs w:val="15"/>
          <w:color w:val="auto"/>
        </w:rPr>
        <w:t>10.13†** Lease, dated as of September 30, 2008, as amended by the First Amendment, dated as of July 12, 2011, the Second Amendment, dated as of October 11, 2011 and the Third Amendment, dated as of April 6, 2015, by and between the Registrant and ARE-480 Arsenal Street, LLC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10.14**</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Robert S. Langer</w:t>
            </w:r>
          </w:p>
        </w:tc>
      </w:tr>
      <w:tr>
        <w:trPr>
          <w:trHeight w:val="389"/>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10.15**</w:t>
            </w:r>
          </w:p>
        </w:tc>
        <w:tc>
          <w:tcPr>
            <w:tcW w:w="9500" w:type="dxa"/>
            <w:vAlign w:val="bottom"/>
          </w:tcPr>
          <w:p>
            <w:pPr>
              <w:ind w:left="80"/>
              <w:spacing w:after="0"/>
              <w:rPr>
                <w:sz w:val="20"/>
                <w:szCs w:val="20"/>
                <w:color w:val="auto"/>
              </w:rPr>
            </w:pPr>
            <w:r>
              <w:rPr>
                <w:rFonts w:ascii="Arial" w:cs="Arial" w:eastAsia="Arial" w:hAnsi="Arial"/>
                <w:sz w:val="15"/>
                <w:szCs w:val="15"/>
                <w:color w:val="auto"/>
              </w:rPr>
              <w:t>Consulting Agreement, dated as of March 10, 2008, as amended by the First Amendment to Consulting Agreement, dated as of</w:t>
            </w:r>
          </w:p>
        </w:tc>
      </w:tr>
      <w:tr>
        <w:trPr>
          <w:trHeight w:val="190"/>
        </w:trPr>
        <w:tc>
          <w:tcPr>
            <w:tcW w:w="1940" w:type="dxa"/>
            <w:vAlign w:val="bottom"/>
          </w:tcPr>
          <w:p>
            <w:pPr>
              <w:spacing w:after="0"/>
              <w:rPr>
                <w:sz w:val="16"/>
                <w:szCs w:val="16"/>
                <w:color w:val="auto"/>
              </w:rPr>
            </w:pPr>
          </w:p>
        </w:tc>
        <w:tc>
          <w:tcPr>
            <w:tcW w:w="9500" w:type="dxa"/>
            <w:vAlign w:val="bottom"/>
          </w:tcPr>
          <w:p>
            <w:pPr>
              <w:ind w:left="80"/>
              <w:spacing w:after="0"/>
              <w:rPr>
                <w:sz w:val="20"/>
                <w:szCs w:val="20"/>
                <w:color w:val="auto"/>
              </w:rPr>
            </w:pPr>
            <w:r>
              <w:rPr>
                <w:rFonts w:ascii="Arial" w:cs="Arial" w:eastAsia="Arial" w:hAnsi="Arial"/>
                <w:sz w:val="15"/>
                <w:szCs w:val="15"/>
                <w:color w:val="auto"/>
              </w:rPr>
              <w:t>January 1, 2012, by and between the Registrant and Omid Farokhzad</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10.16**</w:t>
            </w:r>
          </w:p>
        </w:tc>
        <w:tc>
          <w:tcPr>
            <w:tcW w:w="9500" w:type="dxa"/>
            <w:vAlign w:val="bottom"/>
          </w:tcPr>
          <w:p>
            <w:pPr>
              <w:ind w:left="80"/>
              <w:spacing w:after="0"/>
              <w:rPr>
                <w:sz w:val="20"/>
                <w:szCs w:val="20"/>
                <w:color w:val="auto"/>
              </w:rPr>
            </w:pPr>
            <w:r>
              <w:rPr>
                <w:rFonts w:ascii="Arial" w:cs="Arial" w:eastAsia="Arial" w:hAnsi="Arial"/>
                <w:sz w:val="15"/>
                <w:szCs w:val="15"/>
                <w:color w:val="auto"/>
              </w:rPr>
              <w:t>Summary of Oral Agreement, by and between the Registrant and Omid Farokhzad</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10.17**</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Werner Cautreels</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10.18**</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Takashi Kei Kishimoto</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10.19**</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Peter Keller</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10.20**</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Earl E. Sands</w:t>
            </w:r>
          </w:p>
        </w:tc>
      </w:tr>
      <w:tr>
        <w:trPr>
          <w:trHeight w:val="394"/>
        </w:trPr>
        <w:tc>
          <w:tcPr>
            <w:tcW w:w="1940" w:type="dxa"/>
            <w:vAlign w:val="bottom"/>
          </w:tcPr>
          <w:p>
            <w:pPr>
              <w:jc w:val="right"/>
              <w:ind w:right="25"/>
              <w:spacing w:after="0"/>
              <w:rPr>
                <w:sz w:val="20"/>
                <w:szCs w:val="20"/>
                <w:color w:val="auto"/>
              </w:rPr>
            </w:pPr>
            <w:r>
              <w:rPr>
                <w:rFonts w:ascii="Arial" w:cs="Arial" w:eastAsia="Arial" w:hAnsi="Arial"/>
                <w:sz w:val="15"/>
                <w:szCs w:val="15"/>
                <w:color w:val="auto"/>
              </w:rPr>
              <w:t>10.21**</w:t>
            </w:r>
          </w:p>
        </w:tc>
        <w:tc>
          <w:tcPr>
            <w:tcW w:w="9500" w:type="dxa"/>
            <w:vAlign w:val="bottom"/>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Lloyd P. M. Johnston, Ph.D.</w:t>
            </w:r>
          </w:p>
        </w:tc>
      </w:tr>
      <w:tr>
        <w:trPr>
          <w:trHeight w:val="102"/>
        </w:trPr>
        <w:tc>
          <w:tcPr>
            <w:tcW w:w="1940" w:type="dxa"/>
            <w:vAlign w:val="bottom"/>
            <w:tcBorders>
              <w:bottom w:val="single" w:sz="8" w:color="808080"/>
            </w:tcBorders>
          </w:tcPr>
          <w:p>
            <w:pPr>
              <w:spacing w:after="0"/>
              <w:rPr>
                <w:sz w:val="8"/>
                <w:szCs w:val="8"/>
                <w:color w:val="auto"/>
              </w:rPr>
            </w:pPr>
          </w:p>
        </w:tc>
        <w:tc>
          <w:tcPr>
            <w:tcW w:w="95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15"/>
          <w:szCs w:val="1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28091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0910" cy="7620"/>
                    </a:xfrm>
                    <a:prstGeom prst="rect">
                      <a:avLst/>
                    </a:prstGeom>
                    <a:noFill/>
                  </pic:spPr>
                </pic:pic>
              </a:graphicData>
            </a:graphic>
          </wp:anchor>
        </w:drawing>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2"/>
                <w:szCs w:val="12"/>
                <w:color w:val="auto"/>
              </w:rPr>
            </w:pPr>
          </w:p>
        </w:tc>
        <w:tc>
          <w:tcPr>
            <w:tcW w:w="8200" w:type="dxa"/>
            <w:vAlign w:val="bottom"/>
          </w:tcPr>
          <w:p>
            <w:pPr>
              <w:spacing w:after="0"/>
              <w:rPr>
                <w:sz w:val="12"/>
                <w:szCs w:val="12"/>
                <w:color w:val="auto"/>
              </w:rPr>
            </w:pPr>
          </w:p>
        </w:tc>
      </w:tr>
      <w:tr>
        <w:trPr>
          <w:trHeight w:val="149"/>
        </w:trPr>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8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Description of exhibit</w:t>
            </w:r>
          </w:p>
        </w:tc>
      </w:tr>
      <w:tr>
        <w:trPr>
          <w:trHeight w:val="182"/>
        </w:trPr>
        <w:tc>
          <w:tcPr>
            <w:tcW w:w="20" w:type="dxa"/>
            <w:vAlign w:val="bottom"/>
          </w:tcPr>
          <w:p>
            <w:pPr>
              <w:spacing w:after="0"/>
              <w:rPr>
                <w:sz w:val="15"/>
                <w:szCs w:val="15"/>
                <w:color w:val="auto"/>
              </w:rPr>
            </w:pPr>
          </w:p>
        </w:tc>
        <w:tc>
          <w:tcPr>
            <w:tcW w:w="7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10.22**</w:t>
            </w:r>
          </w:p>
        </w:tc>
        <w:tc>
          <w:tcPr>
            <w:tcW w:w="834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David Abraham</w:t>
            </w:r>
          </w:p>
        </w:tc>
      </w:tr>
      <w:tr>
        <w:trPr>
          <w:trHeight w:val="387"/>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10.23**</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June 6, 2016, by and between the Registrant and David Siewers</w:t>
            </w:r>
          </w:p>
        </w:tc>
      </w:tr>
      <w:tr>
        <w:trPr>
          <w:trHeight w:val="389"/>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10.24**</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3"/>
              </w:rPr>
              <w:t>Independent Director Consulting Agreement, dated as of May 5, 2009, as amended by the First Amendment to Independent Director</w:t>
            </w: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w w:val="92"/>
              </w:rPr>
              <w:t>Consulting Agreement, dated as of July 22, 2009, by and between the Registrant and George R. Siber, M.D., as terminated by a letter,</w:t>
            </w:r>
          </w:p>
        </w:tc>
      </w:t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dated as of June 1, 2016</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10.25**</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July 19, 2010, by and between the Registrant and Werner Cautreels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10.26**</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June 22, 2011, by and between the Registrant and Takashi Kei Kishimoto</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10.27**</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January 7, 2011, by and between the Registrant and Peter Keller</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10.28**</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Employment Agreement, dated as of July 1, 2015, by and between the Registrant and Earl E. Sands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10.29**</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June 30, 2015, by and between the Registrant and Earl E. Sands, M.D.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10.30**</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June 2, 2008, by and between the Registrant and Lloyd P. M. Johnston, Ph.D.</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April 4, 2011, by and between the Registrant and David Abraham</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10.32**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Offer Letter, dated as of September 4, 2009, by and between the Registrant and David Siewers</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21.1**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Subsidiaries of the Registrant</w:t>
            </w:r>
          </w:p>
        </w:tc>
      </w:tr>
      <w:tr>
        <w:trPr>
          <w:trHeight w:val="394"/>
        </w:trPr>
        <w:tc>
          <w:tcPr>
            <w:tcW w:w="800" w:type="dxa"/>
            <w:vAlign w:val="bottom"/>
            <w:gridSpan w:val="2"/>
          </w:tcPr>
          <w:p>
            <w:pPr>
              <w:jc w:val="right"/>
              <w:ind w:right="165"/>
              <w:spacing w:after="0"/>
              <w:rPr>
                <w:sz w:val="20"/>
                <w:szCs w:val="20"/>
                <w:color w:val="auto"/>
              </w:rPr>
            </w:pPr>
            <w:r>
              <w:rPr>
                <w:rFonts w:ascii="Arial" w:cs="Arial" w:eastAsia="Arial" w:hAnsi="Arial"/>
                <w:sz w:val="15"/>
                <w:szCs w:val="15"/>
                <w:color w:val="auto"/>
              </w:rPr>
              <w:t>23.1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Ernst &amp; Young LLP</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23.2**</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Latham &amp; Watkins LLP (included in Exhibit 5.1)</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24.1**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Power of Attorney (included on signature page)</w:t>
            </w:r>
          </w:p>
        </w:tc>
      </w:tr>
      <w:tr>
        <w:trPr>
          <w:trHeight w:val="394"/>
        </w:trPr>
        <w:tc>
          <w:tcPr>
            <w:tcW w:w="800" w:type="dxa"/>
            <w:vAlign w:val="bottom"/>
            <w:gridSpan w:val="2"/>
          </w:tcPr>
          <w:p>
            <w:pPr>
              <w:jc w:val="right"/>
              <w:ind w:right="25"/>
              <w:spacing w:after="0"/>
              <w:rPr>
                <w:sz w:val="20"/>
                <w:szCs w:val="20"/>
                <w:color w:val="auto"/>
              </w:rPr>
            </w:pPr>
            <w:r>
              <w:rPr>
                <w:rFonts w:ascii="Arial" w:cs="Arial" w:eastAsia="Arial" w:hAnsi="Arial"/>
                <w:sz w:val="15"/>
                <w:szCs w:val="15"/>
                <w:color w:val="auto"/>
              </w:rPr>
              <w:t>99.1**</w:t>
            </w:r>
          </w:p>
        </w:tc>
        <w:tc>
          <w:tcPr>
            <w:tcW w:w="8340" w:type="dxa"/>
            <w:vAlign w:val="bottom"/>
            <w:gridSpan w:val="2"/>
          </w:tcPr>
          <w:p>
            <w:pPr>
              <w:ind w:left="80"/>
              <w:spacing w:after="0"/>
              <w:rPr>
                <w:sz w:val="20"/>
                <w:szCs w:val="20"/>
                <w:color w:val="auto"/>
              </w:rPr>
            </w:pPr>
            <w:r>
              <w:rPr>
                <w:rFonts w:ascii="Arial" w:cs="Arial" w:eastAsia="Arial" w:hAnsi="Arial"/>
                <w:sz w:val="15"/>
                <w:szCs w:val="15"/>
                <w:color w:val="auto"/>
              </w:rPr>
              <w:t>Consent of Director Nominee</w:t>
            </w:r>
          </w:p>
        </w:tc>
      </w:tr>
      <w:tr>
        <w:trPr>
          <w:trHeight w:val="95"/>
        </w:trPr>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0" w:type="dxa"/>
            <w:vAlign w:val="bottom"/>
          </w:tcPr>
          <w:p>
            <w:pPr>
              <w:spacing w:after="0"/>
              <w:rPr>
                <w:sz w:val="8"/>
                <w:szCs w:val="8"/>
                <w:color w:val="auto"/>
              </w:rPr>
            </w:pPr>
          </w:p>
        </w:tc>
      </w:tr>
    </w:tbl>
    <w:p>
      <w:pPr>
        <w:spacing w:after="0" w:line="165" w:lineRule="exact"/>
        <w:rPr>
          <w:sz w:val="20"/>
          <w:szCs w:val="20"/>
          <w:color w:val="auto"/>
        </w:rPr>
      </w:pPr>
    </w:p>
    <w:p>
      <w:pPr>
        <w:ind w:left="1600" w:hanging="463"/>
        <w:spacing w:after="0"/>
        <w:tabs>
          <w:tab w:leader="none" w:pos="160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105" w:lineRule="exact"/>
        <w:rPr>
          <w:sz w:val="20"/>
          <w:szCs w:val="20"/>
          <w:color w:val="auto"/>
        </w:rPr>
      </w:pPr>
    </w:p>
    <w:p>
      <w:pPr>
        <w:ind w:left="1600" w:hanging="463"/>
        <w:spacing w:after="0"/>
        <w:tabs>
          <w:tab w:leader="none" w:pos="1600" w:val="left"/>
        </w:tabs>
        <w:numPr>
          <w:ilvl w:val="0"/>
          <w:numId w:val="143"/>
        </w:numPr>
        <w:rPr>
          <w:rFonts w:ascii="Arial" w:cs="Arial" w:eastAsia="Arial" w:hAnsi="Arial"/>
          <w:sz w:val="10"/>
          <w:szCs w:val="10"/>
          <w:color w:val="auto"/>
        </w:rPr>
      </w:pPr>
      <w:r>
        <w:rPr>
          <w:rFonts w:ascii="Arial" w:cs="Arial" w:eastAsia="Arial" w:hAnsi="Arial"/>
          <w:sz w:val="10"/>
          <w:szCs w:val="10"/>
          <w:color w:val="auto"/>
        </w:rPr>
        <w:t>Portions of this exhibit (indicated by asterisks) have been omitted pursuant to a request for confidential treatment pursuant to Rule 406 under the Securities Exchange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271385" cy="203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0280"/>
          </w:cols>
          <w:pgMar w:left="240" w:top="124" w:right="1379" w:bottom="1440" w:gutter="0" w:footer="0" w:header="0"/>
        </w:sectPr>
      </w:pPr>
    </w:p>
    <w:bookmarkStart w:id="289" w:name="page290"/>
    <w:bookmarkEnd w:id="2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rFonts w:ascii="Arial" w:cs="Arial" w:eastAsia="Arial" w:hAnsi="Arial"/>
          <w:sz w:val="15"/>
          <w:szCs w:val="15"/>
          <w:b w:val="1"/>
          <w:bCs w:val="1"/>
          <w:color w:val="auto"/>
        </w:rPr>
        <w:t>Exhibit 10.1</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2008 Stock Incentive Plan</w:t>
      </w:r>
    </w:p>
    <w:p>
      <w:pPr>
        <w:spacing w:after="0" w:line="198" w:lineRule="exact"/>
        <w:rPr>
          <w:sz w:val="20"/>
          <w:szCs w:val="20"/>
          <w:color w:val="auto"/>
        </w:rPr>
      </w:pPr>
    </w:p>
    <w:p>
      <w:pPr>
        <w:ind w:left="547" w:hanging="547"/>
        <w:spacing w:after="0"/>
        <w:tabs>
          <w:tab w:leader="none" w:pos="547"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color w:val="auto"/>
        </w:rPr>
        <w:t>Purpose.</w:t>
      </w:r>
    </w:p>
    <w:p>
      <w:pPr>
        <w:spacing w:after="0" w:line="204" w:lineRule="exact"/>
        <w:rPr>
          <w:sz w:val="20"/>
          <w:szCs w:val="20"/>
          <w:color w:val="auto"/>
        </w:rPr>
      </w:pPr>
    </w:p>
    <w:p>
      <w:pPr>
        <w:ind w:left="7" w:right="140" w:firstLine="556"/>
        <w:spacing w:after="0" w:line="263" w:lineRule="auto"/>
        <w:rPr>
          <w:sz w:val="20"/>
          <w:szCs w:val="20"/>
          <w:color w:val="auto"/>
        </w:rPr>
      </w:pPr>
      <w:r>
        <w:rPr>
          <w:rFonts w:ascii="Arial" w:cs="Arial" w:eastAsia="Arial" w:hAnsi="Arial"/>
          <w:sz w:val="15"/>
          <w:szCs w:val="15"/>
          <w:color w:val="auto"/>
        </w:rPr>
        <w:t>The purpose of this plan (the “</w:t>
      </w:r>
      <w:r>
        <w:rPr>
          <w:rFonts w:ascii="Arial" w:cs="Arial" w:eastAsia="Arial" w:hAnsi="Arial"/>
          <w:sz w:val="15"/>
          <w:szCs w:val="15"/>
          <w:u w:val="single" w:color="auto"/>
          <w:color w:val="auto"/>
        </w:rPr>
        <w:t>Plan</w:t>
      </w:r>
      <w:r>
        <w:rPr>
          <w:rFonts w:ascii="Arial" w:cs="Arial" w:eastAsia="Arial" w:hAnsi="Arial"/>
          <w:sz w:val="15"/>
          <w:szCs w:val="15"/>
          <w:color w:val="auto"/>
        </w:rPr>
        <w:t>”) is to secure for Selecta Biosciences,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its shareholders the benefits arising from capital stock ownership by employees, officers and directors of, and consultants or advisors to, the Company and its parent and subsidiary corporations who are expected to contribute to the Company’s future growth and success. Under the Plan recipients may be awarded both (i) Options (as defined in Section 2.1) to purchase the Company’s common stock, par value $0.0001 (“</w:t>
      </w:r>
      <w:r>
        <w:rPr>
          <w:rFonts w:ascii="Arial" w:cs="Arial" w:eastAsia="Arial" w:hAnsi="Arial"/>
          <w:sz w:val="15"/>
          <w:szCs w:val="15"/>
          <w:u w:val="single" w:color="auto"/>
          <w:color w:val="auto"/>
        </w:rPr>
        <w:t>Common Stock</w:t>
      </w:r>
      <w:r>
        <w:rPr>
          <w:rFonts w:ascii="Arial" w:cs="Arial" w:eastAsia="Arial" w:hAnsi="Arial"/>
          <w:sz w:val="15"/>
          <w:szCs w:val="15"/>
          <w:color w:val="auto"/>
        </w:rPr>
        <w:t>”) and (ii) shares of the Company’s Common Stock (“</w:t>
      </w:r>
      <w:r>
        <w:rPr>
          <w:rFonts w:ascii="Arial" w:cs="Arial" w:eastAsia="Arial" w:hAnsi="Arial"/>
          <w:sz w:val="15"/>
          <w:szCs w:val="15"/>
          <w:u w:val="single" w:color="auto"/>
          <w:color w:val="auto"/>
        </w:rPr>
        <w:t>Restricted Stock Awards</w:t>
      </w:r>
      <w:r>
        <w:rPr>
          <w:rFonts w:ascii="Arial" w:cs="Arial" w:eastAsia="Arial" w:hAnsi="Arial"/>
          <w:sz w:val="15"/>
          <w:szCs w:val="15"/>
          <w:color w:val="auto"/>
        </w:rPr>
        <w:t>”). Except where the context otherwise requires, the term “</w:t>
      </w:r>
      <w:r>
        <w:rPr>
          <w:rFonts w:ascii="Arial" w:cs="Arial" w:eastAsia="Arial" w:hAnsi="Arial"/>
          <w:sz w:val="15"/>
          <w:szCs w:val="15"/>
          <w:u w:val="single" w:color="auto"/>
          <w:color w:val="auto"/>
        </w:rPr>
        <w:t>Company</w:t>
      </w:r>
      <w:r>
        <w:rPr>
          <w:rFonts w:ascii="Arial" w:cs="Arial" w:eastAsia="Arial" w:hAnsi="Arial"/>
          <w:sz w:val="15"/>
          <w:szCs w:val="15"/>
          <w:color w:val="auto"/>
        </w:rPr>
        <w:t>” shall include any parent and all present and future subsidiaries of the Company as defined in Sections 424(e) and 424(f) of the Internal Revenue Code of 1986, as amended or replaced from time to time (the “</w:t>
      </w:r>
      <w:r>
        <w:rPr>
          <w:rFonts w:ascii="Arial" w:cs="Arial" w:eastAsia="Arial" w:hAnsi="Arial"/>
          <w:sz w:val="15"/>
          <w:szCs w:val="15"/>
          <w:u w:val="single" w:color="auto"/>
          <w:color w:val="auto"/>
        </w:rPr>
        <w:t>Code</w:t>
      </w:r>
      <w:r>
        <w:rPr>
          <w:rFonts w:ascii="Arial" w:cs="Arial" w:eastAsia="Arial" w:hAnsi="Arial"/>
          <w:sz w:val="15"/>
          <w:szCs w:val="15"/>
          <w:color w:val="auto"/>
        </w:rPr>
        <w:t>”). Those provisions of the Plan which make express reference to Section 422 of the Code shall apply only to Incentive Stock Options (as that term is defined below).</w:t>
      </w:r>
    </w:p>
    <w:p>
      <w:pPr>
        <w:spacing w:after="0" w:line="153" w:lineRule="exact"/>
        <w:rPr>
          <w:sz w:val="20"/>
          <w:szCs w:val="20"/>
          <w:color w:val="auto"/>
        </w:rPr>
      </w:pPr>
    </w:p>
    <w:p>
      <w:pPr>
        <w:ind w:left="547" w:hanging="547"/>
        <w:spacing w:after="0"/>
        <w:tabs>
          <w:tab w:leader="none" w:pos="547"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Types of Awards and Administration.</w:t>
      </w:r>
    </w:p>
    <w:p>
      <w:pPr>
        <w:spacing w:after="0" w:line="198" w:lineRule="exact"/>
        <w:rPr>
          <w:rFonts w:ascii="Arial" w:cs="Arial" w:eastAsia="Arial" w:hAnsi="Arial"/>
          <w:sz w:val="15"/>
          <w:szCs w:val="15"/>
          <w:b w:val="1"/>
          <w:bCs w:val="1"/>
          <w:color w:val="auto"/>
        </w:rPr>
      </w:pPr>
    </w:p>
    <w:p>
      <w:pPr>
        <w:ind w:left="1107" w:right="40" w:hanging="556"/>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2.1</w:t>
      </w:r>
      <w:r>
        <w:rPr>
          <w:rFonts w:ascii="Arial" w:cs="Arial" w:eastAsia="Arial" w:hAnsi="Arial"/>
          <w:sz w:val="15"/>
          <w:szCs w:val="15"/>
          <w:b w:val="1"/>
          <w:bCs w:val="1"/>
          <w:color w:val="auto"/>
        </w:rPr>
        <w:t xml:space="preserve">Options. </w:t>
      </w:r>
      <w:r>
        <w:rPr>
          <w:rFonts w:ascii="Arial" w:cs="Arial" w:eastAsia="Arial" w:hAnsi="Arial"/>
          <w:sz w:val="15"/>
          <w:szCs w:val="15"/>
          <w:color w:val="auto"/>
        </w:rPr>
        <w:t>Options granted pursuant to the Plan (“</w:t>
      </w:r>
      <w:r>
        <w:rPr>
          <w:rFonts w:ascii="Arial" w:cs="Arial" w:eastAsia="Arial" w:hAnsi="Arial"/>
          <w:sz w:val="15"/>
          <w:szCs w:val="15"/>
          <w:u w:val="single" w:color="auto"/>
          <w:color w:val="auto"/>
        </w:rPr>
        <w:t>Options</w:t>
      </w:r>
      <w:r>
        <w:rPr>
          <w:rFonts w:ascii="Arial" w:cs="Arial" w:eastAsia="Arial" w:hAnsi="Arial"/>
          <w:sz w:val="15"/>
          <w:szCs w:val="15"/>
          <w:color w:val="auto"/>
        </w:rPr>
        <w:t>”) shall be authorized by action of the Board of Directors of Selecta Biosciences, Inc. (the “</w:t>
      </w:r>
      <w:r>
        <w:rPr>
          <w:rFonts w:ascii="Arial" w:cs="Arial" w:eastAsia="Arial" w:hAnsi="Arial"/>
          <w:sz w:val="15"/>
          <w:szCs w:val="15"/>
          <w:u w:val="single" w:color="auto"/>
          <w:color w:val="auto"/>
        </w:rPr>
        <w:t>Board</w:t>
      </w:r>
      <w:r>
        <w:rPr>
          <w:rFonts w:ascii="Arial" w:cs="Arial" w:eastAsia="Arial" w:hAnsi="Arial"/>
          <w:sz w:val="15"/>
          <w:szCs w:val="15"/>
          <w:color w:val="auto"/>
        </w:rPr>
        <w:t>” or “</w:t>
      </w:r>
      <w:r>
        <w:rPr>
          <w:rFonts w:ascii="Arial" w:cs="Arial" w:eastAsia="Arial" w:hAnsi="Arial"/>
          <w:sz w:val="15"/>
          <w:szCs w:val="15"/>
          <w:u w:val="single" w:color="auto"/>
          <w:color w:val="auto"/>
        </w:rPr>
        <w:t>Board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of Directors</w:t>
      </w:r>
      <w:r>
        <w:rPr>
          <w:rFonts w:ascii="Arial" w:cs="Arial" w:eastAsia="Arial" w:hAnsi="Arial"/>
          <w:sz w:val="15"/>
          <w:szCs w:val="15"/>
          <w:color w:val="auto"/>
        </w:rPr>
        <w:t>”) and may be either incentive stock options (“</w:t>
      </w:r>
      <w:r>
        <w:rPr>
          <w:rFonts w:ascii="Arial" w:cs="Arial" w:eastAsia="Arial" w:hAnsi="Arial"/>
          <w:sz w:val="15"/>
          <w:szCs w:val="15"/>
          <w:u w:val="single" w:color="auto"/>
          <w:color w:val="auto"/>
        </w:rPr>
        <w:t>Incentive Stock Options</w:t>
      </w:r>
      <w:r>
        <w:rPr>
          <w:rFonts w:ascii="Arial" w:cs="Arial" w:eastAsia="Arial" w:hAnsi="Arial"/>
          <w:sz w:val="15"/>
          <w:szCs w:val="15"/>
          <w:color w:val="auto"/>
        </w:rPr>
        <w:t>”) meeting the requirements of Section 422 of the Code or non-statutory Options which are not intended to meet the requirements of Section 422. The vesting of Options may be conditioned upon the completion of a specified period of employment with the Company and/or such other conditions or events as the Board may determine. The Board may also provide that Options are immediately exercisable subject to certain repurchase rights in the Company dependent upon the continued employment of the optionee and/or such other conditions or events as the Board may determine.</w:t>
      </w:r>
    </w:p>
    <w:p>
      <w:pPr>
        <w:spacing w:after="0" w:line="154" w:lineRule="exact"/>
        <w:rPr>
          <w:sz w:val="20"/>
          <w:szCs w:val="20"/>
          <w:color w:val="auto"/>
        </w:rPr>
      </w:pPr>
    </w:p>
    <w:p>
      <w:pPr>
        <w:ind w:left="2227" w:right="140" w:hanging="555"/>
        <w:spacing w:after="0" w:line="288" w:lineRule="auto"/>
        <w:tabs>
          <w:tab w:leader="none" w:pos="2207"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4"/>
          <w:szCs w:val="14"/>
          <w:b w:val="1"/>
          <w:bCs w:val="1"/>
          <w:color w:val="auto"/>
        </w:rPr>
        <w:t xml:space="preserve">Incentive Stock Options. </w:t>
      </w:r>
      <w:r>
        <w:rPr>
          <w:rFonts w:ascii="Arial" w:cs="Arial" w:eastAsia="Arial" w:hAnsi="Arial"/>
          <w:sz w:val="14"/>
          <w:szCs w:val="14"/>
          <w:color w:val="auto"/>
        </w:rPr>
        <w:t>All Options when granted are intended to be non-statutory Options, unless the applicable Option Agreement (as defined</w:t>
      </w:r>
      <w:r>
        <w:rPr>
          <w:rFonts w:ascii="Arial" w:cs="Arial" w:eastAsia="Arial" w:hAnsi="Arial"/>
          <w:sz w:val="14"/>
          <w:szCs w:val="14"/>
          <w:b w:val="1"/>
          <w:bCs w:val="1"/>
          <w:color w:val="auto"/>
        </w:rPr>
        <w:t xml:space="preserve"> </w:t>
      </w:r>
      <w:r>
        <w:rPr>
          <w:rFonts w:ascii="Arial" w:cs="Arial" w:eastAsia="Arial" w:hAnsi="Arial"/>
          <w:sz w:val="14"/>
          <w:szCs w:val="14"/>
          <w:color w:val="auto"/>
        </w:rPr>
        <w:t>in Section 5.1) explicitly states that the Option is intended to be an Incentive Stock Option. Incentive Stock Options may only be granted to employees of the Company. For so long as the Code shall so provide, Options granted to any employee under the Plan (and any other incentive stock option plans of the Company) which are intended to constitute Incentive Stock Options shall not constitute Incentive Stock Options to the extent that such Options, in the aggregate, become exercisable for the first time in any one calendar year for shares of Common Stock with an aggregate fair market value (determined as of the respective date or dates of grant) of more than $100,000. If an</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27" w:right="60"/>
        <w:spacing w:after="0" w:line="302" w:lineRule="auto"/>
        <w:rPr>
          <w:sz w:val="20"/>
          <w:szCs w:val="20"/>
          <w:color w:val="auto"/>
        </w:rPr>
      </w:pPr>
      <w:r>
        <w:rPr>
          <w:rFonts w:ascii="Arial" w:cs="Arial" w:eastAsia="Arial" w:hAnsi="Arial"/>
          <w:sz w:val="14"/>
          <w:szCs w:val="14"/>
          <w:color w:val="auto"/>
        </w:rPr>
        <w:t>Option is intended to be an Incentive Stock Option, and if for any reason such Option (or any portion thereof) shall not qualify as an Incentive Stock Option, then, to the extent of such nonqualification, such Option (or portion thereof) shall be regarded as a non-statutory Option appropriately granted under the Plan provided that such Option (or portion thereof) otherwise meets the Plan’s requirements relating to non-statutory Options.</w:t>
      </w:r>
    </w:p>
    <w:p>
      <w:pPr>
        <w:spacing w:after="0" w:line="127" w:lineRule="exact"/>
        <w:rPr>
          <w:sz w:val="20"/>
          <w:szCs w:val="20"/>
          <w:color w:val="auto"/>
        </w:rPr>
      </w:pPr>
    </w:p>
    <w:p>
      <w:pPr>
        <w:ind w:left="1107" w:right="120" w:hanging="555"/>
        <w:spacing w:after="0" w:line="278" w:lineRule="auto"/>
        <w:tabs>
          <w:tab w:leader="none" w:pos="1087"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5"/>
          <w:szCs w:val="15"/>
          <w:b w:val="1"/>
          <w:bCs w:val="1"/>
          <w:color w:val="auto"/>
        </w:rPr>
        <w:t xml:space="preserve">Restricted Stock Awards. </w:t>
      </w:r>
      <w:r>
        <w:rPr>
          <w:rFonts w:ascii="Arial" w:cs="Arial" w:eastAsia="Arial" w:hAnsi="Arial"/>
          <w:sz w:val="15"/>
          <w:szCs w:val="15"/>
          <w:color w:val="auto"/>
        </w:rPr>
        <w:t>The Board in its discretion may grant Restricted Stock Awards, entitling the recipient to acquire, for a purchase price determined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shares of Common Stock subject to such restrictions and conditions as the Board may determine at the time of grant (“</w:t>
      </w:r>
      <w:r>
        <w:rPr>
          <w:rFonts w:ascii="Arial" w:cs="Arial" w:eastAsia="Arial" w:hAnsi="Arial"/>
          <w:sz w:val="15"/>
          <w:szCs w:val="15"/>
          <w:u w:val="single" w:color="auto"/>
          <w:color w:val="auto"/>
        </w:rPr>
        <w:t>Restricted Stock</w:t>
      </w:r>
      <w:r>
        <w:rPr>
          <w:rFonts w:ascii="Arial" w:cs="Arial" w:eastAsia="Arial" w:hAnsi="Arial"/>
          <w:sz w:val="15"/>
          <w:szCs w:val="15"/>
          <w:color w:val="auto"/>
        </w:rPr>
        <w:t>”), including continued employment and/or achievement of pre-established performance goals and objectives.</w:t>
      </w:r>
    </w:p>
    <w:p>
      <w:pPr>
        <w:spacing w:after="0" w:line="142" w:lineRule="exact"/>
        <w:rPr>
          <w:sz w:val="20"/>
          <w:szCs w:val="20"/>
          <w:color w:val="auto"/>
        </w:rPr>
      </w:pPr>
    </w:p>
    <w:p>
      <w:pPr>
        <w:ind w:left="1107" w:right="20" w:hanging="555"/>
        <w:spacing w:after="0" w:line="261" w:lineRule="auto"/>
        <w:tabs>
          <w:tab w:leader="none" w:pos="1087"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Plan shall be administered by the Board, whose construction and interpretation of the terms and provisions of the Plan shall be final and</w:t>
      </w:r>
      <w:r>
        <w:rPr>
          <w:rFonts w:ascii="Arial" w:cs="Arial" w:eastAsia="Arial" w:hAnsi="Arial"/>
          <w:sz w:val="15"/>
          <w:szCs w:val="15"/>
          <w:b w:val="1"/>
          <w:bCs w:val="1"/>
          <w:color w:val="auto"/>
        </w:rPr>
        <w:t xml:space="preserve"> </w:t>
      </w:r>
      <w:r>
        <w:rPr>
          <w:rFonts w:ascii="Arial" w:cs="Arial" w:eastAsia="Arial" w:hAnsi="Arial"/>
          <w:sz w:val="15"/>
          <w:szCs w:val="15"/>
          <w:color w:val="auto"/>
        </w:rPr>
        <w:t>conclusive. The Board may in its sole discretion issue Restricted Stock and grant Options and issue shares upon exercise of such Options as provided in the Plan. The Board shall have authority, subject to the express provisions of the Plan, to construe Restricted Stock Agreements, Option Agreements and the Plan, to prescribe, amend and rescind rules and regulations relating to the Plan, to determine the terms and provisions of Restricted Stock Agreements and Option Agreements, and to make all other determinations in the judgment of the Board necessary or desirable for the administration of the Plan. The Board may correct any defect or supply any omission or reconcile any inconsistency in the Plan or in any Restricted Stock Agreement or Option Agreement in the manner and to the extent it shall deem expedient to carry the Plan into effect and it shall be the sole and final judge of such expediency. No director or person acting pursuant to authority delegated by the Board shall be liable for any action or determination under the Plan made in good faith. The Board may, to the full extent permitted by or consistent with applicable laws or regulations, delegate any or all of its powers under the Plan to a committee (the “</w:t>
      </w:r>
      <w:r>
        <w:rPr>
          <w:rFonts w:ascii="Arial" w:cs="Arial" w:eastAsia="Arial" w:hAnsi="Arial"/>
          <w:sz w:val="15"/>
          <w:szCs w:val="15"/>
          <w:u w:val="single" w:color="auto"/>
          <w:color w:val="auto"/>
        </w:rPr>
        <w:t>Committee</w:t>
      </w:r>
      <w:r>
        <w:rPr>
          <w:rFonts w:ascii="Arial" w:cs="Arial" w:eastAsia="Arial" w:hAnsi="Arial"/>
          <w:sz w:val="15"/>
          <w:szCs w:val="15"/>
          <w:color w:val="auto"/>
        </w:rPr>
        <w:t>”) appointed by the Board, and if the Committee is so appointed all references to the Board in the Plan shall mean and relate to such Committee, other than references to the Board in this sentence and in Section 18 (as to amendment or termination of the Plan) and Section 21.</w:t>
      </w:r>
    </w:p>
    <w:p>
      <w:pPr>
        <w:spacing w:after="0" w:line="160" w:lineRule="exact"/>
        <w:rPr>
          <w:sz w:val="20"/>
          <w:szCs w:val="20"/>
          <w:color w:val="auto"/>
        </w:rPr>
      </w:pPr>
    </w:p>
    <w:p>
      <w:pPr>
        <w:ind w:left="547" w:hanging="547"/>
        <w:spacing w:after="0"/>
        <w:tabs>
          <w:tab w:leader="none" w:pos="547"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Eligibility.</w:t>
      </w:r>
    </w:p>
    <w:p>
      <w:pPr>
        <w:spacing w:after="0" w:line="204" w:lineRule="exact"/>
        <w:rPr>
          <w:sz w:val="20"/>
          <w:szCs w:val="20"/>
          <w:color w:val="auto"/>
        </w:rPr>
      </w:pPr>
    </w:p>
    <w:p>
      <w:pPr>
        <w:ind w:left="7" w:right="300" w:firstLine="556"/>
        <w:spacing w:after="0" w:line="327" w:lineRule="auto"/>
        <w:rPr>
          <w:sz w:val="20"/>
          <w:szCs w:val="20"/>
          <w:color w:val="auto"/>
        </w:rPr>
      </w:pPr>
      <w:r>
        <w:rPr>
          <w:rFonts w:ascii="Arial" w:cs="Arial" w:eastAsia="Arial" w:hAnsi="Arial"/>
          <w:sz w:val="14"/>
          <w:szCs w:val="14"/>
          <w:color w:val="auto"/>
        </w:rPr>
        <w:t xml:space="preserve">Options may be granted, and Restricted Stock may be issued, to persons who are, at the time of such grant or issuance, employees, officers or directors of, or consultants or advisors to, the Company;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class of persons to whom Incentive Stock Options may be granted shall be limited to employees of the Company.</w:t>
      </w:r>
    </w:p>
    <w:p>
      <w:pPr>
        <w:spacing w:after="0" w:line="111" w:lineRule="exact"/>
        <w:rPr>
          <w:sz w:val="20"/>
          <w:szCs w:val="20"/>
          <w:color w:val="auto"/>
        </w:rPr>
      </w:pPr>
    </w:p>
    <w:p>
      <w:pPr>
        <w:ind w:left="1107" w:right="340" w:hanging="555"/>
        <w:spacing w:after="0" w:line="298" w:lineRule="auto"/>
        <w:tabs>
          <w:tab w:leader="none" w:pos="1087"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b w:val="1"/>
          <w:bCs w:val="1"/>
          <w:color w:val="auto"/>
        </w:rPr>
        <w:t>10% Shareholder</w:t>
      </w:r>
      <w:r>
        <w:rPr>
          <w:rFonts w:ascii="Arial" w:cs="Arial" w:eastAsia="Arial" w:hAnsi="Arial"/>
          <w:sz w:val="15"/>
          <w:szCs w:val="15"/>
          <w:color w:val="auto"/>
        </w:rPr>
        <w:t>. If any employee to whom an Incentive Stock Option is to be granted is, at the time of the grant of such Option, the owner of stock possessing</w:t>
      </w:r>
      <w:r>
        <w:rPr>
          <w:rFonts w:ascii="Arial" w:cs="Arial" w:eastAsia="Arial" w:hAnsi="Arial"/>
          <w:sz w:val="15"/>
          <w:szCs w:val="15"/>
          <w:b w:val="1"/>
          <w:bCs w:val="1"/>
          <w:color w:val="auto"/>
        </w:rPr>
        <w:t xml:space="preserve"> </w:t>
      </w:r>
      <w:r>
        <w:rPr>
          <w:rFonts w:ascii="Arial" w:cs="Arial" w:eastAsia="Arial" w:hAnsi="Arial"/>
          <w:sz w:val="15"/>
          <w:szCs w:val="15"/>
          <w:color w:val="auto"/>
        </w:rPr>
        <w:t>more than 10% of the total combined voting power of all classes of stock of the</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1107" w:right="140"/>
        <w:spacing w:after="0" w:line="273" w:lineRule="auto"/>
        <w:rPr>
          <w:sz w:val="20"/>
          <w:szCs w:val="20"/>
          <w:color w:val="auto"/>
        </w:rPr>
      </w:pPr>
      <w:r>
        <w:rPr>
          <w:rFonts w:ascii="Arial" w:cs="Arial" w:eastAsia="Arial" w:hAnsi="Arial"/>
          <w:sz w:val="15"/>
          <w:szCs w:val="15"/>
          <w:color w:val="auto"/>
        </w:rPr>
        <w:t>Company (after taking into account the attribution of stock ownership rules of Section 424(d) of the Code) (a “</w:t>
      </w:r>
      <w:r>
        <w:rPr>
          <w:rFonts w:ascii="Arial" w:cs="Arial" w:eastAsia="Arial" w:hAnsi="Arial"/>
          <w:sz w:val="15"/>
          <w:szCs w:val="15"/>
          <w:u w:val="single" w:color="auto"/>
          <w:color w:val="auto"/>
        </w:rPr>
        <w:t>Greater Than 10% Shareholder</w:t>
      </w:r>
      <w:r>
        <w:rPr>
          <w:rFonts w:ascii="Arial" w:cs="Arial" w:eastAsia="Arial" w:hAnsi="Arial"/>
          <w:sz w:val="15"/>
          <w:szCs w:val="15"/>
          <w:color w:val="auto"/>
        </w:rPr>
        <w:t>”), any Incentive Stock Option granted to such individual must: (i) have an exercise price per share of not less than 110% of the fair market value of one share of Common Stock at the time of grant; and (ii) expire by its terms not more than five years from the date of grant.</w:t>
      </w:r>
    </w:p>
    <w:p>
      <w:pPr>
        <w:spacing w:after="0" w:line="147" w:lineRule="exact"/>
        <w:rPr>
          <w:sz w:val="20"/>
          <w:szCs w:val="20"/>
          <w:color w:val="auto"/>
        </w:rPr>
      </w:pPr>
    </w:p>
    <w:p>
      <w:pPr>
        <w:ind w:left="547" w:hanging="547"/>
        <w:spacing w:after="0"/>
        <w:tabs>
          <w:tab w:leader="none" w:pos="547"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Stock Subject to Plan.</w:t>
      </w:r>
    </w:p>
    <w:p>
      <w:pPr>
        <w:spacing w:after="0" w:line="204" w:lineRule="exact"/>
        <w:rPr>
          <w:sz w:val="20"/>
          <w:szCs w:val="20"/>
          <w:color w:val="auto"/>
        </w:rPr>
      </w:pPr>
    </w:p>
    <w:p>
      <w:pPr>
        <w:ind w:left="7" w:right="60" w:firstLine="556"/>
        <w:spacing w:after="0" w:line="264" w:lineRule="auto"/>
        <w:rPr>
          <w:sz w:val="20"/>
          <w:szCs w:val="20"/>
          <w:color w:val="auto"/>
        </w:rPr>
      </w:pPr>
      <w:r>
        <w:rPr>
          <w:rFonts w:ascii="Arial" w:cs="Arial" w:eastAsia="Arial" w:hAnsi="Arial"/>
          <w:sz w:val="15"/>
          <w:szCs w:val="15"/>
          <w:color w:val="auto"/>
        </w:rPr>
        <w:t>Subject to adjustment as provided in Section 14.2 below, the maximum number of shares of Common Stock which may be issued under the Plan is 2,213,412 shares. If an Option shall expire or terminate for any reason without having been exercised in full, the unpurchased shares subject to such Option shall again be available for subsequent Option grants or Restricted Stock Awards under the Plan. If shares of Restricted Stock shall be forfeited to, or otherwise repurchased by, the Company pursuant to a Restricted Stock Agreement, such repurchased shares shall again be available for subsequent Option grants or Restricted Stock Awards under the Plan. If shares issued upon exercise of an Option are tendered to the Company in payment of the exercise price of an Option, such tendered shares shall again be available for subsequent Option grants or Restricted Stock Awards under the Plan.</w:t>
      </w:r>
    </w:p>
    <w:p>
      <w:pPr>
        <w:spacing w:after="0" w:line="153" w:lineRule="exact"/>
        <w:rPr>
          <w:sz w:val="20"/>
          <w:szCs w:val="20"/>
          <w:color w:val="auto"/>
        </w:rPr>
      </w:pPr>
    </w:p>
    <w:p>
      <w:pPr>
        <w:ind w:left="547" w:hanging="547"/>
        <w:spacing w:after="0"/>
        <w:tabs>
          <w:tab w:leader="none" w:pos="547"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Forms of Restricted Stock Agreements and Option Agreements.</w:t>
      </w:r>
    </w:p>
    <w:p>
      <w:pPr>
        <w:spacing w:after="0" w:line="198" w:lineRule="exact"/>
        <w:rPr>
          <w:rFonts w:ascii="Arial" w:cs="Arial" w:eastAsia="Arial" w:hAnsi="Arial"/>
          <w:sz w:val="15"/>
          <w:szCs w:val="15"/>
          <w:b w:val="1"/>
          <w:bCs w:val="1"/>
          <w:color w:val="auto"/>
        </w:rPr>
      </w:pPr>
    </w:p>
    <w:p>
      <w:pPr>
        <w:ind w:left="1107" w:right="380" w:hanging="556"/>
        <w:spacing w:after="0" w:line="298" w:lineRule="auto"/>
        <w:rPr>
          <w:rFonts w:ascii="Arial" w:cs="Arial" w:eastAsia="Arial" w:hAnsi="Arial"/>
          <w:sz w:val="15"/>
          <w:szCs w:val="15"/>
          <w:b w:val="1"/>
          <w:bCs w:val="1"/>
          <w:color w:val="auto"/>
        </w:rPr>
      </w:pPr>
      <w:r>
        <w:rPr>
          <w:rFonts w:ascii="Arial" w:cs="Arial" w:eastAsia="Arial" w:hAnsi="Arial"/>
          <w:sz w:val="15"/>
          <w:szCs w:val="15"/>
          <w:color w:val="auto"/>
        </w:rPr>
        <w:t>5.1</w:t>
      </w:r>
      <w:r>
        <w:rPr>
          <w:rFonts w:ascii="Arial" w:cs="Arial" w:eastAsia="Arial" w:hAnsi="Arial"/>
          <w:sz w:val="15"/>
          <w:szCs w:val="15"/>
          <w:b w:val="1"/>
          <w:bCs w:val="1"/>
          <w:color w:val="auto"/>
        </w:rPr>
        <w:t xml:space="preserve">Option Agreement. </w:t>
      </w:r>
      <w:r>
        <w:rPr>
          <w:rFonts w:ascii="Arial" w:cs="Arial" w:eastAsia="Arial" w:hAnsi="Arial"/>
          <w:sz w:val="15"/>
          <w:szCs w:val="15"/>
          <w:color w:val="auto"/>
        </w:rPr>
        <w:t>Each recipient of an Option shall execute an option agreement (“</w:t>
      </w:r>
      <w:r>
        <w:rPr>
          <w:rFonts w:ascii="Arial" w:cs="Arial" w:eastAsia="Arial" w:hAnsi="Arial"/>
          <w:sz w:val="15"/>
          <w:szCs w:val="15"/>
          <w:u w:val="single" w:color="auto"/>
          <w:color w:val="auto"/>
        </w:rPr>
        <w:t>Option Agreement</w:t>
      </w:r>
      <w:r>
        <w:rPr>
          <w:rFonts w:ascii="Arial" w:cs="Arial" w:eastAsia="Arial" w:hAnsi="Arial"/>
          <w:sz w:val="15"/>
          <w:szCs w:val="15"/>
          <w:color w:val="auto"/>
        </w:rPr>
        <w:t>”) in such form not inconsistent with the Plan as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by the Board of Directors. Such Option Agreements may differ among recipients.</w:t>
      </w:r>
    </w:p>
    <w:p>
      <w:pPr>
        <w:sectPr>
          <w:pgSz w:w="11900" w:h="16838" w:orient="portrait"/>
          <w:cols w:equalWidth="0" w:num="1">
            <w:col w:w="11447"/>
          </w:cols>
          <w:pgMar w:left="233" w:top="332" w:right="219" w:bottom="17" w:gutter="0" w:footer="0" w:header="0"/>
        </w:sectPr>
      </w:pPr>
    </w:p>
    <w:bookmarkStart w:id="291" w:name="page292"/>
    <w:bookmarkEnd w:id="291"/>
    <w:p>
      <w:pPr>
        <w:ind w:left="1107" w:right="60" w:hanging="555"/>
        <w:spacing w:after="0" w:line="298" w:lineRule="auto"/>
        <w:tabs>
          <w:tab w:leader="none" w:pos="1087"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b w:val="1"/>
          <w:bCs w:val="1"/>
          <w:color w:val="auto"/>
        </w:rPr>
        <w:t xml:space="preserve">Restricted Stock Agreement. </w:t>
      </w:r>
      <w:r>
        <w:rPr>
          <w:rFonts w:ascii="Arial" w:cs="Arial" w:eastAsia="Arial" w:hAnsi="Arial"/>
          <w:sz w:val="15"/>
          <w:szCs w:val="15"/>
          <w:color w:val="auto"/>
        </w:rPr>
        <w:t>Each recipient of a grant of Restricted Stock shall execute an agreement (“</w:t>
      </w: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in such form not inconsistent</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Plan as may be approved by the Board of Directors. Such Restricted Stock Agreements may differ among recipients.</w:t>
      </w:r>
    </w:p>
    <w:p>
      <w:pPr>
        <w:spacing w:after="0" w:line="128" w:lineRule="exact"/>
        <w:rPr>
          <w:sz w:val="20"/>
          <w:szCs w:val="20"/>
          <w:color w:val="auto"/>
        </w:rPr>
      </w:pPr>
    </w:p>
    <w:p>
      <w:pPr>
        <w:ind w:left="1107" w:right="200" w:hanging="555"/>
        <w:spacing w:after="0" w:line="286" w:lineRule="auto"/>
        <w:tabs>
          <w:tab w:leader="none" w:pos="1087"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b w:val="1"/>
          <w:bCs w:val="1"/>
          <w:color w:val="auto"/>
        </w:rPr>
        <w:t xml:space="preserve">“Lock-Up” Agreement. </w:t>
      </w:r>
      <w:r>
        <w:rPr>
          <w:rFonts w:ascii="Arial" w:cs="Arial" w:eastAsia="Arial" w:hAnsi="Arial"/>
          <w:sz w:val="14"/>
          <w:szCs w:val="14"/>
          <w:color w:val="auto"/>
        </w:rPr>
        <w:t>Unless the Board specifies otherwise, each Restricted Stock Agreement and Option Agreement shall provide that upon the request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the managing underwriter(s) of any offering of securities of the Company that is the subject of a registration statement filed under the United States Securities Act of 1933, as amended from time to time (the “Act”), the holder of any Option or the purchaser of any Restricted Stock shall, in connection therewith, agree in writing (in such form as the Company or such managing underwriter(s) shall request) to the general effect that for a period of time (not to exceed 180 days, plus such additional number of days (not to exceed 35) as may reasonably be requested to enable the underwriter(s) of such offering to comply with Rule 2711(f) of the Financial Industry Regulatory Authority or any amendment or successor thereto) from the effective date of the registration statement under the Act for such offering, the holder or purchaser will not sell, make any short sale of, loan, grant any option for the purchase of, or otherwise</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spacing w:after="0"/>
        <w:rPr>
          <w:sz w:val="20"/>
          <w:szCs w:val="20"/>
          <w:color w:val="auto"/>
        </w:rPr>
      </w:pPr>
      <w:r>
        <w:rPr>
          <w:rFonts w:ascii="Arial" w:cs="Arial" w:eastAsia="Arial" w:hAnsi="Arial"/>
          <w:sz w:val="15"/>
          <w:szCs w:val="15"/>
          <w:color w:val="auto"/>
        </w:rPr>
        <w:t>dispose of any shares of the common stock of the Company owned or controlled by him or her.</w:t>
      </w:r>
    </w:p>
    <w:p>
      <w:pPr>
        <w:spacing w:after="0" w:line="192" w:lineRule="exact"/>
        <w:rPr>
          <w:sz w:val="20"/>
          <w:szCs w:val="20"/>
          <w:color w:val="auto"/>
        </w:rPr>
      </w:pPr>
    </w:p>
    <w:p>
      <w:pPr>
        <w:ind w:left="547" w:hanging="547"/>
        <w:spacing w:after="0"/>
        <w:tabs>
          <w:tab w:leader="none" w:pos="547"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Purchase Price.</w:t>
      </w:r>
    </w:p>
    <w:p>
      <w:pPr>
        <w:spacing w:after="0" w:line="198" w:lineRule="exact"/>
        <w:rPr>
          <w:rFonts w:ascii="Arial" w:cs="Arial" w:eastAsia="Arial" w:hAnsi="Arial"/>
          <w:sz w:val="15"/>
          <w:szCs w:val="15"/>
          <w:b w:val="1"/>
          <w:bCs w:val="1"/>
          <w:color w:val="auto"/>
        </w:rPr>
      </w:pPr>
    </w:p>
    <w:p>
      <w:pPr>
        <w:ind w:left="1107" w:right="80" w:hanging="556"/>
        <w:spacing w:after="0" w:line="339" w:lineRule="auto"/>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3"/>
          <w:szCs w:val="13"/>
          <w:b w:val="1"/>
          <w:bCs w:val="1"/>
          <w:color w:val="auto"/>
        </w:rPr>
        <w:t xml:space="preserve">General. </w:t>
      </w:r>
      <w:r>
        <w:rPr>
          <w:rFonts w:ascii="Arial" w:cs="Arial" w:eastAsia="Arial" w:hAnsi="Arial"/>
          <w:sz w:val="13"/>
          <w:szCs w:val="13"/>
          <w:color w:val="auto"/>
        </w:rPr>
        <w:t>The purchase price per share of Restricted Stock and per share of stock deliverable upon the exercise of an Option shall be determined by the Board,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however, that in the case of any Option, the exercise price shall not be less than 100% of the fair market value of such stock, as determined by the Board, at the time of grant of such Option, or less than 110% of such fair market value in the case of any Incentive Stock Option granted to a Greater Than 10% Shareholder.</w:t>
      </w:r>
    </w:p>
    <w:p>
      <w:pPr>
        <w:spacing w:after="0" w:line="107" w:lineRule="exact"/>
        <w:rPr>
          <w:rFonts w:ascii="Arial" w:cs="Arial" w:eastAsia="Arial" w:hAnsi="Arial"/>
          <w:sz w:val="15"/>
          <w:szCs w:val="15"/>
          <w:b w:val="1"/>
          <w:bCs w:val="1"/>
          <w:color w:val="auto"/>
        </w:rPr>
      </w:pPr>
    </w:p>
    <w:p>
      <w:pPr>
        <w:ind w:left="1107" w:right="80" w:hanging="556"/>
        <w:spacing w:after="0" w:line="336" w:lineRule="auto"/>
        <w:rPr>
          <w:rFonts w:ascii="Arial" w:cs="Arial" w:eastAsia="Arial" w:hAnsi="Arial"/>
          <w:sz w:val="15"/>
          <w:szCs w:val="15"/>
          <w:b w:val="1"/>
          <w:bCs w:val="1"/>
          <w:color w:val="auto"/>
        </w:rPr>
      </w:pPr>
      <w:r>
        <w:rPr>
          <w:rFonts w:ascii="Arial" w:cs="Arial" w:eastAsia="Arial" w:hAnsi="Arial"/>
          <w:sz w:val="15"/>
          <w:szCs w:val="15"/>
          <w:color w:val="auto"/>
        </w:rPr>
        <w:t>6.2</w:t>
      </w:r>
      <w:r>
        <w:rPr>
          <w:rFonts w:ascii="Arial" w:cs="Arial" w:eastAsia="Arial" w:hAnsi="Arial"/>
          <w:sz w:val="14"/>
          <w:szCs w:val="14"/>
          <w:b w:val="1"/>
          <w:bCs w:val="1"/>
          <w:color w:val="auto"/>
        </w:rPr>
        <w:t xml:space="preserve">Payment of Purchase Price. </w:t>
      </w:r>
      <w:r>
        <w:rPr>
          <w:rFonts w:ascii="Arial" w:cs="Arial" w:eastAsia="Arial" w:hAnsi="Arial"/>
          <w:sz w:val="14"/>
          <w:szCs w:val="14"/>
          <w:color w:val="auto"/>
        </w:rPr>
        <w:t>Option Agreements may provide for the payment of the exercise price by delivery of cash or a check to the order of the Company in an</w:t>
      </w:r>
      <w:r>
        <w:rPr>
          <w:rFonts w:ascii="Arial" w:cs="Arial" w:eastAsia="Arial" w:hAnsi="Arial"/>
          <w:sz w:val="14"/>
          <w:szCs w:val="14"/>
          <w:b w:val="1"/>
          <w:bCs w:val="1"/>
          <w:color w:val="auto"/>
        </w:rPr>
        <w:t xml:space="preserve"> </w:t>
      </w:r>
      <w:r>
        <w:rPr>
          <w:rFonts w:ascii="Arial" w:cs="Arial" w:eastAsia="Arial" w:hAnsi="Arial"/>
          <w:sz w:val="14"/>
          <w:szCs w:val="14"/>
          <w:color w:val="auto"/>
        </w:rPr>
        <w:t>amount equal to the exercise price of such Options, or, to the extent provided in the applicable Option Agreement, by one of the following methods:</w:t>
      </w:r>
    </w:p>
    <w:p>
      <w:pPr>
        <w:spacing w:after="0" w:line="111" w:lineRule="exact"/>
        <w:rPr>
          <w:rFonts w:ascii="Arial" w:cs="Arial" w:eastAsia="Arial" w:hAnsi="Arial"/>
          <w:sz w:val="15"/>
          <w:szCs w:val="15"/>
          <w:b w:val="1"/>
          <w:bCs w:val="1"/>
          <w:color w:val="auto"/>
        </w:rPr>
      </w:pPr>
    </w:p>
    <w:p>
      <w:pPr>
        <w:ind w:left="547" w:right="240" w:firstLine="1120"/>
        <w:spacing w:after="0" w:line="289" w:lineRule="auto"/>
        <w:tabs>
          <w:tab w:leader="none" w:pos="188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the consent of the Board by delivery to the Company of shares of Common Stock; such surrendered shares shall have a fair market value equal in amount to the exercise price of the Options being exercised,</w:t>
      </w:r>
    </w:p>
    <w:p>
      <w:pPr>
        <w:spacing w:after="0" w:line="140" w:lineRule="exact"/>
        <w:rPr>
          <w:rFonts w:ascii="Arial" w:cs="Arial" w:eastAsia="Arial" w:hAnsi="Arial"/>
          <w:sz w:val="15"/>
          <w:szCs w:val="15"/>
          <w:color w:val="auto"/>
        </w:rPr>
      </w:pPr>
    </w:p>
    <w:p>
      <w:pPr>
        <w:ind w:left="547" w:firstLine="1120"/>
        <w:spacing w:after="0" w:line="273" w:lineRule="auto"/>
        <w:tabs>
          <w:tab w:leader="none" w:pos="1886"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with the consent of the Board a personal recourse note issued by the optionee to the Company in a principal amount equal to such aggregate exercise price and with such other terms, including interest rate and maturity, as the Company may determine in its discretion;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interest rate borne by such note shall not be less than the lowest applicable federal rate, as defined in Section 1274(d) of the Code,</w:t>
      </w:r>
    </w:p>
    <w:p>
      <w:pPr>
        <w:spacing w:after="0" w:line="152" w:lineRule="exact"/>
        <w:rPr>
          <w:rFonts w:ascii="Arial" w:cs="Arial" w:eastAsia="Arial" w:hAnsi="Arial"/>
          <w:sz w:val="15"/>
          <w:szCs w:val="15"/>
          <w:color w:val="auto"/>
        </w:rPr>
      </w:pPr>
    </w:p>
    <w:p>
      <w:pPr>
        <w:ind w:left="547" w:right="60" w:firstLine="1120"/>
        <w:spacing w:after="0" w:line="273" w:lineRule="auto"/>
        <w:tabs>
          <w:tab w:leader="none" w:pos="1929"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the consent of the Board if the class of Common Stock is registered under the Securities Exchange Act of 1934 at such time, subject to rules as may be established by the Board, by delivery to the Company of a properly executed exercise notice along with irrevocable instructions to a broker to promptly deliver to the Company cash or a check payable and acceptable to the Company for the purchase price,</w:t>
      </w:r>
    </w:p>
    <w:p>
      <w:pPr>
        <w:spacing w:after="0" w:line="152" w:lineRule="exact"/>
        <w:rPr>
          <w:rFonts w:ascii="Arial" w:cs="Arial" w:eastAsia="Arial" w:hAnsi="Arial"/>
          <w:sz w:val="15"/>
          <w:szCs w:val="15"/>
          <w:color w:val="auto"/>
        </w:rPr>
      </w:pPr>
    </w:p>
    <w:p>
      <w:pPr>
        <w:ind w:left="547" w:right="240" w:firstLine="1120"/>
        <w:spacing w:after="0" w:line="289" w:lineRule="auto"/>
        <w:tabs>
          <w:tab w:leader="none" w:pos="1921"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the consent of the Board by reducing the number of Option shares otherwise issuable to the optionee upon exercise of the Option by a number of shares of Common Stock having a fair market value equal to such aggregate exercise price</w:t>
      </w:r>
      <w:r>
        <w:rPr>
          <w:rFonts w:ascii="Arial" w:cs="Arial" w:eastAsia="Arial" w:hAnsi="Arial"/>
          <w:sz w:val="15"/>
          <w:szCs w:val="15"/>
          <w:b w:val="1"/>
          <w:bCs w:val="1"/>
          <w:color w:val="auto"/>
        </w:rPr>
        <w:t>,</w:t>
      </w:r>
    </w:p>
    <w:p>
      <w:pPr>
        <w:spacing w:after="0" w:line="140" w:lineRule="exact"/>
        <w:rPr>
          <w:rFonts w:ascii="Arial" w:cs="Arial" w:eastAsia="Arial" w:hAnsi="Arial"/>
          <w:sz w:val="15"/>
          <w:szCs w:val="15"/>
          <w:color w:val="auto"/>
        </w:rPr>
      </w:pPr>
    </w:p>
    <w:p>
      <w:pPr>
        <w:ind w:left="1887" w:hanging="220"/>
        <w:spacing w:after="0"/>
        <w:tabs>
          <w:tab w:leader="none" w:pos="1887" w:val="left"/>
        </w:tabs>
        <w:numPr>
          <w:ilvl w:val="1"/>
          <w:numId w:val="149"/>
        </w:numPr>
        <w:rPr>
          <w:rFonts w:ascii="Arial" w:cs="Arial" w:eastAsia="Arial" w:hAnsi="Arial"/>
          <w:sz w:val="15"/>
          <w:szCs w:val="15"/>
          <w:color w:val="auto"/>
        </w:rPr>
      </w:pPr>
      <w:r>
        <w:rPr>
          <w:rFonts w:ascii="Arial" w:cs="Arial" w:eastAsia="Arial" w:hAnsi="Arial"/>
          <w:sz w:val="15"/>
          <w:szCs w:val="15"/>
          <w:color w:val="auto"/>
        </w:rPr>
        <w:t>with the consent of the Board by any combination of such methods of payment.</w:t>
      </w:r>
    </w:p>
    <w:p>
      <w:pPr>
        <w:spacing w:after="0" w:line="198" w:lineRule="exact"/>
        <w:rPr>
          <w:sz w:val="20"/>
          <w:szCs w:val="20"/>
          <w:color w:val="auto"/>
        </w:rPr>
      </w:pPr>
    </w:p>
    <w:p>
      <w:pPr>
        <w:ind w:left="7" w:firstLine="556"/>
        <w:spacing w:after="0" w:line="273" w:lineRule="auto"/>
        <w:rPr>
          <w:sz w:val="20"/>
          <w:szCs w:val="20"/>
          <w:color w:val="auto"/>
        </w:rPr>
      </w:pPr>
      <w:r>
        <w:rPr>
          <w:rFonts w:ascii="Arial" w:cs="Arial" w:eastAsia="Arial" w:hAnsi="Arial"/>
          <w:sz w:val="15"/>
          <w:szCs w:val="15"/>
          <w:color w:val="auto"/>
        </w:rPr>
        <w:t>The fair market value of any shares of the Company’s Common Stock or other non-cash consideration which may be delivered upon exercise of an Option shall be determined by the Board of Directors. Restricted Stock Agreements may provide for the payment of any purchase price in any manner approved by the Board of Directors at the time of authorizing the issuance thereof.</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hanging="547"/>
        <w:spacing w:after="0"/>
        <w:tabs>
          <w:tab w:leader="none" w:pos="547"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Option Period.</w:t>
      </w:r>
    </w:p>
    <w:p>
      <w:pPr>
        <w:spacing w:after="0" w:line="204" w:lineRule="exact"/>
        <w:rPr>
          <w:sz w:val="20"/>
          <w:szCs w:val="20"/>
          <w:color w:val="auto"/>
        </w:rPr>
      </w:pPr>
    </w:p>
    <w:p>
      <w:pPr>
        <w:jc w:val="both"/>
        <w:ind w:left="7" w:right="320" w:firstLine="556"/>
        <w:spacing w:after="0" w:line="302" w:lineRule="auto"/>
        <w:rPr>
          <w:sz w:val="20"/>
          <w:szCs w:val="20"/>
          <w:color w:val="auto"/>
        </w:rPr>
      </w:pPr>
      <w:r>
        <w:rPr>
          <w:rFonts w:ascii="Arial" w:cs="Arial" w:eastAsia="Arial" w:hAnsi="Arial"/>
          <w:sz w:val="14"/>
          <w:szCs w:val="14"/>
          <w:color w:val="auto"/>
        </w:rPr>
        <w:t>Notwithstanding any other provision of the Plan or any Option Agreement, each Option and all rights thereunder shall expire on the date specified in the applicable Option Agreement, provided that such date shall not be later than ten years after the date on which the Option is granted (or five years in the case of an Incentive Stock Option granted to a Greater Than 10% Shareholder), and in either case, shall be subject to earlier termination as provided in the Plan or Option Agreement.</w:t>
      </w:r>
    </w:p>
    <w:p>
      <w:pPr>
        <w:spacing w:after="0" w:line="127" w:lineRule="exact"/>
        <w:rPr>
          <w:sz w:val="20"/>
          <w:szCs w:val="20"/>
          <w:color w:val="auto"/>
        </w:rPr>
      </w:pPr>
    </w:p>
    <w:p>
      <w:pPr>
        <w:ind w:left="547" w:hanging="547"/>
        <w:spacing w:after="0"/>
        <w:tabs>
          <w:tab w:leader="none" w:pos="547"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Exercise of Options.</w:t>
      </w:r>
    </w:p>
    <w:p>
      <w:pPr>
        <w:spacing w:after="0" w:line="198" w:lineRule="exact"/>
        <w:rPr>
          <w:rFonts w:ascii="Arial" w:cs="Arial" w:eastAsia="Arial" w:hAnsi="Arial"/>
          <w:sz w:val="15"/>
          <w:szCs w:val="15"/>
          <w:b w:val="1"/>
          <w:bCs w:val="1"/>
          <w:color w:val="auto"/>
        </w:rPr>
      </w:pPr>
    </w:p>
    <w:p>
      <w:pPr>
        <w:ind w:left="1107" w:right="40" w:hanging="556"/>
        <w:spacing w:after="0" w:line="278" w:lineRule="auto"/>
        <w:rPr>
          <w:rFonts w:ascii="Arial" w:cs="Arial" w:eastAsia="Arial" w:hAnsi="Arial"/>
          <w:sz w:val="15"/>
          <w:szCs w:val="15"/>
          <w:b w:val="1"/>
          <w:bCs w:val="1"/>
          <w:color w:val="auto"/>
        </w:rPr>
      </w:pPr>
      <w:r>
        <w:rPr>
          <w:rFonts w:ascii="Arial" w:cs="Arial" w:eastAsia="Arial" w:hAnsi="Arial"/>
          <w:sz w:val="15"/>
          <w:szCs w:val="15"/>
          <w:color w:val="auto"/>
        </w:rPr>
        <w:t>8.1</w:t>
      </w:r>
      <w:r>
        <w:rPr>
          <w:rFonts w:ascii="Arial" w:cs="Arial" w:eastAsia="Arial" w:hAnsi="Arial"/>
          <w:sz w:val="15"/>
          <w:szCs w:val="15"/>
          <w:b w:val="1"/>
          <w:bCs w:val="1"/>
          <w:color w:val="auto"/>
        </w:rPr>
        <w:t xml:space="preserve">General. </w:t>
      </w:r>
      <w:r>
        <w:rPr>
          <w:rFonts w:ascii="Arial" w:cs="Arial" w:eastAsia="Arial" w:hAnsi="Arial"/>
          <w:sz w:val="15"/>
          <w:szCs w:val="15"/>
          <w:color w:val="auto"/>
        </w:rPr>
        <w:t>Each Option shall be exercisable either in full or in installments at such time or times and during such period as shall be set forth in the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evidencing such Option, subject to the provisions of the Plan. To the extent not exercised, installments shall accumulate and be exercisable, in whole or in part, at any time after becoming exercisable, but not later than the date the Option expires.</w:t>
      </w:r>
    </w:p>
    <w:p>
      <w:pPr>
        <w:spacing w:after="0" w:line="141" w:lineRule="exact"/>
        <w:rPr>
          <w:rFonts w:ascii="Arial" w:cs="Arial" w:eastAsia="Arial" w:hAnsi="Arial"/>
          <w:sz w:val="15"/>
          <w:szCs w:val="15"/>
          <w:b w:val="1"/>
          <w:bCs w:val="1"/>
          <w:color w:val="auto"/>
        </w:rPr>
      </w:pPr>
    </w:p>
    <w:p>
      <w:pPr>
        <w:ind w:left="1107" w:hanging="556"/>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8.2</w:t>
      </w:r>
      <w:r>
        <w:rPr>
          <w:rFonts w:ascii="Arial" w:cs="Arial" w:eastAsia="Arial" w:hAnsi="Arial"/>
          <w:sz w:val="15"/>
          <w:szCs w:val="15"/>
          <w:b w:val="1"/>
          <w:bCs w:val="1"/>
          <w:color w:val="auto"/>
        </w:rPr>
        <w:t xml:space="preserve">Notice of Exercise. </w:t>
      </w:r>
      <w:r>
        <w:rPr>
          <w:rFonts w:ascii="Arial" w:cs="Arial" w:eastAsia="Arial" w:hAnsi="Arial"/>
          <w:sz w:val="15"/>
          <w:szCs w:val="15"/>
          <w:color w:val="auto"/>
        </w:rPr>
        <w:t>An Option may be exercised by the optionee by delivering to the Company on any business day a written notice specifying the 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of Common Stock the optionee then desires to purchase and specifying the address to which the certificates for such shares are to be mailed (the “</w:t>
      </w:r>
      <w:r>
        <w:rPr>
          <w:rFonts w:ascii="Arial" w:cs="Arial" w:eastAsia="Arial" w:hAnsi="Arial"/>
          <w:sz w:val="15"/>
          <w:szCs w:val="15"/>
          <w:u w:val="single" w:color="auto"/>
          <w:color w:val="auto"/>
        </w:rPr>
        <w:t>Notice</w:t>
      </w:r>
      <w:r>
        <w:rPr>
          <w:rFonts w:ascii="Arial" w:cs="Arial" w:eastAsia="Arial" w:hAnsi="Arial"/>
          <w:sz w:val="15"/>
          <w:szCs w:val="15"/>
          <w:color w:val="auto"/>
        </w:rPr>
        <w:t>”), accompanied by payment for such shares. In addition, the Company may require any individual to whom an Option is granted, as a condition of exercising such Option, to give written assurances in a substance and form satisfactory to the Company to the effect that such individual is acquiring the Common Stock subject to the Option for his or her own account for investment and not with a view to the resale or distribution thereof, and to such other effects as the Company deems necessary or advisable in order to comply with any securities law(s).</w:t>
      </w:r>
    </w:p>
    <w:p>
      <w:pPr>
        <w:spacing w:after="0" w:line="154" w:lineRule="exact"/>
        <w:rPr>
          <w:rFonts w:ascii="Arial" w:cs="Arial" w:eastAsia="Arial" w:hAnsi="Arial"/>
          <w:sz w:val="15"/>
          <w:szCs w:val="15"/>
          <w:b w:val="1"/>
          <w:bCs w:val="1"/>
          <w:color w:val="auto"/>
        </w:rPr>
      </w:pPr>
    </w:p>
    <w:p>
      <w:pPr>
        <w:ind w:left="1107" w:right="60" w:hanging="556"/>
        <w:spacing w:after="0" w:line="271" w:lineRule="auto"/>
        <w:rPr>
          <w:rFonts w:ascii="Arial" w:cs="Arial" w:eastAsia="Arial" w:hAnsi="Arial"/>
          <w:sz w:val="15"/>
          <w:szCs w:val="15"/>
          <w:b w:val="1"/>
          <w:bCs w:val="1"/>
          <w:color w:val="auto"/>
        </w:rPr>
      </w:pPr>
      <w:r>
        <w:rPr>
          <w:rFonts w:ascii="Arial" w:cs="Arial" w:eastAsia="Arial" w:hAnsi="Arial"/>
          <w:sz w:val="15"/>
          <w:szCs w:val="15"/>
          <w:color w:val="auto"/>
        </w:rPr>
        <w:t>8.3</w:t>
      </w:r>
      <w:r>
        <w:rPr>
          <w:rFonts w:ascii="Arial" w:cs="Arial" w:eastAsia="Arial" w:hAnsi="Arial"/>
          <w:sz w:val="15"/>
          <w:szCs w:val="15"/>
          <w:b w:val="1"/>
          <w:bCs w:val="1"/>
          <w:color w:val="auto"/>
        </w:rPr>
        <w:t xml:space="preserve">Delivery. </w:t>
      </w:r>
      <w:r>
        <w:rPr>
          <w:rFonts w:ascii="Arial" w:cs="Arial" w:eastAsia="Arial" w:hAnsi="Arial"/>
          <w:sz w:val="15"/>
          <w:szCs w:val="15"/>
          <w:color w:val="auto"/>
        </w:rPr>
        <w:t>As promptly as practicable after receipt of such written notification and payment, the Company shall deliver or cause to be delivered to the optionee</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certificates for the number of shares with respect to which such Option has been so exercised, issued in the optionee’s name; provided, however, that such delivery shall be deemed effected for all purposes when the Company or a stock transfer agent shall have deposited such certificates in the United States mail, addressed to the optionee, at the address specified in the Notice.</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Transferability of Options.</w:t>
      </w:r>
    </w:p>
    <w:p>
      <w:pPr>
        <w:spacing w:after="0" w:line="204" w:lineRule="exact"/>
        <w:rPr>
          <w:sz w:val="20"/>
          <w:szCs w:val="20"/>
          <w:color w:val="auto"/>
        </w:rPr>
      </w:pPr>
    </w:p>
    <w:p>
      <w:pPr>
        <w:ind w:left="7" w:right="140" w:firstLine="556"/>
        <w:spacing w:after="0" w:line="273" w:lineRule="auto"/>
        <w:rPr>
          <w:sz w:val="20"/>
          <w:szCs w:val="20"/>
          <w:color w:val="auto"/>
        </w:rPr>
      </w:pPr>
      <w:r>
        <w:rPr>
          <w:rFonts w:ascii="Arial" w:cs="Arial" w:eastAsia="Arial" w:hAnsi="Arial"/>
          <w:sz w:val="15"/>
          <w:szCs w:val="15"/>
          <w:color w:val="auto"/>
        </w:rPr>
        <w:t>No Incentive Stock Option shall be assignable or transferable by the person to whom it is granted, either voluntarily or by operation of law, except by will or the laws of descent and distribution, and during the life of an optionee, an Incentive Stock Option shall be exercisable only by the optionee. The Board may, in its discretion, determine the extent to which a non-statutory Option shall be transferable.</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560" w:hanging="547"/>
        <w:spacing w:after="0" w:line="298" w:lineRule="auto"/>
        <w:tabs>
          <w:tab w:leader="none" w:pos="543"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Employment; Disability; Death. </w:t>
      </w:r>
      <w:r>
        <w:rPr>
          <w:rFonts w:ascii="Arial" w:cs="Arial" w:eastAsia="Arial" w:hAnsi="Arial"/>
          <w:sz w:val="15"/>
          <w:szCs w:val="15"/>
          <w:color w:val="auto"/>
        </w:rPr>
        <w:t>Except as may be otherwise expressly provided in the terms and conditions of the Option Agreement, Options shall</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terminate on the earliest to occur of:</w:t>
      </w:r>
    </w:p>
    <w:p>
      <w:pPr>
        <w:spacing w:after="0" w:line="133" w:lineRule="exact"/>
        <w:rPr>
          <w:rFonts w:ascii="Arial" w:cs="Arial" w:eastAsia="Arial" w:hAnsi="Arial"/>
          <w:sz w:val="15"/>
          <w:szCs w:val="15"/>
          <w:b w:val="1"/>
          <w:bCs w:val="1"/>
          <w:color w:val="auto"/>
        </w:rPr>
      </w:pPr>
    </w:p>
    <w:p>
      <w:pPr>
        <w:ind w:left="1687" w:hanging="576"/>
        <w:spacing w:after="0"/>
        <w:tabs>
          <w:tab w:leader="none" w:pos="168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the date of expiration thereof;</w:t>
      </w:r>
    </w:p>
    <w:p>
      <w:pPr>
        <w:sectPr>
          <w:pgSz w:w="11900" w:h="16838" w:orient="portrait"/>
          <w:cols w:equalWidth="0" w:num="1">
            <w:col w:w="11427"/>
          </w:cols>
          <w:pgMar w:left="233" w:top="123" w:right="239" w:bottom="0" w:gutter="0" w:footer="0" w:header="0"/>
        </w:sectPr>
      </w:pPr>
    </w:p>
    <w:bookmarkStart w:id="292" w:name="page293"/>
    <w:bookmarkEnd w:id="292"/>
    <w:p>
      <w:pPr>
        <w:ind w:left="1687" w:hanging="576"/>
        <w:spacing w:after="0"/>
        <w:tabs>
          <w:tab w:leader="none" w:pos="1687" w:val="left"/>
        </w:tabs>
        <w:numPr>
          <w:ilvl w:val="0"/>
          <w:numId w:val="153"/>
        </w:numPr>
        <w:rPr>
          <w:rFonts w:ascii="Arial" w:cs="Arial" w:eastAsia="Arial" w:hAnsi="Arial"/>
          <w:sz w:val="14"/>
          <w:szCs w:val="14"/>
          <w:color w:val="auto"/>
        </w:rPr>
      </w:pPr>
      <w:r>
        <w:rPr>
          <w:rFonts w:ascii="Arial" w:cs="Arial" w:eastAsia="Arial" w:hAnsi="Arial"/>
          <w:sz w:val="14"/>
          <w:szCs w:val="14"/>
          <w:color w:val="auto"/>
        </w:rPr>
        <w:t>90 days after termination of the optionee’s employment with, or provision of services to, the Company by the Company for Cause (as hereinafter defined);</w:t>
      </w:r>
    </w:p>
    <w:p>
      <w:pPr>
        <w:spacing w:after="0" w:line="209" w:lineRule="exact"/>
        <w:rPr>
          <w:rFonts w:ascii="Arial" w:cs="Arial" w:eastAsia="Arial" w:hAnsi="Arial"/>
          <w:sz w:val="14"/>
          <w:szCs w:val="14"/>
          <w:color w:val="auto"/>
        </w:rPr>
      </w:pPr>
    </w:p>
    <w:p>
      <w:pPr>
        <w:ind w:left="1667" w:right="180" w:hanging="556"/>
        <w:spacing w:after="0" w:line="289" w:lineRule="auto"/>
        <w:tabs>
          <w:tab w:leader="none" w:pos="170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90 days after the date of voluntary termination of the optionee’s employment with, or provision of services to, the Company by the optionee (other than for death or permanent disability as defined below); or</w:t>
      </w:r>
    </w:p>
    <w:p>
      <w:pPr>
        <w:spacing w:after="0" w:line="140" w:lineRule="exact"/>
        <w:rPr>
          <w:rFonts w:ascii="Arial" w:cs="Arial" w:eastAsia="Arial" w:hAnsi="Arial"/>
          <w:sz w:val="15"/>
          <w:szCs w:val="15"/>
          <w:color w:val="auto"/>
        </w:rPr>
      </w:pPr>
    </w:p>
    <w:p>
      <w:pPr>
        <w:ind w:left="1667" w:right="40" w:hanging="556"/>
        <w:spacing w:after="0" w:line="289" w:lineRule="auto"/>
        <w:tabs>
          <w:tab w:leader="none" w:pos="168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90 days after the date of termination of the optionee’s employment with, or provision of services to, the Company by the Company without Cause (other than for death or permanent disability as defined below).</w:t>
      </w:r>
    </w:p>
    <w:p>
      <w:pPr>
        <w:spacing w:after="0" w:line="141" w:lineRule="exact"/>
        <w:rPr>
          <w:sz w:val="20"/>
          <w:szCs w:val="20"/>
          <w:color w:val="auto"/>
        </w:rPr>
      </w:pPr>
    </w:p>
    <w:p>
      <w:pPr>
        <w:ind w:left="7" w:right="200"/>
        <w:spacing w:after="0" w:line="289" w:lineRule="auto"/>
        <w:rPr>
          <w:sz w:val="20"/>
          <w:szCs w:val="20"/>
          <w:color w:val="auto"/>
        </w:rPr>
      </w:pPr>
      <w:r>
        <w:rPr>
          <w:rFonts w:ascii="Arial" w:cs="Arial" w:eastAsia="Arial" w:hAnsi="Arial"/>
          <w:sz w:val="15"/>
          <w:szCs w:val="15"/>
          <w:color w:val="auto"/>
        </w:rPr>
        <w:t>Until the date on which the Option so expires, the optionee may exercise that portion of his or her Option which is exercisable at the time of termination of the employment or service relationship.</w:t>
      </w:r>
    </w:p>
    <w:p>
      <w:pPr>
        <w:spacing w:after="0" w:line="141" w:lineRule="exact"/>
        <w:rPr>
          <w:sz w:val="20"/>
          <w:szCs w:val="20"/>
          <w:color w:val="auto"/>
        </w:rPr>
      </w:pPr>
    </w:p>
    <w:p>
      <w:pPr>
        <w:jc w:val="both"/>
        <w:ind w:left="7" w:right="540" w:firstLine="556"/>
        <w:spacing w:after="0" w:line="273" w:lineRule="auto"/>
        <w:rPr>
          <w:sz w:val="20"/>
          <w:szCs w:val="20"/>
          <w:color w:val="auto"/>
        </w:rPr>
      </w:pPr>
      <w:r>
        <w:rPr>
          <w:rFonts w:ascii="Arial" w:cs="Arial" w:eastAsia="Arial" w:hAnsi="Arial"/>
          <w:sz w:val="15"/>
          <w:szCs w:val="15"/>
          <w:color w:val="auto"/>
        </w:rPr>
        <w:t>An employment or service relationship between the Company and the optionee shall be deemed to exist during any period during which the optionee is employed by or providing services to the Company. Whether an authorized leave of absence or an absence due to military or government service shall constitute termination of the employment relationship between the Company and the optionee shall be determined by the Board at the time thereof.</w:t>
      </w:r>
    </w:p>
    <w:p>
      <w:pPr>
        <w:spacing w:after="0" w:line="153" w:lineRule="exact"/>
        <w:rPr>
          <w:sz w:val="20"/>
          <w:szCs w:val="20"/>
          <w:color w:val="auto"/>
        </w:rPr>
      </w:pPr>
    </w:p>
    <w:p>
      <w:pPr>
        <w:ind w:left="547"/>
        <w:spacing w:after="0"/>
        <w:rPr>
          <w:sz w:val="20"/>
          <w:szCs w:val="20"/>
          <w:color w:val="auto"/>
        </w:rPr>
      </w:pPr>
      <w:r>
        <w:rPr>
          <w:rFonts w:ascii="Arial" w:cs="Arial" w:eastAsia="Arial" w:hAnsi="Arial"/>
          <w:sz w:val="13"/>
          <w:szCs w:val="13"/>
          <w:color w:val="auto"/>
        </w:rPr>
        <w:t>For purposes of this Section 10, the term “</w:t>
      </w:r>
      <w:r>
        <w:rPr>
          <w:rFonts w:ascii="Arial" w:cs="Arial" w:eastAsia="Arial" w:hAnsi="Arial"/>
          <w:sz w:val="13"/>
          <w:szCs w:val="13"/>
          <w:u w:val="single" w:color="auto"/>
          <w:color w:val="auto"/>
        </w:rPr>
        <w:t>Cause</w:t>
      </w:r>
      <w:r>
        <w:rPr>
          <w:rFonts w:ascii="Arial" w:cs="Arial" w:eastAsia="Arial" w:hAnsi="Arial"/>
          <w:sz w:val="13"/>
          <w:szCs w:val="13"/>
          <w:color w:val="auto"/>
        </w:rPr>
        <w:t>” shall mean (a) any material breach by the optionee of any agreement to which the optionee and the Company are both parties,</w:t>
      </w:r>
    </w:p>
    <w:p>
      <w:pPr>
        <w:spacing w:after="0" w:line="46" w:lineRule="exact"/>
        <w:rPr>
          <w:sz w:val="20"/>
          <w:szCs w:val="20"/>
          <w:color w:val="auto"/>
        </w:rPr>
      </w:pPr>
    </w:p>
    <w:p>
      <w:pPr>
        <w:ind w:left="7" w:right="180" w:hanging="7"/>
        <w:spacing w:after="0" w:line="266" w:lineRule="auto"/>
        <w:tabs>
          <w:tab w:leader="none" w:pos="226" w:val="left"/>
        </w:tabs>
        <w:numPr>
          <w:ilvl w:val="0"/>
          <w:numId w:val="154"/>
        </w:numPr>
        <w:rPr>
          <w:rFonts w:ascii="Arial" w:cs="Arial" w:eastAsia="Arial" w:hAnsi="Arial"/>
          <w:sz w:val="15"/>
          <w:szCs w:val="15"/>
          <w:color w:val="auto"/>
        </w:rPr>
      </w:pPr>
      <w:r>
        <w:rPr>
          <w:rFonts w:ascii="Arial" w:cs="Arial" w:eastAsia="Arial" w:hAnsi="Arial"/>
          <w:sz w:val="15"/>
          <w:szCs w:val="15"/>
          <w:color w:val="auto"/>
        </w:rPr>
        <w:t>any act (other than retirement) or omission to act by the optionee which may have a material and adverse effect on the Company’s business or on the optionee’s ability to perform services for the Company, including, without limitation, the commission of any crime (other than minor traffic violations), or (c) any material misconduct or material neglect of duties by the optionee in connection with the business or affairs of the Company.</w:t>
      </w:r>
    </w:p>
    <w:p>
      <w:pPr>
        <w:spacing w:after="0" w:line="157" w:lineRule="exact"/>
        <w:rPr>
          <w:sz w:val="20"/>
          <w:szCs w:val="20"/>
          <w:color w:val="auto"/>
        </w:rPr>
      </w:pPr>
    </w:p>
    <w:p>
      <w:pPr>
        <w:ind w:left="7" w:right="120" w:firstLine="556"/>
        <w:spacing w:after="0" w:line="264" w:lineRule="auto"/>
        <w:rPr>
          <w:sz w:val="20"/>
          <w:szCs w:val="20"/>
          <w:color w:val="auto"/>
        </w:rPr>
      </w:pPr>
      <w:r>
        <w:rPr>
          <w:rFonts w:ascii="Arial" w:cs="Arial" w:eastAsia="Arial" w:hAnsi="Arial"/>
          <w:sz w:val="15"/>
          <w:szCs w:val="15"/>
          <w:color w:val="auto"/>
        </w:rPr>
        <w:t>In the event of the permanent and total disability or death of an optionee while in an employment or other relationship with the Company and before the date of expiration of such option, such option shall terminate on the earlier of such date of expiration or one (1) year following the date of such disability or death. After disability or death, the optionee (or in the case of death, his or her executor, administrator or any person or persons to whom this option may be transferred by will or by laws of descent and distribution) shall have the right, at any time prior to such termination, to exercise the option to the extent the optionee was entitled to exercise such option as of the date of his or her disability or death. An optionee is permanently and totally disabled if he or she is unable to engage in any substantial gainful activity by reason of any medically determinable physical or mental impairment which can be expected to last for a</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rPr>
          <w:sz w:val="20"/>
          <w:szCs w:val="20"/>
          <w:color w:val="auto"/>
        </w:rPr>
      </w:pPr>
      <w:r>
        <w:rPr>
          <w:rFonts w:ascii="Arial" w:cs="Arial" w:eastAsia="Arial" w:hAnsi="Arial"/>
          <w:sz w:val="14"/>
          <w:szCs w:val="14"/>
          <w:color w:val="auto"/>
        </w:rPr>
        <w:t>continuous period of not less than 12 months; permanent and total disability shall be determined in accordance with Section 22(e)(3) of the Code and the regulations issued thereunder.</w:t>
      </w:r>
    </w:p>
    <w:p>
      <w:pPr>
        <w:spacing w:after="0" w:line="204" w:lineRule="exact"/>
        <w:rPr>
          <w:sz w:val="20"/>
          <w:szCs w:val="20"/>
          <w:color w:val="auto"/>
        </w:rPr>
      </w:pPr>
    </w:p>
    <w:p>
      <w:pPr>
        <w:ind w:left="547" w:right="140" w:hanging="547"/>
        <w:spacing w:after="0" w:line="278" w:lineRule="auto"/>
        <w:tabs>
          <w:tab w:leader="none" w:pos="535"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as a Shareholder. </w:t>
      </w:r>
      <w:r>
        <w:rPr>
          <w:rFonts w:ascii="Arial" w:cs="Arial" w:eastAsia="Arial" w:hAnsi="Arial"/>
          <w:sz w:val="15"/>
          <w:szCs w:val="15"/>
          <w:color w:val="auto"/>
        </w:rPr>
        <w:t>The holder of an Option shall have no rights as a shareholder with respect to any shares covered by the Option (including, without limitation, any</w:t>
      </w:r>
      <w:r>
        <w:rPr>
          <w:rFonts w:ascii="Arial" w:cs="Arial" w:eastAsia="Arial" w:hAnsi="Arial"/>
          <w:sz w:val="15"/>
          <w:szCs w:val="15"/>
          <w:b w:val="1"/>
          <w:bCs w:val="1"/>
          <w:color w:val="auto"/>
        </w:rPr>
        <w:t xml:space="preserve"> </w:t>
      </w:r>
      <w:r>
        <w:rPr>
          <w:rFonts w:ascii="Arial" w:cs="Arial" w:eastAsia="Arial" w:hAnsi="Arial"/>
          <w:sz w:val="15"/>
          <w:szCs w:val="15"/>
          <w:color w:val="auto"/>
        </w:rPr>
        <w:t>rights to receive dividends or non-cash distributions with respect to such shares) until the date of issue of a stock certificate to him or her for such shares. No adjustment shall be made for dividends or other rights for which the record date is prior to the date such stock certificate is issued.</w:t>
      </w:r>
    </w:p>
    <w:p>
      <w:pPr>
        <w:spacing w:after="0" w:line="141" w:lineRule="exact"/>
        <w:rPr>
          <w:rFonts w:ascii="Arial" w:cs="Arial" w:eastAsia="Arial" w:hAnsi="Arial"/>
          <w:sz w:val="15"/>
          <w:szCs w:val="15"/>
          <w:b w:val="1"/>
          <w:bCs w:val="1"/>
          <w:color w:val="auto"/>
        </w:rPr>
      </w:pPr>
    </w:p>
    <w:p>
      <w:pPr>
        <w:ind w:left="547" w:right="160" w:hanging="547"/>
        <w:spacing w:after="0" w:line="291" w:lineRule="auto"/>
        <w:tabs>
          <w:tab w:leader="none" w:pos="543"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Additional Provisions. </w:t>
      </w:r>
      <w:r>
        <w:rPr>
          <w:rFonts w:ascii="Arial" w:cs="Arial" w:eastAsia="Arial" w:hAnsi="Arial"/>
          <w:sz w:val="14"/>
          <w:szCs w:val="14"/>
          <w:color w:val="auto"/>
        </w:rPr>
        <w:t>The Board of Directors may, in its sole discretion, include additional provisions in Restricted Stock Agreements and Option Agreements,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without limitation, restrictions on transfer, rights of the Company to repurchase shares of Restricted Stock or shares of Common Stock acquired upon exercise of Options, commitments to pay cash bonuses, to make, arrange for or guaranty loans or to transfer other property to optionees upon exercise of Options, or such other provisions as shall be determined by the Board of Directors;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such additional provisions shall not be inconsistent with any other term or condition of the Plan and such additional provisions shall not be such as to cause any Incentive Stock Option to fail to qualify as an Incentive Stock Option within the meaning of Section 422 of the Code.</w:t>
      </w:r>
    </w:p>
    <w:p>
      <w:pPr>
        <w:spacing w:after="0" w:line="135" w:lineRule="exact"/>
        <w:rPr>
          <w:rFonts w:ascii="Arial" w:cs="Arial" w:eastAsia="Arial" w:hAnsi="Arial"/>
          <w:sz w:val="14"/>
          <w:szCs w:val="14"/>
          <w:b w:val="1"/>
          <w:bCs w:val="1"/>
          <w:color w:val="auto"/>
        </w:rPr>
      </w:pPr>
    </w:p>
    <w:p>
      <w:pPr>
        <w:ind w:left="547" w:right="440" w:hanging="547"/>
        <w:spacing w:after="0" w:line="298" w:lineRule="auto"/>
        <w:tabs>
          <w:tab w:leader="none" w:pos="543"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Acceleration, Extension, Etc. </w:t>
      </w:r>
      <w:r>
        <w:rPr>
          <w:rFonts w:ascii="Arial" w:cs="Arial" w:eastAsia="Arial" w:hAnsi="Arial"/>
          <w:sz w:val="15"/>
          <w:szCs w:val="15"/>
          <w:color w:val="auto"/>
        </w:rPr>
        <w:t>The Board of Directors may, in its sole discretion, (i) accelerate the date or dates on which all or any particular Option or Options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exercised or (ii) extend the period or periods of time during which all, or any particular, Option or Options may be exercised.</w:t>
      </w:r>
    </w:p>
    <w:p>
      <w:pPr>
        <w:spacing w:after="0" w:line="127" w:lineRule="exact"/>
        <w:rPr>
          <w:rFonts w:ascii="Arial" w:cs="Arial" w:eastAsia="Arial" w:hAnsi="Arial"/>
          <w:sz w:val="15"/>
          <w:szCs w:val="15"/>
          <w:b w:val="1"/>
          <w:bCs w:val="1"/>
          <w:color w:val="auto"/>
        </w:rPr>
      </w:pPr>
    </w:p>
    <w:p>
      <w:pPr>
        <w:ind w:left="547" w:hanging="547"/>
        <w:spacing w:after="0"/>
        <w:tabs>
          <w:tab w:leader="none" w:pos="547"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Adjustment Upon Changes in Capitalization</w:t>
      </w:r>
    </w:p>
    <w:p>
      <w:pPr>
        <w:spacing w:after="0" w:line="198" w:lineRule="exact"/>
        <w:rPr>
          <w:rFonts w:ascii="Arial" w:cs="Arial" w:eastAsia="Arial" w:hAnsi="Arial"/>
          <w:sz w:val="15"/>
          <w:szCs w:val="15"/>
          <w:b w:val="1"/>
          <w:bCs w:val="1"/>
          <w:color w:val="auto"/>
        </w:rPr>
      </w:pPr>
    </w:p>
    <w:p>
      <w:pPr>
        <w:ind w:left="1107" w:right="40" w:hanging="556"/>
        <w:spacing w:after="0" w:line="267" w:lineRule="auto"/>
        <w:rPr>
          <w:rFonts w:ascii="Arial" w:cs="Arial" w:eastAsia="Arial" w:hAnsi="Arial"/>
          <w:sz w:val="15"/>
          <w:szCs w:val="15"/>
          <w:b w:val="1"/>
          <w:bCs w:val="1"/>
          <w:color w:val="auto"/>
        </w:rPr>
      </w:pPr>
      <w:r>
        <w:rPr>
          <w:rFonts w:ascii="Arial" w:cs="Arial" w:eastAsia="Arial" w:hAnsi="Arial"/>
          <w:sz w:val="15"/>
          <w:szCs w:val="15"/>
          <w:color w:val="auto"/>
        </w:rPr>
        <w:t xml:space="preserve">14.1 </w:t>
      </w:r>
      <w:r>
        <w:rPr>
          <w:rFonts w:ascii="Arial" w:cs="Arial" w:eastAsia="Arial" w:hAnsi="Arial"/>
          <w:sz w:val="15"/>
          <w:szCs w:val="15"/>
          <w:b w:val="1"/>
          <w:bCs w:val="1"/>
          <w:color w:val="auto"/>
        </w:rPr>
        <w:t>No Effect of Options upon Certain Corporate Transactions.</w:t>
      </w:r>
      <w:r>
        <w:rPr>
          <w:rFonts w:ascii="Arial" w:cs="Arial" w:eastAsia="Arial" w:hAnsi="Arial"/>
          <w:sz w:val="15"/>
          <w:szCs w:val="15"/>
          <w:color w:val="auto"/>
        </w:rPr>
        <w:t xml:space="preserve"> The existence of outstanding Options shall not affect in any way the right or power of the Company to make or authorize any or all adjustments, recapitalizations, reorganizations or other changes in the Company’s capital structure or its business, or any merger or consolidation, or any issue of Common Stock,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52" w:lineRule="exact"/>
        <w:rPr>
          <w:rFonts w:ascii="Arial" w:cs="Arial" w:eastAsia="Arial" w:hAnsi="Arial"/>
          <w:sz w:val="15"/>
          <w:szCs w:val="15"/>
          <w:b w:val="1"/>
          <w:bCs w:val="1"/>
          <w:color w:val="auto"/>
        </w:rPr>
      </w:pPr>
    </w:p>
    <w:p>
      <w:pPr>
        <w:ind w:left="1107" w:right="100" w:hanging="556"/>
        <w:spacing w:after="0" w:line="296" w:lineRule="auto"/>
        <w:rPr>
          <w:rFonts w:ascii="Arial" w:cs="Arial" w:eastAsia="Arial" w:hAnsi="Arial"/>
          <w:sz w:val="15"/>
          <w:szCs w:val="15"/>
          <w:b w:val="1"/>
          <w:bCs w:val="1"/>
          <w:color w:val="auto"/>
        </w:rPr>
      </w:pPr>
      <w:r>
        <w:rPr>
          <w:rFonts w:ascii="Arial" w:cs="Arial" w:eastAsia="Arial" w:hAnsi="Arial"/>
          <w:sz w:val="14"/>
          <w:szCs w:val="14"/>
          <w:color w:val="auto"/>
        </w:rPr>
        <w:t xml:space="preserve">14.2 </w:t>
      </w:r>
      <w:r>
        <w:rPr>
          <w:rFonts w:ascii="Arial" w:cs="Arial" w:eastAsia="Arial" w:hAnsi="Arial"/>
          <w:sz w:val="14"/>
          <w:szCs w:val="14"/>
          <w:b w:val="1"/>
          <w:bCs w:val="1"/>
          <w:color w:val="auto"/>
        </w:rPr>
        <w:t>Adjustment Provisions.</w:t>
      </w:r>
      <w:r>
        <w:rPr>
          <w:rFonts w:ascii="Arial" w:cs="Arial" w:eastAsia="Arial" w:hAnsi="Arial"/>
          <w:sz w:val="14"/>
          <w:szCs w:val="14"/>
          <w:color w:val="auto"/>
        </w:rPr>
        <w:t xml:space="preserve"> If, through or as a result of any merger, consolidation, sale of all or substantially all of the assets of the Company, reorganization, recapitalization, reclassification, stock dividend, stock split, reverse stock split or other similar transaction, (i) the outstanding shares of Common Stock are increased, decreased or exchanged for a different number or kind of shares or other securities of the Company, or (ii) additional shares or new or different shares or other securities of the Company or other non-cash assets are distributed with respect to such shares of Common Stock or other securities, an appropriate</w:t>
      </w:r>
    </w:p>
    <w:p>
      <w:pPr>
        <w:spacing w:after="0" w:line="13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8" w:lineRule="exact"/>
        <w:rPr>
          <w:sz w:val="20"/>
          <w:szCs w:val="20"/>
          <w:color w:val="auto"/>
        </w:rPr>
      </w:pPr>
    </w:p>
    <w:p>
      <w:pPr>
        <w:ind w:left="1107"/>
        <w:spacing w:after="0" w:line="265" w:lineRule="auto"/>
        <w:rPr>
          <w:sz w:val="20"/>
          <w:szCs w:val="20"/>
          <w:color w:val="auto"/>
        </w:rPr>
      </w:pPr>
      <w:r>
        <w:rPr>
          <w:rFonts w:ascii="Arial" w:cs="Arial" w:eastAsia="Arial" w:hAnsi="Arial"/>
          <w:sz w:val="15"/>
          <w:szCs w:val="15"/>
          <w:color w:val="auto"/>
        </w:rPr>
        <w:t>and proportionate adjustment shall be made in (x) the maximum number and kind of shares reserved for issuance under the Plan, (y) the number and kind of shares or other securities subject to any then outstanding Options, and (z) the price for each share or other security subject to any then outstanding Options, so that upon exercise of such Options, in lieu of the shares of Common Stock for which such Options were then exercisable, the relevant optionee shall be entitled to receive, for the same aggregate consideration, the same total number and kind of shares or other securities, cash or property that the owner of an equal number of outstanding shares of Common Stock immediately prior to the event requiring adjustment would own as a result of the event.</w:t>
      </w:r>
    </w:p>
    <w:p>
      <w:pPr>
        <w:spacing w:after="0" w:line="154" w:lineRule="exact"/>
        <w:rPr>
          <w:sz w:val="20"/>
          <w:szCs w:val="20"/>
          <w:color w:val="auto"/>
        </w:rPr>
      </w:pPr>
    </w:p>
    <w:p>
      <w:pPr>
        <w:ind w:left="1107" w:right="60" w:hanging="555"/>
        <w:spacing w:after="0" w:line="271" w:lineRule="auto"/>
        <w:tabs>
          <w:tab w:leader="none" w:pos="1087"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5"/>
          <w:szCs w:val="15"/>
          <w:b w:val="1"/>
          <w:bCs w:val="1"/>
          <w:color w:val="auto"/>
        </w:rPr>
        <w:t xml:space="preserve">No Adjustment in Certain Cases. </w:t>
      </w:r>
      <w:r>
        <w:rPr>
          <w:rFonts w:ascii="Arial" w:cs="Arial" w:eastAsia="Arial" w:hAnsi="Arial"/>
          <w:sz w:val="15"/>
          <w:szCs w:val="15"/>
          <w:color w:val="auto"/>
        </w:rPr>
        <w:t>Except as hereinbefore expressly provided, the issue by the Company of shares of stock of any class, or securities convertible into</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stock of any class, for cash or property or for labor or services, either upon direct sale or upon the exercise of rights or warrants to subscribe therefore, or upon conversion of shares or obligations of the Company convertible into such shares or other securities, shall not affect, and no adjustment by reason thereof shall be made with respect to, the number or price of shares of Common Stock then subject to outstanding options.</w:t>
      </w:r>
    </w:p>
    <w:p>
      <w:pPr>
        <w:spacing w:after="0" w:line="147" w:lineRule="exact"/>
        <w:rPr>
          <w:sz w:val="20"/>
          <w:szCs w:val="20"/>
          <w:color w:val="auto"/>
        </w:rPr>
      </w:pPr>
    </w:p>
    <w:p>
      <w:pPr>
        <w:ind w:left="1107" w:right="320" w:hanging="555"/>
        <w:spacing w:after="0" w:line="278" w:lineRule="auto"/>
        <w:tabs>
          <w:tab w:leader="none" w:pos="1087" w:val="left"/>
        </w:tabs>
        <w:rPr>
          <w:sz w:val="20"/>
          <w:szCs w:val="20"/>
          <w:color w:val="auto"/>
        </w:rPr>
      </w:pPr>
      <w:r>
        <w:rPr>
          <w:rFonts w:ascii="Arial" w:cs="Arial" w:eastAsia="Arial" w:hAnsi="Arial"/>
          <w:sz w:val="15"/>
          <w:szCs w:val="15"/>
          <w:color w:val="auto"/>
        </w:rPr>
        <w:t>14.4</w:t>
      </w:r>
      <w:r>
        <w:rPr>
          <w:sz w:val="20"/>
          <w:szCs w:val="20"/>
          <w:color w:val="auto"/>
        </w:rPr>
        <w:tab/>
      </w:r>
      <w:r>
        <w:rPr>
          <w:rFonts w:ascii="Arial" w:cs="Arial" w:eastAsia="Arial" w:hAnsi="Arial"/>
          <w:sz w:val="15"/>
          <w:szCs w:val="15"/>
          <w:b w:val="1"/>
          <w:bCs w:val="1"/>
          <w:color w:val="auto"/>
        </w:rPr>
        <w:t xml:space="preserve">Board Authority to Make Adjustments. </w:t>
      </w:r>
      <w:r>
        <w:rPr>
          <w:rFonts w:ascii="Arial" w:cs="Arial" w:eastAsia="Arial" w:hAnsi="Arial"/>
          <w:sz w:val="15"/>
          <w:szCs w:val="15"/>
          <w:color w:val="auto"/>
        </w:rPr>
        <w:t>Any adjustments under this Section 14 will be made by the Board of Directors, whose determination as to what</w:t>
      </w:r>
      <w:r>
        <w:rPr>
          <w:rFonts w:ascii="Arial" w:cs="Arial" w:eastAsia="Arial" w:hAnsi="Arial"/>
          <w:sz w:val="15"/>
          <w:szCs w:val="15"/>
          <w:b w:val="1"/>
          <w:bCs w:val="1"/>
          <w:color w:val="auto"/>
        </w:rPr>
        <w:t xml:space="preserve"> </w:t>
      </w:r>
      <w:r>
        <w:rPr>
          <w:rFonts w:ascii="Arial" w:cs="Arial" w:eastAsia="Arial" w:hAnsi="Arial"/>
          <w:sz w:val="15"/>
          <w:szCs w:val="15"/>
          <w:color w:val="auto"/>
        </w:rPr>
        <w:t>adjustments, if any, will be made and the extent thereof will be final, binding and conclusive. No fractional shares will be issued under the Plan on account of any such adjustments.</w:t>
      </w:r>
    </w:p>
    <w:p>
      <w:pPr>
        <w:spacing w:after="0" w:line="142" w:lineRule="exact"/>
        <w:rPr>
          <w:sz w:val="20"/>
          <w:szCs w:val="20"/>
          <w:color w:val="auto"/>
        </w:rPr>
      </w:pPr>
    </w:p>
    <w:p>
      <w:pPr>
        <w:ind w:left="547" w:hanging="547"/>
        <w:spacing w:after="0"/>
        <w:tabs>
          <w:tab w:leader="none" w:pos="547"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Effect of Certain Transactions</w:t>
      </w:r>
      <w:r>
        <w:rPr>
          <w:rFonts w:ascii="Arial" w:cs="Arial" w:eastAsia="Arial" w:hAnsi="Arial"/>
          <w:sz w:val="15"/>
          <w:szCs w:val="15"/>
          <w:color w:val="auto"/>
        </w:rPr>
        <w:t>.</w:t>
      </w:r>
    </w:p>
    <w:p>
      <w:pPr>
        <w:spacing w:after="0" w:line="198" w:lineRule="exact"/>
        <w:rPr>
          <w:rFonts w:ascii="Arial" w:cs="Arial" w:eastAsia="Arial" w:hAnsi="Arial"/>
          <w:sz w:val="15"/>
          <w:szCs w:val="15"/>
          <w:b w:val="1"/>
          <w:bCs w:val="1"/>
          <w:color w:val="auto"/>
        </w:rPr>
      </w:pPr>
    </w:p>
    <w:p>
      <w:pPr>
        <w:ind w:left="1107" w:right="100" w:hanging="556"/>
        <w:spacing w:after="0" w:line="284" w:lineRule="auto"/>
        <w:rPr>
          <w:rFonts w:ascii="Arial" w:cs="Arial" w:eastAsia="Arial" w:hAnsi="Arial"/>
          <w:sz w:val="15"/>
          <w:szCs w:val="15"/>
          <w:b w:val="1"/>
          <w:bCs w:val="1"/>
          <w:color w:val="auto"/>
        </w:rPr>
      </w:pPr>
      <w:r>
        <w:rPr>
          <w:rFonts w:ascii="Arial" w:cs="Arial" w:eastAsia="Arial" w:hAnsi="Arial"/>
          <w:sz w:val="14"/>
          <w:szCs w:val="14"/>
          <w:color w:val="auto"/>
        </w:rPr>
        <w:t xml:space="preserve">15.1 </w:t>
      </w:r>
      <w:r>
        <w:rPr>
          <w:rFonts w:ascii="Arial" w:cs="Arial" w:eastAsia="Arial" w:hAnsi="Arial"/>
          <w:sz w:val="14"/>
          <w:szCs w:val="14"/>
          <w:b w:val="1"/>
          <w:bCs w:val="1"/>
          <w:color w:val="auto"/>
        </w:rPr>
        <w:t>General.</w:t>
      </w:r>
      <w:r>
        <w:rPr>
          <w:rFonts w:ascii="Arial" w:cs="Arial" w:eastAsia="Arial" w:hAnsi="Arial"/>
          <w:sz w:val="14"/>
          <w:szCs w:val="14"/>
          <w:color w:val="auto"/>
        </w:rPr>
        <w:t xml:space="preserve"> Except as provided in any Option Agreement or Restricted Stock Agreement to the contrary, if the Company is merged with or into or consolidated with another corporation under circumstances where the stockholders of the Company immediately prior to such merger or consolidation do not own after such merger or consolidation shares representing at least fifty percent (50%) of the voting power of the Company or the surviving or resulting corporation, as the case may be, or if shares representing fifty percent (50%) or more of the voting power of the Company are transferred to an Unrelated Third Party, as hereinafter defined, or if the Company is liquidated, or sells or otherwise disposes of all or substantially all its assets (each such transaction is referred to herein as a “Change in Control Transaction”), the Board, or the board of directors of any corporation assuming the obligations of the Company, may, in its discretion, take any one or more of the following actions, as to some or all outstanding Options or Restricted Stock Awards (and need not take the same action as to each such Option or Restricted Stock Award): (i) provide that such Options shall be assumed, or equivalent Options shall be substituted, by the acquiring or succeeding corporation (or an affiliate thereof),</w:t>
      </w:r>
    </w:p>
    <w:p>
      <w:pPr>
        <w:sectPr>
          <w:pgSz w:w="11900" w:h="16838" w:orient="portrait"/>
          <w:cols w:equalWidth="0" w:num="1">
            <w:col w:w="11447"/>
          </w:cols>
          <w:pgMar w:left="233" w:top="314" w:right="219" w:bottom="0" w:gutter="0" w:footer="0" w:header="0"/>
        </w:sectPr>
      </w:pPr>
    </w:p>
    <w:bookmarkStart w:id="293" w:name="page294"/>
    <w:bookmarkEnd w:id="293"/>
    <w:p>
      <w:pPr>
        <w:spacing w:after="0" w:line="25" w:lineRule="exact"/>
        <w:rPr>
          <w:sz w:val="20"/>
          <w:szCs w:val="20"/>
          <w:color w:val="auto"/>
        </w:rPr>
      </w:pPr>
    </w:p>
    <w:p>
      <w:pPr>
        <w:ind w:left="1107" w:right="420"/>
        <w:spacing w:after="0" w:line="289" w:lineRule="auto"/>
        <w:rPr>
          <w:sz w:val="20"/>
          <w:szCs w:val="20"/>
          <w:color w:val="auto"/>
        </w:rPr>
      </w:pP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any such Options substituted for Incentive Stock Options shall meet the requirements of Section 424(a) of the Code, (ii) upon written notice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optionees, provide that all unexercised</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spacing w:after="0" w:line="281" w:lineRule="auto"/>
        <w:rPr>
          <w:sz w:val="20"/>
          <w:szCs w:val="20"/>
          <w:color w:val="auto"/>
        </w:rPr>
      </w:pPr>
      <w:r>
        <w:rPr>
          <w:rFonts w:ascii="Arial" w:cs="Arial" w:eastAsia="Arial" w:hAnsi="Arial"/>
          <w:sz w:val="14"/>
          <w:szCs w:val="14"/>
          <w:color w:val="auto"/>
        </w:rPr>
        <w:t>Options will terminate immediately prior to the consummation of the Change in Control Transaction unless exercised by the optionee to the extent otherwise then exercisable within a specified period following the date of such notice, (iii) upon written notice to the grantees, provide that all unvested shares of Restricted Stock shall be repurchased at cost, (iv) make or provide for a cash payment to the optionees equal to the difference between (A) the fair market value of the per share consideration (whether cash, securities or other property or any combination of the above) the holder of a share of Common Stock will receive upon consummation of the Change in Control Transaction (the “Per Share Transaction Price”) times the number of shares of Common Stock subject to outstanding vested Options (to the extent then exercisable at prices not equal to or in excess of the Per Share Transaction Price) and (B) the aggregate exercise price of such outstanding vested Options, in exchange for the termination of such Options, or (v) provide that all or any outstanding Options shall become exercisable and all or any outstanding Restricted Stock Awards shall vest in part or in full immediately prior to such event. To the extent that any Options are exercisable at a price equal to or in excess of the Per Share Transaction Price, the Board may provide that such Options shall terminate immediately upon the consummation of the Change in Control Transaction without any payment being made to the holders of such Options. “</w:t>
      </w:r>
      <w:r>
        <w:rPr>
          <w:rFonts w:ascii="Arial" w:cs="Arial" w:eastAsia="Arial" w:hAnsi="Arial"/>
          <w:sz w:val="14"/>
          <w:szCs w:val="14"/>
          <w:u w:val="single" w:color="auto"/>
          <w:color w:val="auto"/>
        </w:rPr>
        <w:t>Unrelated Third Party</w:t>
      </w:r>
      <w:r>
        <w:rPr>
          <w:rFonts w:ascii="Arial" w:cs="Arial" w:eastAsia="Arial" w:hAnsi="Arial"/>
          <w:sz w:val="14"/>
          <w:szCs w:val="14"/>
          <w:color w:val="auto"/>
        </w:rPr>
        <w:t>” shall mean any person who is not, on the date of adoption of this Plan by the Board, a holder of stock of any class or preference or any stock option of the Company.</w:t>
      </w:r>
    </w:p>
    <w:p>
      <w:pPr>
        <w:spacing w:after="0" w:line="144" w:lineRule="exact"/>
        <w:rPr>
          <w:sz w:val="20"/>
          <w:szCs w:val="20"/>
          <w:color w:val="auto"/>
        </w:rPr>
      </w:pPr>
    </w:p>
    <w:p>
      <w:pPr>
        <w:ind w:left="1107" w:right="80" w:hanging="555"/>
        <w:spacing w:after="0" w:line="271" w:lineRule="auto"/>
        <w:tabs>
          <w:tab w:leader="none" w:pos="1087"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5"/>
          <w:szCs w:val="15"/>
          <w:b w:val="1"/>
          <w:bCs w:val="1"/>
          <w:color w:val="auto"/>
        </w:rPr>
        <w:t xml:space="preserve">Substitute Options. </w:t>
      </w:r>
      <w:r>
        <w:rPr>
          <w:rFonts w:ascii="Arial" w:cs="Arial" w:eastAsia="Arial" w:hAnsi="Arial"/>
          <w:sz w:val="15"/>
          <w:szCs w:val="15"/>
          <w:color w:val="auto"/>
        </w:rPr>
        <w:t>The Company may grant Options in substitution for options held by employees of another corporation who become employees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as the result of a merger or consolidation of the employing corporation with the Company or as a result of the acquisition by the Company, of property or stock of the employing corporation. The Company may direct that substitute Options be granted on such terms and conditions as the Board considers appropriate in the circumstances.</w:t>
      </w:r>
    </w:p>
    <w:p>
      <w:pPr>
        <w:spacing w:after="0" w:line="147" w:lineRule="exact"/>
        <w:rPr>
          <w:sz w:val="20"/>
          <w:szCs w:val="20"/>
          <w:color w:val="auto"/>
        </w:rPr>
      </w:pPr>
    </w:p>
    <w:p>
      <w:pPr>
        <w:ind w:left="1107" w:right="220" w:hanging="555"/>
        <w:spacing w:after="0" w:line="271" w:lineRule="auto"/>
        <w:tabs>
          <w:tab w:leader="none" w:pos="1087" w:val="left"/>
        </w:tabs>
        <w:rPr>
          <w:sz w:val="20"/>
          <w:szCs w:val="20"/>
          <w:color w:val="auto"/>
        </w:rPr>
      </w:pPr>
      <w:r>
        <w:rPr>
          <w:rFonts w:ascii="Arial" w:cs="Arial" w:eastAsia="Arial" w:hAnsi="Arial"/>
          <w:sz w:val="15"/>
          <w:szCs w:val="15"/>
          <w:color w:val="auto"/>
        </w:rPr>
        <w:t>15.3</w:t>
      </w:r>
      <w:r>
        <w:rPr>
          <w:sz w:val="20"/>
          <w:szCs w:val="20"/>
          <w:color w:val="auto"/>
        </w:rPr>
        <w:tab/>
      </w: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In the event of a business combination or other transaction of the type detailed in Section 15.1, any securities, cash or other property received in</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for shares of Restricted Stock shall continue to be governed by the provisions of any Restricted Stock Agreement pursuant to which they were issued, including any provision regarding vesting, and such securities, cash, or other property may be held in escrow on such terms as the Board of Directors may direct, to insure compliance with the terms of any such Restricted Stock Agreement.</w:t>
      </w:r>
    </w:p>
    <w:p>
      <w:pPr>
        <w:spacing w:after="0" w:line="147" w:lineRule="exact"/>
        <w:rPr>
          <w:sz w:val="20"/>
          <w:szCs w:val="20"/>
          <w:color w:val="auto"/>
        </w:rPr>
      </w:pPr>
    </w:p>
    <w:p>
      <w:pPr>
        <w:ind w:left="547" w:right="100" w:hanging="547"/>
        <w:spacing w:after="0" w:line="278" w:lineRule="auto"/>
        <w:tabs>
          <w:tab w:leader="none" w:pos="543"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Special Employment Rights. </w:t>
      </w:r>
      <w:r>
        <w:rPr>
          <w:rFonts w:ascii="Arial" w:cs="Arial" w:eastAsia="Arial" w:hAnsi="Arial"/>
          <w:sz w:val="15"/>
          <w:szCs w:val="15"/>
          <w:color w:val="auto"/>
        </w:rPr>
        <w:t>Nothing contained in the Plan or in any Option or Restricted Stock Agreement shall confer upon any optionee or holder of 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any right with respect to the continuation of his or her employment by the Company or interfere in any way with the right of the Company at any time to terminate such employment or to increase or decrease the compensation of such person.</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240" w:hanging="547"/>
        <w:spacing w:after="0" w:line="271" w:lineRule="auto"/>
        <w:tabs>
          <w:tab w:leader="none" w:pos="543"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Employee Benefits. </w:t>
      </w:r>
      <w:r>
        <w:rPr>
          <w:rFonts w:ascii="Arial" w:cs="Arial" w:eastAsia="Arial" w:hAnsi="Arial"/>
          <w:sz w:val="15"/>
          <w:szCs w:val="15"/>
          <w:color w:val="auto"/>
        </w:rPr>
        <w:t>The amount of any compensation deemed to be received by an employee as a result of the issuance of shares of Restricted Stock or the grant or</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an Option or the sale of shares received upon such award or exercise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147" w:lineRule="exact"/>
        <w:rPr>
          <w:rFonts w:ascii="Arial" w:cs="Arial" w:eastAsia="Arial" w:hAnsi="Arial"/>
          <w:sz w:val="15"/>
          <w:szCs w:val="15"/>
          <w:b w:val="1"/>
          <w:bCs w:val="1"/>
          <w:color w:val="auto"/>
        </w:rPr>
      </w:pPr>
    </w:p>
    <w:p>
      <w:pPr>
        <w:ind w:left="547" w:hanging="547"/>
        <w:spacing w:after="0"/>
        <w:tabs>
          <w:tab w:leader="none" w:pos="547"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Amendment of the Plan.</w:t>
      </w:r>
    </w:p>
    <w:p>
      <w:pPr>
        <w:spacing w:after="0" w:line="204" w:lineRule="exact"/>
        <w:rPr>
          <w:rFonts w:ascii="Arial" w:cs="Arial" w:eastAsia="Arial" w:hAnsi="Arial"/>
          <w:sz w:val="15"/>
          <w:szCs w:val="15"/>
          <w:b w:val="1"/>
          <w:bCs w:val="1"/>
          <w:color w:val="auto"/>
        </w:rPr>
      </w:pPr>
    </w:p>
    <w:p>
      <w:pPr>
        <w:ind w:left="1107" w:right="40" w:hanging="556"/>
        <w:spacing w:after="0" w:line="268" w:lineRule="auto"/>
        <w:rPr>
          <w:rFonts w:ascii="Arial" w:cs="Arial" w:eastAsia="Arial" w:hAnsi="Arial"/>
          <w:sz w:val="15"/>
          <w:szCs w:val="15"/>
          <w:b w:val="1"/>
          <w:bCs w:val="1"/>
          <w:color w:val="auto"/>
        </w:rPr>
      </w:pPr>
      <w:r>
        <w:rPr>
          <w:rFonts w:ascii="Arial" w:cs="Arial" w:eastAsia="Arial" w:hAnsi="Arial"/>
          <w:sz w:val="15"/>
          <w:szCs w:val="15"/>
          <w:color w:val="auto"/>
        </w:rPr>
        <w:t>18.1 The Board may at any time, and from time to time, modify or amend in any respect or terminate the Plan. If shareholder approval is not obtained within twelve months after any amendment increasing the number of shares authorized under the Plan or changing the class of persons eligible to receive Options under the Plan, no Options granted pursuant to such amendments shall be deemed to be Incentive Stock Options and no Incentive Stock Options shall be issued pursuant to such amendments thereafter.</w:t>
      </w:r>
    </w:p>
    <w:p>
      <w:pPr>
        <w:spacing w:after="0" w:line="156" w:lineRule="exact"/>
        <w:rPr>
          <w:rFonts w:ascii="Arial" w:cs="Arial" w:eastAsia="Arial" w:hAnsi="Arial"/>
          <w:sz w:val="15"/>
          <w:szCs w:val="15"/>
          <w:b w:val="1"/>
          <w:bCs w:val="1"/>
          <w:color w:val="auto"/>
        </w:rPr>
      </w:pPr>
    </w:p>
    <w:p>
      <w:pPr>
        <w:ind w:left="1107" w:right="120" w:hanging="556"/>
        <w:spacing w:after="0" w:line="273" w:lineRule="auto"/>
        <w:rPr>
          <w:rFonts w:ascii="Arial" w:cs="Arial" w:eastAsia="Arial" w:hAnsi="Arial"/>
          <w:sz w:val="15"/>
          <w:szCs w:val="15"/>
          <w:b w:val="1"/>
          <w:bCs w:val="1"/>
          <w:color w:val="auto"/>
        </w:rPr>
      </w:pPr>
      <w:r>
        <w:rPr>
          <w:rFonts w:ascii="Arial" w:cs="Arial" w:eastAsia="Arial" w:hAnsi="Arial"/>
          <w:sz w:val="15"/>
          <w:szCs w:val="15"/>
          <w:color w:val="auto"/>
        </w:rPr>
        <w:t>18.2 The termination or any modification or amendment of the Plan shall not, without the consent of an optionee or the holder of Restricted Stock, adversely affect his or her rights under an Option or Restricted Stock Award previously granted to him or her. With the consent of the recipient of Restricted Stock or optionee affected, the Board may amend outstanding Restricted Stock Agreements or Option Agreements in a manner not inconsistent with the Plan.</w:t>
      </w:r>
    </w:p>
    <w:p>
      <w:pPr>
        <w:spacing w:after="0" w:line="146" w:lineRule="exact"/>
        <w:rPr>
          <w:rFonts w:ascii="Arial" w:cs="Arial" w:eastAsia="Arial" w:hAnsi="Arial"/>
          <w:sz w:val="15"/>
          <w:szCs w:val="15"/>
          <w:b w:val="1"/>
          <w:bCs w:val="1"/>
          <w:color w:val="auto"/>
        </w:rPr>
      </w:pPr>
    </w:p>
    <w:p>
      <w:pPr>
        <w:ind w:left="547" w:right="60" w:hanging="547"/>
        <w:spacing w:after="0" w:line="283" w:lineRule="auto"/>
        <w:tabs>
          <w:tab w:leader="none" w:pos="543" w:val="left"/>
        </w:tabs>
        <w:numPr>
          <w:ilvl w:val="0"/>
          <w:numId w:val="1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Withholding. </w:t>
      </w:r>
      <w:r>
        <w:rPr>
          <w:rFonts w:ascii="Arial" w:cs="Arial" w:eastAsia="Arial" w:hAnsi="Arial"/>
          <w:sz w:val="14"/>
          <w:szCs w:val="14"/>
          <w:color w:val="auto"/>
        </w:rPr>
        <w:t>The Company shall have the right to deduct from payments of any kind otherwise due to the optionee or recipient of Restricted Stock, any federal, state or local</w:t>
      </w:r>
      <w:r>
        <w:rPr>
          <w:rFonts w:ascii="Arial" w:cs="Arial" w:eastAsia="Arial" w:hAnsi="Arial"/>
          <w:sz w:val="14"/>
          <w:szCs w:val="14"/>
          <w:b w:val="1"/>
          <w:bCs w:val="1"/>
          <w:color w:val="auto"/>
        </w:rPr>
        <w:t xml:space="preserve"> </w:t>
      </w:r>
      <w:r>
        <w:rPr>
          <w:rFonts w:ascii="Arial" w:cs="Arial" w:eastAsia="Arial" w:hAnsi="Arial"/>
          <w:sz w:val="14"/>
          <w:szCs w:val="14"/>
          <w:color w:val="auto"/>
        </w:rPr>
        <w:t>taxes of any kind required by law to be withheld with respect to issuance of any shares of Restricted Stock or shares issued upon exercise of Options. Prior to delivery of any Common Stock pursuant to the terms of this Plan, the Board has the right to require that the optionee or recipient of Restricted Stock remit to the Company an amount sufficient to satisfy any minimum tax withholding obligation. Subject to the prior approval of the Company, which may be withheld by the Company in its sole discretion, the obligor may elect to satisfy any minimum withholding obligations, in whole or in part, (i) by causing the Company to withhold shares of Common Stock otherwise issuable, or (ii) by delivering to the Company a sufficient number of shares of Common Stock. The shares so withheld shall have a fair market value equal to such minimum withholding obligation. The fair market value of the shares used to satisfy such minimum withholding obligation shall be determined by the Company as of the date that the amount of tax to be withheld is to be determined. A person who has made an election pursuant to this Section 19 may only satisfy his or her withholding obligation with shares of Common Stock which are not subject to any repurchase, forfeiture, unfulfilled vesting or other similar restrictions.</w:t>
      </w:r>
    </w:p>
    <w:p>
      <w:pPr>
        <w:spacing w:after="0" w:line="144" w:lineRule="exact"/>
        <w:rPr>
          <w:rFonts w:ascii="Arial" w:cs="Arial" w:eastAsia="Arial" w:hAnsi="Arial"/>
          <w:sz w:val="14"/>
          <w:szCs w:val="14"/>
          <w:b w:val="1"/>
          <w:bCs w:val="1"/>
          <w:color w:val="auto"/>
        </w:rPr>
      </w:pPr>
    </w:p>
    <w:p>
      <w:pPr>
        <w:ind w:left="547" w:hanging="547"/>
        <w:spacing w:after="0"/>
        <w:tabs>
          <w:tab w:leader="none" w:pos="547"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Effective Date and Duration of the Plan.</w:t>
      </w:r>
    </w:p>
    <w:p>
      <w:pPr>
        <w:spacing w:after="0" w:line="198" w:lineRule="exact"/>
        <w:rPr>
          <w:rFonts w:ascii="Arial" w:cs="Arial" w:eastAsia="Arial" w:hAnsi="Arial"/>
          <w:sz w:val="15"/>
          <w:szCs w:val="15"/>
          <w:b w:val="1"/>
          <w:bCs w:val="1"/>
          <w:color w:val="auto"/>
        </w:rPr>
      </w:pPr>
    </w:p>
    <w:p>
      <w:pPr>
        <w:ind w:left="547"/>
        <w:spacing w:after="0"/>
        <w:rPr>
          <w:rFonts w:ascii="Arial" w:cs="Arial" w:eastAsia="Arial" w:hAnsi="Arial"/>
          <w:sz w:val="15"/>
          <w:szCs w:val="15"/>
          <w:b w:val="1"/>
          <w:bCs w:val="1"/>
          <w:color w:val="auto"/>
        </w:rPr>
      </w:pPr>
      <w:r>
        <w:rPr>
          <w:rFonts w:ascii="Arial" w:cs="Arial" w:eastAsia="Arial" w:hAnsi="Arial"/>
          <w:sz w:val="14"/>
          <w:szCs w:val="14"/>
          <w:color w:val="auto"/>
        </w:rPr>
        <w:t xml:space="preserve">20.1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The Plan shall become effective when adopted by the Board of Directors. If shareholder approval is not obtained within twelve months after the</w:t>
      </w: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7" w:right="80"/>
        <w:spacing w:after="0" w:line="264" w:lineRule="auto"/>
        <w:rPr>
          <w:sz w:val="20"/>
          <w:szCs w:val="20"/>
          <w:color w:val="auto"/>
        </w:rPr>
      </w:pPr>
      <w:r>
        <w:rPr>
          <w:rFonts w:ascii="Arial" w:cs="Arial" w:eastAsia="Arial" w:hAnsi="Arial"/>
          <w:sz w:val="15"/>
          <w:szCs w:val="15"/>
          <w:color w:val="auto"/>
        </w:rPr>
        <w:t>date of the Board’s adoption of the Plan, no Options previously granted under the Plan shall be deemed to be Incentive Stock Options and no Incentive Stock Options shall be granted thereafter. Amendments to the Plan not requiring shareholder approval shall become effective when adopted by the Board. Amendments requiring shareholder approval shall become effective when adopted by the Board, but if shareholder approval is not obtained within twelve months of the Board’s adoption of such amendment, any Incentive Stock Options granted pursuant to such amendment shall be deemed to be non-statutory Options provided that such Options are authorized by the Plan. Subject to this limitation, Options may be granted under the Plan at any time after the effective date and before the date fixed for termination of the Plan.</w:t>
      </w:r>
    </w:p>
    <w:p>
      <w:pPr>
        <w:spacing w:after="0" w:line="153" w:lineRule="exact"/>
        <w:rPr>
          <w:sz w:val="20"/>
          <w:szCs w:val="20"/>
          <w:color w:val="auto"/>
        </w:rPr>
      </w:pPr>
    </w:p>
    <w:p>
      <w:pPr>
        <w:ind w:left="1107" w:right="220" w:hanging="555"/>
        <w:spacing w:after="0" w:line="298" w:lineRule="auto"/>
        <w:tabs>
          <w:tab w:leader="none" w:pos="1087" w:val="left"/>
        </w:tabs>
        <w:rPr>
          <w:sz w:val="20"/>
          <w:szCs w:val="20"/>
          <w:color w:val="auto"/>
        </w:rPr>
      </w:pPr>
      <w:r>
        <w:rPr>
          <w:rFonts w:ascii="Arial" w:cs="Arial" w:eastAsia="Arial" w:hAnsi="Arial"/>
          <w:sz w:val="15"/>
          <w:szCs w:val="15"/>
          <w:color w:val="auto"/>
        </w:rPr>
        <w:t>20.2</w:t>
      </w:r>
      <w:r>
        <w:rPr>
          <w:sz w:val="20"/>
          <w:szCs w:val="20"/>
          <w:color w:val="auto"/>
        </w:rPr>
        <w:tab/>
      </w:r>
      <w:r>
        <w:rPr>
          <w:rFonts w:ascii="Arial" w:cs="Arial" w:eastAsia="Arial" w:hAnsi="Arial"/>
          <w:sz w:val="15"/>
          <w:szCs w:val="15"/>
          <w:b w:val="1"/>
          <w:bCs w:val="1"/>
          <w:color w:val="auto"/>
        </w:rPr>
        <w:t xml:space="preserve">Termination. </w:t>
      </w:r>
      <w:r>
        <w:rPr>
          <w:rFonts w:ascii="Arial" w:cs="Arial" w:eastAsia="Arial" w:hAnsi="Arial"/>
          <w:sz w:val="15"/>
          <w:szCs w:val="15"/>
          <w:color w:val="auto"/>
        </w:rPr>
        <w:t>Unless sooner terminated by action of the Board of Directors, the Plan shall terminate upon the close of business on the day next preceding the tenth</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of the date of its adoption by the Board of Directors.</w:t>
      </w:r>
    </w:p>
    <w:p>
      <w:pPr>
        <w:spacing w:after="0" w:line="128" w:lineRule="exact"/>
        <w:rPr>
          <w:sz w:val="20"/>
          <w:szCs w:val="20"/>
          <w:color w:val="auto"/>
        </w:rPr>
      </w:pPr>
    </w:p>
    <w:p>
      <w:pPr>
        <w:ind w:left="547" w:right="40" w:hanging="547"/>
        <w:spacing w:after="0" w:line="311" w:lineRule="auto"/>
        <w:tabs>
          <w:tab w:leader="none" w:pos="543" w:val="left"/>
        </w:tabs>
        <w:numPr>
          <w:ilvl w:val="0"/>
          <w:numId w:val="15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Requirements of Law. </w:t>
      </w:r>
      <w:r>
        <w:rPr>
          <w:rFonts w:ascii="Arial" w:cs="Arial" w:eastAsia="Arial" w:hAnsi="Arial"/>
          <w:sz w:val="13"/>
          <w:szCs w:val="13"/>
          <w:color w:val="auto"/>
        </w:rPr>
        <w:t>The Company shall not be required to sell or issue any shares under any Option or Restricted Stock Agreement if the issuance of such shares shall</w:t>
      </w:r>
      <w:r>
        <w:rPr>
          <w:rFonts w:ascii="Arial" w:cs="Arial" w:eastAsia="Arial" w:hAnsi="Arial"/>
          <w:sz w:val="13"/>
          <w:szCs w:val="13"/>
          <w:b w:val="1"/>
          <w:bCs w:val="1"/>
          <w:color w:val="auto"/>
        </w:rPr>
        <w:t xml:space="preserve"> </w:t>
      </w:r>
      <w:r>
        <w:rPr>
          <w:rFonts w:ascii="Arial" w:cs="Arial" w:eastAsia="Arial" w:hAnsi="Arial"/>
          <w:sz w:val="13"/>
          <w:szCs w:val="13"/>
          <w:color w:val="auto"/>
        </w:rPr>
        <w:t>constitute a violation by the optionee, the Restricted Stock Award recipient, or by the Company of any provisions of any law or regulation of any governmental authority. In addition, in connection with the Act, the Company shall not be required to issue any shares upon exercise of any Option unless the Company has received evidence satisfactory to it to the effect that the holder of such Option will not transfer such shares except pursuant to a registration statement in effect under the Act or unless an opinion of counsel satisfactory to the Company has been received by the Company to the effect that such registration is not required in connection with any such transfer. Any determination in this connection by the Board shall be final, binding and conclusive. In the event the shares issuable on exercise of an Option are not registered under the Act or under the securities laws of each relevant state or other jurisdiction, the Company may imprint on the certificate(s) appropriate legends that counsel for the Company considers necessary</w:t>
      </w:r>
    </w:p>
    <w:p>
      <w:pPr>
        <w:sectPr>
          <w:pgSz w:w="11900" w:h="16863" w:orient="portrait"/>
          <w:cols w:equalWidth="0" w:num="1">
            <w:col w:w="11427"/>
          </w:cols>
          <w:pgMar w:left="233" w:top="129" w:right="239" w:bottom="0" w:gutter="0" w:footer="0" w:header="0"/>
        </w:sectPr>
      </w:pPr>
    </w:p>
    <w:bookmarkStart w:id="294" w:name="page295"/>
    <w:bookmarkEnd w:id="294"/>
    <w:p>
      <w:pPr>
        <w:ind w:left="547" w:right="20"/>
        <w:spacing w:after="0" w:line="268" w:lineRule="auto"/>
        <w:rPr>
          <w:sz w:val="20"/>
          <w:szCs w:val="20"/>
          <w:color w:val="auto"/>
        </w:rPr>
      </w:pPr>
      <w:r>
        <w:rPr>
          <w:rFonts w:ascii="Arial" w:cs="Arial" w:eastAsia="Arial" w:hAnsi="Arial"/>
          <w:sz w:val="15"/>
          <w:szCs w:val="15"/>
          <w:color w:val="auto"/>
        </w:rPr>
        <w:t>or advisable to comply with the Act or any such state or other securities law. The Company may register, but in no event shall be obligated to register, any securities covered by the Plan pursuant to the Act; and in the event any shares are so registered the Company may remove any legend on certificates representing such shares. The Company shall not be obligated to take any affirmative action in order to cause the exercise of an Option or the issuance of shares pursuant thereto to comply with any law or regulation of any governmental authority.</w:t>
      </w:r>
    </w:p>
    <w:p>
      <w:pPr>
        <w:spacing w:after="0" w:line="15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80" w:hanging="547"/>
        <w:spacing w:after="0" w:line="306" w:lineRule="auto"/>
        <w:tabs>
          <w:tab w:leader="none" w:pos="543" w:val="left"/>
        </w:tabs>
        <w:numPr>
          <w:ilvl w:val="0"/>
          <w:numId w:val="16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Non-Exclusivity of this Plan; Non-Uniform Determinations. </w:t>
      </w:r>
      <w:r>
        <w:rPr>
          <w:rFonts w:ascii="Arial" w:cs="Arial" w:eastAsia="Arial" w:hAnsi="Arial"/>
          <w:sz w:val="14"/>
          <w:szCs w:val="14"/>
          <w:color w:val="auto"/>
        </w:rPr>
        <w:t>Neither the adoption of this Plan by the Board of Directors nor the approval of this Plan by the stockholders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shall be construed as creating any limitations on the power of the Board of Directors to adopt such other incentive arrangements as it may deem desirable, including, without limitation, the granting of stock options otherwise than under this Plan, and such arrangements may be either applicable generally or only in specific cases.</w:t>
      </w:r>
    </w:p>
    <w:p>
      <w:pPr>
        <w:spacing w:after="0" w:line="131" w:lineRule="exact"/>
        <w:rPr>
          <w:sz w:val="20"/>
          <w:szCs w:val="20"/>
          <w:color w:val="auto"/>
        </w:rPr>
      </w:pPr>
    </w:p>
    <w:p>
      <w:pPr>
        <w:ind w:left="547" w:right="120" w:firstLine="556"/>
        <w:spacing w:after="0" w:line="264" w:lineRule="auto"/>
        <w:rPr>
          <w:sz w:val="20"/>
          <w:szCs w:val="20"/>
          <w:color w:val="auto"/>
        </w:rPr>
      </w:pPr>
      <w:r>
        <w:rPr>
          <w:rFonts w:ascii="Arial" w:cs="Arial" w:eastAsia="Arial" w:hAnsi="Arial"/>
          <w:sz w:val="15"/>
          <w:szCs w:val="15"/>
          <w:color w:val="auto"/>
        </w:rPr>
        <w:t>The determinations of the Board of Directors under this Plan need not be uniform and may be made by it selectively among persons who receive or are eligible to receive Options or Restricted Stock Awards under this Plan (whether or not such persons are similarly situated). Without limiting the generality of the foregoing, the Board of Directors shall be entitled, among other things, to make non-uniform and selective determinations, and to enter into non-uniform and selective Option Agreements and Restricted Stock Agreements, as to (a) the persons to receive Options or Restricted Stock Awards under this Plan, (b) the terms and provisions of Options or Restricted Stock Awards, (c) the exercise by the Board of Directors of its discretion in respect of the exercise of Options pursuant to the terms of this Plan, and (d) the treatment of leaves of absence pursuant to Section 10 hereof.</w:t>
      </w:r>
    </w:p>
    <w:p>
      <w:pPr>
        <w:spacing w:after="0" w:line="153" w:lineRule="exact"/>
        <w:rPr>
          <w:sz w:val="20"/>
          <w:szCs w:val="20"/>
          <w:color w:val="auto"/>
        </w:rPr>
      </w:pPr>
    </w:p>
    <w:p>
      <w:pPr>
        <w:ind w:left="547" w:right="420" w:hanging="547"/>
        <w:spacing w:after="0" w:line="298" w:lineRule="auto"/>
        <w:tabs>
          <w:tab w:leader="none" w:pos="543"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This Plan and each Option or Restricted Stock Agreement shall be governed by the laws of The Commonwealth of Massachusetts, without regard to its</w:t>
      </w:r>
      <w:r>
        <w:rPr>
          <w:rFonts w:ascii="Arial" w:cs="Arial" w:eastAsia="Arial" w:hAnsi="Arial"/>
          <w:sz w:val="15"/>
          <w:szCs w:val="15"/>
          <w:b w:val="1"/>
          <w:bCs w:val="1"/>
          <w:color w:val="auto"/>
        </w:rPr>
        <w:t xml:space="preserve"> </w:t>
      </w:r>
      <w:r>
        <w:rPr>
          <w:rFonts w:ascii="Arial" w:cs="Arial" w:eastAsia="Arial" w:hAnsi="Arial"/>
          <w:sz w:val="15"/>
          <w:szCs w:val="15"/>
          <w:color w:val="auto"/>
        </w:rPr>
        <w:t>principles of conflicts of law.</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INCENTIVE STOCK OPTION</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Granted by</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 (the “</w:t>
      </w:r>
      <w:r>
        <w:rPr>
          <w:rFonts w:ascii="Arial" w:cs="Arial" w:eastAsia="Arial" w:hAnsi="Arial"/>
          <w:sz w:val="15"/>
          <w:szCs w:val="15"/>
          <w:b w:val="1"/>
          <w:bCs w:val="1"/>
          <w:u w:val="single" w:color="auto"/>
          <w:color w:val="auto"/>
        </w:rPr>
        <w:t>Company</w:t>
      </w:r>
      <w:r>
        <w:rPr>
          <w:rFonts w:ascii="Arial" w:cs="Arial" w:eastAsia="Arial" w:hAnsi="Arial"/>
          <w:sz w:val="15"/>
          <w:szCs w:val="15"/>
          <w:b w:val="1"/>
          <w:bCs w:val="1"/>
          <w:color w:val="auto"/>
        </w:rPr>
        <w:t>”)</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Under the 2008 Stock Incentive Plan</w:t>
      </w:r>
    </w:p>
    <w:p>
      <w:pPr>
        <w:spacing w:after="0" w:line="198" w:lineRule="exact"/>
        <w:rPr>
          <w:sz w:val="20"/>
          <w:szCs w:val="20"/>
          <w:color w:val="auto"/>
        </w:rPr>
      </w:pPr>
    </w:p>
    <w:p>
      <w:pPr>
        <w:ind w:left="7" w:right="100" w:firstLine="556"/>
        <w:spacing w:after="0" w:line="268" w:lineRule="auto"/>
        <w:rPr>
          <w:sz w:val="20"/>
          <w:szCs w:val="20"/>
          <w:color w:val="auto"/>
        </w:rPr>
      </w:pPr>
      <w:r>
        <w:rPr>
          <w:rFonts w:ascii="Arial" w:cs="Arial" w:eastAsia="Arial" w:hAnsi="Arial"/>
          <w:sz w:val="15"/>
          <w:szCs w:val="15"/>
          <w:color w:val="auto"/>
        </w:rPr>
        <w:t>This Option is and shall be subject in every respect to the provisions of the Company’s 2008 Stock Incentive Plan, as amended from time to time, which is incorporated herein by reference and made a part hereof. The holder of this Option (the “</w:t>
      </w:r>
      <w:r>
        <w:rPr>
          <w:rFonts w:ascii="Arial" w:cs="Arial" w:eastAsia="Arial" w:hAnsi="Arial"/>
          <w:sz w:val="15"/>
          <w:szCs w:val="15"/>
          <w:u w:val="single" w:color="auto"/>
          <w:color w:val="auto"/>
        </w:rPr>
        <w:t>Holder</w:t>
      </w:r>
      <w:r>
        <w:rPr>
          <w:rFonts w:ascii="Arial" w:cs="Arial" w:eastAsia="Arial" w:hAnsi="Arial"/>
          <w:sz w:val="15"/>
          <w:szCs w:val="15"/>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1.</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Name of Holder:</w:t>
            </w:r>
          </w:p>
        </w:tc>
        <w:tc>
          <w:tcPr>
            <w:tcW w:w="1500" w:type="dxa"/>
            <w:vAlign w:val="bottom"/>
          </w:tcPr>
          <w:p>
            <w:pPr>
              <w:ind w:left="260"/>
              <w:spacing w:after="0"/>
              <w:rPr>
                <w:sz w:val="20"/>
                <w:szCs w:val="20"/>
                <w:color w:val="auto"/>
              </w:rPr>
            </w:pPr>
            <w:r>
              <w:rPr>
                <w:rFonts w:ascii="Arial" w:cs="Arial" w:eastAsia="Arial" w:hAnsi="Arial"/>
                <w:sz w:val="15"/>
                <w:szCs w:val="15"/>
                <w:color w:val="auto"/>
                <w:w w:val="93"/>
              </w:rPr>
              <w:t>[Name of Optionee]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2.</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Date of Grant:</w:t>
            </w:r>
          </w:p>
        </w:tc>
        <w:tc>
          <w:tcPr>
            <w:tcW w:w="1500" w:type="dxa"/>
            <w:vAlign w:val="bottom"/>
          </w:tcPr>
          <w:p>
            <w:pPr>
              <w:ind w:left="260"/>
              <w:spacing w:after="0"/>
              <w:rPr>
                <w:sz w:val="20"/>
                <w:szCs w:val="20"/>
                <w:color w:val="auto"/>
              </w:rPr>
            </w:pPr>
            <w:r>
              <w:rPr>
                <w:rFonts w:ascii="Arial" w:cs="Arial" w:eastAsia="Arial" w:hAnsi="Arial"/>
                <w:sz w:val="15"/>
                <w:szCs w:val="15"/>
                <w:color w:val="auto"/>
              </w:rPr>
              <w:t>[Date]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3.</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Vesting Start Date:</w:t>
            </w:r>
          </w:p>
        </w:tc>
        <w:tc>
          <w:tcPr>
            <w:tcW w:w="1500" w:type="dxa"/>
            <w:vAlign w:val="bottom"/>
          </w:tcPr>
          <w:p>
            <w:pPr>
              <w:ind w:left="260"/>
              <w:spacing w:after="0"/>
              <w:rPr>
                <w:sz w:val="20"/>
                <w:szCs w:val="20"/>
                <w:color w:val="auto"/>
              </w:rPr>
            </w:pPr>
            <w:r>
              <w:rPr>
                <w:rFonts w:ascii="Arial" w:cs="Arial" w:eastAsia="Arial" w:hAnsi="Arial"/>
                <w:sz w:val="15"/>
                <w:szCs w:val="15"/>
                <w:color w:val="auto"/>
              </w:rPr>
              <w:t>[Date of Hire]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4.</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w w:val="98"/>
              </w:rPr>
              <w:t>Maximum number of shares for which this Option is exercisable:</w:t>
            </w:r>
          </w:p>
        </w:tc>
        <w:tc>
          <w:tcPr>
            <w:tcW w:w="1500" w:type="dxa"/>
            <w:vAlign w:val="bottom"/>
          </w:tcPr>
          <w:p>
            <w:pPr>
              <w:ind w:left="260"/>
              <w:spacing w:after="0"/>
              <w:rPr>
                <w:sz w:val="20"/>
                <w:szCs w:val="20"/>
                <w:color w:val="auto"/>
              </w:rPr>
            </w:pPr>
            <w:r>
              <w:rPr>
                <w:rFonts w:ascii="Arial" w:cs="Arial" w:eastAsia="Arial" w:hAnsi="Arial"/>
                <w:sz w:val="15"/>
                <w:szCs w:val="15"/>
                <w:color w:val="auto"/>
              </w:rPr>
              <w:t>[number]</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5.</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Exercise (purchase) price per share:</w:t>
            </w:r>
          </w:p>
        </w:tc>
        <w:tc>
          <w:tcPr>
            <w:tcW w:w="1500" w:type="dxa"/>
            <w:vAlign w:val="bottom"/>
          </w:tcPr>
          <w:p>
            <w:pPr>
              <w:ind w:left="260"/>
              <w:spacing w:after="0"/>
              <w:rPr>
                <w:sz w:val="20"/>
                <w:szCs w:val="20"/>
                <w:color w:val="auto"/>
              </w:rPr>
            </w:pPr>
            <w:r>
              <w:rPr>
                <w:rFonts w:ascii="Arial" w:cs="Arial" w:eastAsia="Arial" w:hAnsi="Arial"/>
                <w:sz w:val="15"/>
                <w:szCs w:val="15"/>
                <w:color w:val="auto"/>
              </w:rPr>
              <w:t>[$ . ]</w:t>
            </w:r>
          </w:p>
        </w:tc>
      </w:tr>
    </w:tbl>
    <w:p>
      <w:pPr>
        <w:spacing w:after="0" w:line="169" w:lineRule="exact"/>
        <w:rPr>
          <w:sz w:val="20"/>
          <w:szCs w:val="20"/>
          <w:color w:val="auto"/>
        </w:rPr>
      </w:pPr>
    </w:p>
    <w:p>
      <w:pPr>
        <w:ind w:left="547" w:hanging="547"/>
        <w:spacing w:after="0"/>
        <w:tabs>
          <w:tab w:leader="none" w:pos="547" w:val="left"/>
        </w:tabs>
        <w:numPr>
          <w:ilvl w:val="0"/>
          <w:numId w:val="162"/>
        </w:numPr>
        <w:rPr>
          <w:rFonts w:ascii="Arial" w:cs="Arial" w:eastAsia="Arial" w:hAnsi="Arial"/>
          <w:sz w:val="15"/>
          <w:szCs w:val="15"/>
          <w:color w:val="auto"/>
        </w:rPr>
      </w:pPr>
      <w:r>
        <w:rPr>
          <w:rFonts w:ascii="Arial" w:cs="Arial" w:eastAsia="Arial" w:hAnsi="Arial"/>
          <w:sz w:val="15"/>
          <w:szCs w:val="15"/>
          <w:b w:val="1"/>
          <w:bCs w:val="1"/>
          <w:color w:val="auto"/>
        </w:rPr>
        <w:t>Payment method:</w:t>
      </w:r>
    </w:p>
    <w:p>
      <w:pPr>
        <w:spacing w:after="0" w:line="204" w:lineRule="exact"/>
        <w:rPr>
          <w:rFonts w:ascii="Arial" w:cs="Arial" w:eastAsia="Arial" w:hAnsi="Arial"/>
          <w:sz w:val="15"/>
          <w:szCs w:val="15"/>
          <w:color w:val="auto"/>
        </w:rPr>
      </w:pPr>
    </w:p>
    <w:p>
      <w:pPr>
        <w:ind w:left="1107" w:right="40" w:hanging="551"/>
        <w:spacing w:after="0" w:line="289" w:lineRule="auto"/>
        <w:tabs>
          <w:tab w:leader="none" w:pos="1126" w:val="left"/>
        </w:tabs>
        <w:numPr>
          <w:ilvl w:val="1"/>
          <w:numId w:val="162"/>
        </w:numPr>
        <w:rPr>
          <w:rFonts w:ascii="Arial" w:cs="Arial" w:eastAsia="Arial" w:hAnsi="Arial"/>
          <w:sz w:val="15"/>
          <w:szCs w:val="15"/>
          <w:color w:val="auto"/>
        </w:rPr>
      </w:pPr>
      <w:r>
        <w:rPr>
          <w:rFonts w:ascii="Arial" w:cs="Arial" w:eastAsia="Arial" w:hAnsi="Arial"/>
          <w:sz w:val="15"/>
          <w:szCs w:val="15"/>
          <w:color w:val="auto"/>
        </w:rPr>
        <w:t>a personal, certified or bank check or postal money order payable to the order of the Company for an amount equal to the exercise price of the shares being purchased; or</w:t>
      </w:r>
    </w:p>
    <w:p>
      <w:pPr>
        <w:spacing w:after="0" w:line="140" w:lineRule="exact"/>
        <w:rPr>
          <w:rFonts w:ascii="Arial" w:cs="Arial" w:eastAsia="Arial" w:hAnsi="Arial"/>
          <w:sz w:val="15"/>
          <w:szCs w:val="15"/>
          <w:color w:val="auto"/>
        </w:rPr>
      </w:pPr>
    </w:p>
    <w:p>
      <w:pPr>
        <w:ind w:left="1147" w:hanging="591"/>
        <w:spacing w:after="0"/>
        <w:tabs>
          <w:tab w:leader="none" w:pos="1147" w:val="left"/>
        </w:tabs>
        <w:numPr>
          <w:ilvl w:val="1"/>
          <w:numId w:val="162"/>
        </w:numPr>
        <w:rPr>
          <w:rFonts w:ascii="Arial" w:cs="Arial" w:eastAsia="Arial" w:hAnsi="Arial"/>
          <w:sz w:val="15"/>
          <w:szCs w:val="15"/>
          <w:color w:val="auto"/>
        </w:rPr>
      </w:pPr>
      <w:r>
        <w:rPr>
          <w:rFonts w:ascii="Arial" w:cs="Arial" w:eastAsia="Arial" w:hAnsi="Arial"/>
          <w:sz w:val="15"/>
          <w:szCs w:val="15"/>
          <w:color w:val="auto"/>
        </w:rPr>
        <w:t>with the consent of the Company, any of the other methods set forth in the Plan.</w:t>
      </w:r>
    </w:p>
    <w:p>
      <w:pPr>
        <w:spacing w:after="0" w:line="192" w:lineRule="exact"/>
        <w:rPr>
          <w:sz w:val="20"/>
          <w:szCs w:val="20"/>
          <w:color w:val="auto"/>
        </w:rPr>
      </w:pPr>
    </w:p>
    <w:p>
      <w:pPr>
        <w:ind w:left="7"/>
        <w:spacing w:after="0"/>
        <w:tabs>
          <w:tab w:leader="none" w:pos="527" w:val="left"/>
          <w:tab w:leader="none" w:pos="5347"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5"/>
          <w:szCs w:val="15"/>
          <w:b w:val="1"/>
          <w:bCs w:val="1"/>
          <w:color w:val="auto"/>
        </w:rPr>
        <w:t>Expiration Date of Option:</w:t>
      </w:r>
      <w:r>
        <w:rPr>
          <w:sz w:val="20"/>
          <w:szCs w:val="20"/>
          <w:color w:val="auto"/>
        </w:rPr>
        <w:tab/>
      </w:r>
      <w:r>
        <w:rPr>
          <w:rFonts w:ascii="Arial" w:cs="Arial" w:eastAsia="Arial" w:hAnsi="Arial"/>
          <w:sz w:val="14"/>
          <w:szCs w:val="14"/>
          <w:color w:val="auto"/>
        </w:rPr>
        <w:t>[Grant Date + 10 years]</w:t>
      </w:r>
    </w:p>
    <w:p>
      <w:pPr>
        <w:spacing w:after="0" w:line="198" w:lineRule="exact"/>
        <w:rPr>
          <w:sz w:val="20"/>
          <w:szCs w:val="20"/>
          <w:color w:val="auto"/>
        </w:rPr>
      </w:pPr>
    </w:p>
    <w:p>
      <w:pPr>
        <w:ind w:left="547" w:hanging="547"/>
        <w:spacing w:after="0" w:line="271" w:lineRule="auto"/>
        <w:tabs>
          <w:tab w:leader="none" w:pos="547"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 xml:space="preserve">Vesting Schedule: </w:t>
      </w:r>
      <w:r>
        <w:rPr>
          <w:rFonts w:ascii="Arial" w:cs="Arial" w:eastAsia="Arial" w:hAnsi="Arial"/>
          <w:sz w:val="15"/>
          <w:szCs w:val="15"/>
          <w:color w:val="auto"/>
        </w:rPr>
        <w:t>This Option shall become exercisable for 25% of the maximum number of shares granted on the first anniversary of the Vesting Start Date,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become exercisable for an additional 2.0833% on the last day of each month thereafter until the Option is fully vested,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Option shall be deemed to be fully vested immediately prior to the consummation of a Qualified Sale (as defined below)]. All vesting shall cease upon the date of termination of employment or provision of services.</w:t>
      </w:r>
    </w:p>
    <w:p>
      <w:pPr>
        <w:spacing w:after="0" w:line="153" w:lineRule="exact"/>
        <w:rPr>
          <w:rFonts w:ascii="Arial" w:cs="Arial" w:eastAsia="Arial" w:hAnsi="Arial"/>
          <w:sz w:val="15"/>
          <w:szCs w:val="15"/>
          <w:color w:val="auto"/>
        </w:rPr>
      </w:pPr>
    </w:p>
    <w:p>
      <w:pPr>
        <w:ind w:left="547" w:right="480"/>
        <w:spacing w:after="0" w:line="289"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Sale</w:t>
      </w:r>
      <w:r>
        <w:rPr>
          <w:rFonts w:ascii="Arial" w:cs="Arial" w:eastAsia="Arial" w:hAnsi="Arial"/>
          <w:sz w:val="15"/>
          <w:szCs w:val="15"/>
          <w:color w:val="auto"/>
        </w:rPr>
        <w:t>” shall mean the sale of all or substantially all of assets or issued and outstanding capital stock of the Company, or merger or consolidation involving the Company in which stockholders of the Company immediately before such merger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4" w:lineRule="exact"/>
        <w:rPr>
          <w:rFonts w:ascii="Arial" w:cs="Arial" w:eastAsia="Arial" w:hAnsi="Arial"/>
          <w:sz w:val="15"/>
          <w:szCs w:val="15"/>
          <w:color w:val="auto"/>
        </w:rPr>
      </w:pPr>
    </w:p>
    <w:p>
      <w:pPr>
        <w:ind w:left="547" w:right="260"/>
        <w:spacing w:after="0" w:line="327" w:lineRule="auto"/>
        <w:rPr>
          <w:rFonts w:ascii="Arial" w:cs="Arial" w:eastAsia="Arial" w:hAnsi="Arial"/>
          <w:sz w:val="15"/>
          <w:szCs w:val="15"/>
          <w:color w:val="auto"/>
        </w:rPr>
      </w:pPr>
      <w:r>
        <w:rPr>
          <w:rFonts w:ascii="Arial" w:cs="Arial" w:eastAsia="Arial" w:hAnsi="Arial"/>
          <w:sz w:val="14"/>
          <w:szCs w:val="14"/>
          <w:color w:val="auto"/>
        </w:rPr>
        <w:t>consolidation do not own immediately after such merger or consolidation capital stock or other equity interests of the surviving corporation or entity representing more than fifty percent in voting power of capital stock or other equity interests of such surviving corporation or entity outstanding immediately after such merger or consolidation.]</w:t>
      </w:r>
    </w:p>
    <w:p>
      <w:pPr>
        <w:spacing w:after="0" w:line="117" w:lineRule="exact"/>
        <w:rPr>
          <w:rFonts w:ascii="Arial" w:cs="Arial" w:eastAsia="Arial" w:hAnsi="Arial"/>
          <w:sz w:val="15"/>
          <w:szCs w:val="15"/>
          <w:color w:val="auto"/>
        </w:rPr>
      </w:pPr>
    </w:p>
    <w:p>
      <w:pPr>
        <w:ind w:left="547" w:right="20"/>
        <w:spacing w:after="0" w:line="268" w:lineRule="auto"/>
        <w:rPr>
          <w:rFonts w:ascii="Arial" w:cs="Arial" w:eastAsia="Arial" w:hAnsi="Arial"/>
          <w:sz w:val="15"/>
          <w:szCs w:val="15"/>
          <w:color w:val="auto"/>
        </w:rPr>
      </w:pPr>
      <w:r>
        <w:rPr>
          <w:rFonts w:ascii="Arial" w:cs="Arial" w:eastAsia="Arial" w:hAnsi="Arial"/>
          <w:sz w:val="15"/>
          <w:szCs w:val="15"/>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stock restriction agreement containing a “reverse vesting” schedule effectively equivalent to the Vesting Schedule set forth herein, pursuant to which the Holder agrees to sell back any unvested shares at cost should he or she leave the employ of the Company prior to full vesting.</w:t>
      </w:r>
    </w:p>
    <w:p>
      <w:pPr>
        <w:spacing w:after="0" w:line="150" w:lineRule="exact"/>
        <w:rPr>
          <w:rFonts w:ascii="Arial" w:cs="Arial" w:eastAsia="Arial" w:hAnsi="Arial"/>
          <w:sz w:val="15"/>
          <w:szCs w:val="15"/>
          <w:color w:val="auto"/>
        </w:rPr>
      </w:pPr>
    </w:p>
    <w:p>
      <w:pPr>
        <w:ind w:left="547" w:hanging="547"/>
        <w:spacing w:after="0"/>
        <w:tabs>
          <w:tab w:leader="none" w:pos="547" w:val="left"/>
        </w:tabs>
        <w:numPr>
          <w:ilvl w:val="0"/>
          <w:numId w:val="163"/>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Employment. </w:t>
      </w:r>
      <w:r>
        <w:rPr>
          <w:rFonts w:ascii="Arial" w:cs="Arial" w:eastAsia="Arial" w:hAnsi="Arial"/>
          <w:sz w:val="15"/>
          <w:szCs w:val="15"/>
          <w:color w:val="auto"/>
        </w:rPr>
        <w:t>This Option shall terminate on the earliest to occur of:</w:t>
      </w:r>
    </w:p>
    <w:p>
      <w:pPr>
        <w:spacing w:after="0" w:line="204" w:lineRule="exact"/>
        <w:rPr>
          <w:rFonts w:ascii="Arial" w:cs="Arial" w:eastAsia="Arial" w:hAnsi="Arial"/>
          <w:sz w:val="15"/>
          <w:szCs w:val="15"/>
          <w:color w:val="auto"/>
        </w:rPr>
      </w:pPr>
    </w:p>
    <w:p>
      <w:pPr>
        <w:ind w:left="1127" w:hanging="571"/>
        <w:spacing w:after="0"/>
        <w:tabs>
          <w:tab w:leader="none" w:pos="1127"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date of expiration thereof;</w:t>
      </w:r>
    </w:p>
    <w:p>
      <w:pPr>
        <w:spacing w:after="0" w:line="198" w:lineRule="exact"/>
        <w:rPr>
          <w:rFonts w:ascii="Arial" w:cs="Arial" w:eastAsia="Arial" w:hAnsi="Arial"/>
          <w:sz w:val="15"/>
          <w:szCs w:val="15"/>
          <w:color w:val="auto"/>
        </w:rPr>
      </w:pPr>
    </w:p>
    <w:p>
      <w:pPr>
        <w:ind w:left="1147" w:hanging="591"/>
        <w:spacing w:after="0"/>
        <w:tabs>
          <w:tab w:leader="none" w:pos="1147" w:val="left"/>
        </w:tabs>
        <w:numPr>
          <w:ilvl w:val="1"/>
          <w:numId w:val="163"/>
        </w:numPr>
        <w:rPr>
          <w:rFonts w:ascii="Arial" w:cs="Arial" w:eastAsia="Arial" w:hAnsi="Arial"/>
          <w:sz w:val="15"/>
          <w:szCs w:val="15"/>
          <w:color w:val="auto"/>
        </w:rPr>
      </w:pPr>
      <w:r>
        <w:rPr>
          <w:rFonts w:ascii="Arial" w:cs="Arial" w:eastAsia="Arial" w:hAnsi="Arial"/>
          <w:sz w:val="15"/>
          <w:szCs w:val="15"/>
          <w:color w:val="auto"/>
        </w:rPr>
        <w:t>90 days after termination of the Holder’s employment with or services to the Company by the Company for Cause (as defined in the Plan);</w:t>
      </w:r>
    </w:p>
    <w:p>
      <w:pPr>
        <w:spacing w:after="0" w:line="198" w:lineRule="exact"/>
        <w:rPr>
          <w:rFonts w:ascii="Arial" w:cs="Arial" w:eastAsia="Arial" w:hAnsi="Arial"/>
          <w:sz w:val="15"/>
          <w:szCs w:val="15"/>
          <w:color w:val="auto"/>
        </w:rPr>
      </w:pPr>
    </w:p>
    <w:p>
      <w:pPr>
        <w:ind w:left="1147" w:hanging="591"/>
        <w:spacing w:after="0"/>
        <w:tabs>
          <w:tab w:leader="none" w:pos="1147" w:val="left"/>
        </w:tabs>
        <w:numPr>
          <w:ilvl w:val="1"/>
          <w:numId w:val="163"/>
        </w:numPr>
        <w:rPr>
          <w:rFonts w:ascii="Arial" w:cs="Arial" w:eastAsia="Arial" w:hAnsi="Arial"/>
          <w:sz w:val="14"/>
          <w:szCs w:val="14"/>
          <w:color w:val="auto"/>
        </w:rPr>
      </w:pPr>
      <w:r>
        <w:rPr>
          <w:rFonts w:ascii="Arial" w:cs="Arial" w:eastAsia="Arial" w:hAnsi="Arial"/>
          <w:sz w:val="14"/>
          <w:szCs w:val="14"/>
          <w:color w:val="auto"/>
        </w:rPr>
        <w:t>90 days after the date of voluntary termination of employment or services by the Holder (other than for death or permanent disability as defined in the Plan); or</w:t>
      </w:r>
    </w:p>
    <w:p>
      <w:pPr>
        <w:spacing w:after="0" w:line="209" w:lineRule="exact"/>
        <w:rPr>
          <w:rFonts w:ascii="Arial" w:cs="Arial" w:eastAsia="Arial" w:hAnsi="Arial"/>
          <w:sz w:val="14"/>
          <w:szCs w:val="14"/>
          <w:color w:val="auto"/>
        </w:rPr>
      </w:pPr>
    </w:p>
    <w:p>
      <w:pPr>
        <w:ind w:left="1107" w:right="120" w:hanging="551"/>
        <w:spacing w:after="0" w:line="289" w:lineRule="auto"/>
        <w:tabs>
          <w:tab w:leader="none" w:pos="1122" w:val="left"/>
        </w:tabs>
        <w:numPr>
          <w:ilvl w:val="1"/>
          <w:numId w:val="163"/>
        </w:numPr>
        <w:rPr>
          <w:rFonts w:ascii="Arial" w:cs="Arial" w:eastAsia="Arial" w:hAnsi="Arial"/>
          <w:sz w:val="15"/>
          <w:szCs w:val="15"/>
          <w:color w:val="auto"/>
        </w:rPr>
      </w:pPr>
      <w:r>
        <w:rPr>
          <w:rFonts w:ascii="Arial" w:cs="Arial" w:eastAsia="Arial" w:hAnsi="Arial"/>
          <w:sz w:val="15"/>
          <w:szCs w:val="15"/>
          <w:color w:val="auto"/>
        </w:rPr>
        <w:t>90 days after the date of termination of the Holder’s employment with or services to the Company by the Company without Cause (other than for death or permanent disability as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-2472690</wp:posOffset>
            </wp:positionV>
            <wp:extent cx="7285990" cy="27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7"/>
          </w:cols>
          <w:pgMar w:left="233" w:top="129" w:right="219" w:bottom="0" w:gutter="0" w:footer="0" w:header="0"/>
        </w:sectPr>
      </w:pPr>
    </w:p>
    <w:bookmarkStart w:id="295" w:name="page296"/>
    <w:bookmarkEnd w:id="295"/>
    <w:p>
      <w:pPr>
        <w:spacing w:after="0" w:line="28" w:lineRule="exact"/>
        <w:rPr>
          <w:sz w:val="20"/>
          <w:szCs w:val="20"/>
          <w:color w:val="auto"/>
        </w:rPr>
      </w:pPr>
    </w:p>
    <w:p>
      <w:pPr>
        <w:ind w:left="547" w:right="520" w:hanging="547"/>
        <w:spacing w:after="0" w:line="298" w:lineRule="auto"/>
        <w:tabs>
          <w:tab w:leader="none" w:pos="543"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 xml:space="preserve">Company’s Right of First Refusal. </w:t>
      </w:r>
      <w:r>
        <w:rPr>
          <w:rFonts w:ascii="Arial" w:cs="Arial" w:eastAsia="Arial" w:hAnsi="Arial"/>
          <w:sz w:val="15"/>
          <w:szCs w:val="15"/>
          <w:color w:val="auto"/>
        </w:rPr>
        <w:t>Prior to the effective date of a registration statement covering shares of the Company’s Common Stock, any shares of stock issued</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exercise of this Option shall be subject to the Company’s right of first refusal as set forth at Appendix A.</w:t>
      </w:r>
    </w:p>
    <w:p>
      <w:pPr>
        <w:spacing w:after="0" w:line="127" w:lineRule="exact"/>
        <w:rPr>
          <w:rFonts w:ascii="Arial" w:cs="Arial" w:eastAsia="Arial" w:hAnsi="Arial"/>
          <w:sz w:val="15"/>
          <w:szCs w:val="15"/>
          <w:color w:val="auto"/>
        </w:rPr>
      </w:pPr>
    </w:p>
    <w:p>
      <w:pPr>
        <w:ind w:left="547" w:right="140" w:hanging="547"/>
        <w:spacing w:after="0" w:line="271" w:lineRule="auto"/>
        <w:tabs>
          <w:tab w:leader="none" w:pos="538"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 xml:space="preserve">Lock-Up Agreement. </w:t>
      </w:r>
      <w:r>
        <w:rPr>
          <w:rFonts w:ascii="Arial" w:cs="Arial" w:eastAsia="Arial" w:hAnsi="Arial"/>
          <w:sz w:val="15"/>
          <w:szCs w:val="15"/>
          <w:color w:val="auto"/>
        </w:rPr>
        <w:t>The Holder agrees for a period of up to 180 days from the effective date of any registration of securities of the Company under the Securities Act of</w:t>
      </w:r>
      <w:r>
        <w:rPr>
          <w:rFonts w:ascii="Arial" w:cs="Arial" w:eastAsia="Arial" w:hAnsi="Arial"/>
          <w:sz w:val="15"/>
          <w:szCs w:val="15"/>
          <w:b w:val="1"/>
          <w:bCs w:val="1"/>
          <w:color w:val="auto"/>
        </w:rPr>
        <w:t xml:space="preserve"> </w:t>
      </w:r>
      <w:r>
        <w:rPr>
          <w:rFonts w:ascii="Arial" w:cs="Arial" w:eastAsia="Arial" w:hAnsi="Arial"/>
          <w:sz w:val="15"/>
          <w:szCs w:val="15"/>
          <w:color w:val="auto"/>
        </w:rPr>
        <w:t>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upon request of the Company or underwriters managing any underwritten offering of the Company’s securities, not to sell, make any short sale of, loan, grant any option for the purchase of, or otherwise dispose of any shares issued pursuant to the exercise of this Option, without the prior written consent of the Company and such underwriters.</w:t>
      </w:r>
    </w:p>
    <w:p>
      <w:pPr>
        <w:spacing w:after="0" w:line="147" w:lineRule="exact"/>
        <w:rPr>
          <w:rFonts w:ascii="Arial" w:cs="Arial" w:eastAsia="Arial" w:hAnsi="Arial"/>
          <w:sz w:val="15"/>
          <w:szCs w:val="15"/>
          <w:color w:val="auto"/>
        </w:rPr>
      </w:pPr>
    </w:p>
    <w:p>
      <w:pPr>
        <w:ind w:left="547" w:right="640" w:hanging="547"/>
        <w:spacing w:after="0" w:line="298" w:lineRule="auto"/>
        <w:tabs>
          <w:tab w:leader="none" w:pos="543"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Company’s obligation to deliver shares shall be subject to the Holder’s satisfaction of any federal, state and local income and employment tax</w:t>
      </w:r>
      <w:r>
        <w:rPr>
          <w:rFonts w:ascii="Arial" w:cs="Arial" w:eastAsia="Arial" w:hAnsi="Arial"/>
          <w:sz w:val="15"/>
          <w:szCs w:val="15"/>
          <w:b w:val="1"/>
          <w:bCs w:val="1"/>
          <w:color w:val="auto"/>
        </w:rPr>
        <w:t xml:space="preserve"> </w:t>
      </w:r>
      <w:r>
        <w:rPr>
          <w:rFonts w:ascii="Arial" w:cs="Arial" w:eastAsia="Arial" w:hAnsi="Arial"/>
          <w:sz w:val="15"/>
          <w:szCs w:val="15"/>
          <w:color w:val="auto"/>
        </w:rPr>
        <w:t>withholding requirements.</w:t>
      </w:r>
    </w:p>
    <w:p>
      <w:pPr>
        <w:spacing w:after="0" w:line="127" w:lineRule="exact"/>
        <w:rPr>
          <w:rFonts w:ascii="Arial" w:cs="Arial" w:eastAsia="Arial" w:hAnsi="Arial"/>
          <w:sz w:val="15"/>
          <w:szCs w:val="15"/>
          <w:color w:val="auto"/>
        </w:rPr>
      </w:pPr>
    </w:p>
    <w:p>
      <w:pPr>
        <w:ind w:left="547" w:right="220" w:hanging="547"/>
        <w:spacing w:after="0" w:line="381" w:lineRule="auto"/>
        <w:tabs>
          <w:tab w:leader="none" w:pos="543" w:val="left"/>
        </w:tabs>
        <w:numPr>
          <w:ilvl w:val="0"/>
          <w:numId w:val="164"/>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Any notice to be given to the Company hereunder shall be deemed sufficient if addressed to the Company and delivered to the office of the Company, Selecta</w:t>
      </w:r>
      <w:r>
        <w:rPr>
          <w:rFonts w:ascii="Arial" w:cs="Arial" w:eastAsia="Arial" w:hAnsi="Arial"/>
          <w:sz w:val="13"/>
          <w:szCs w:val="13"/>
          <w:b w:val="1"/>
          <w:bCs w:val="1"/>
          <w:color w:val="auto"/>
        </w:rPr>
        <w:t xml:space="preserve"> </w:t>
      </w:r>
      <w:r>
        <w:rPr>
          <w:rFonts w:ascii="Arial" w:cs="Arial" w:eastAsia="Arial" w:hAnsi="Arial"/>
          <w:sz w:val="13"/>
          <w:szCs w:val="13"/>
          <w:color w:val="auto"/>
        </w:rPr>
        <w:t>Biosciences, Inc., 480 Arsenal Street, Building One, Watertown, MA 02472, to the attention of the President, or such other address as the Company may hereafter designate.</w:t>
      </w:r>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7" w:right="140"/>
        <w:spacing w:after="0" w:line="289" w:lineRule="auto"/>
        <w:rPr>
          <w:sz w:val="20"/>
          <w:szCs w:val="20"/>
          <w:color w:val="auto"/>
        </w:rPr>
      </w:pPr>
      <w:r>
        <w:rPr>
          <w:rFonts w:ascii="Arial" w:cs="Arial" w:eastAsia="Arial" w:hAnsi="Arial"/>
          <w:sz w:val="15"/>
          <w:szCs w:val="15"/>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141" w:lineRule="exact"/>
        <w:rPr>
          <w:sz w:val="20"/>
          <w:szCs w:val="20"/>
          <w:color w:val="auto"/>
        </w:rPr>
      </w:pPr>
    </w:p>
    <w:p>
      <w:pPr>
        <w:ind w:left="547"/>
        <w:spacing w:after="0"/>
        <w:rPr>
          <w:sz w:val="20"/>
          <w:szCs w:val="20"/>
          <w:color w:val="auto"/>
        </w:rPr>
      </w:pPr>
      <w:r>
        <w:rPr>
          <w:rFonts w:ascii="Arial" w:cs="Arial" w:eastAsia="Arial" w:hAnsi="Arial"/>
          <w:sz w:val="15"/>
          <w:szCs w:val="15"/>
          <w:color w:val="auto"/>
        </w:rPr>
        <w:t>IN WITNESS WHEREOF, the parties have executed this Option, or caused this Option to be executed, as of the Date of Grant.</w:t>
      </w:r>
    </w:p>
    <w:p>
      <w:pPr>
        <w:spacing w:after="0" w:line="198" w:lineRule="exact"/>
        <w:rPr>
          <w:sz w:val="20"/>
          <w:szCs w:val="20"/>
          <w:color w:val="auto"/>
        </w:rPr>
      </w:pPr>
    </w:p>
    <w:p>
      <w:pPr>
        <w:ind w:left="5727"/>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14605</wp:posOffset>
            </wp:positionV>
            <wp:extent cx="3324225"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324225" cy="7620"/>
                    </a:xfrm>
                    <a:prstGeom prst="rect">
                      <a:avLst/>
                    </a:prstGeom>
                    <a:noFill/>
                  </pic:spPr>
                </pic:pic>
              </a:graphicData>
            </a:graphic>
          </wp:anchor>
        </w:drawing>
      </w:r>
    </w:p>
    <w:p>
      <w:pPr>
        <w:spacing w:after="0" w:line="4" w:lineRule="exact"/>
        <w:rPr>
          <w:sz w:val="20"/>
          <w:szCs w:val="20"/>
          <w:color w:val="auto"/>
        </w:rPr>
      </w:pPr>
    </w:p>
    <w:p>
      <w:pPr>
        <w:ind w:left="6207"/>
        <w:spacing w:after="0"/>
        <w:rPr>
          <w:sz w:val="20"/>
          <w:szCs w:val="20"/>
          <w:color w:val="auto"/>
        </w:rPr>
      </w:pPr>
      <w:r>
        <w:rPr>
          <w:rFonts w:ascii="Arial" w:cs="Arial" w:eastAsia="Arial" w:hAnsi="Arial"/>
          <w:sz w:val="15"/>
          <w:szCs w:val="15"/>
          <w:color w:val="auto"/>
        </w:rPr>
        <w:t>[Robert L. Bratzler, President]</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375285</wp:posOffset>
            </wp:positionV>
            <wp:extent cx="3632835"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7"/>
        <w:spacing w:after="0"/>
        <w:rPr>
          <w:sz w:val="20"/>
          <w:szCs w:val="20"/>
          <w:color w:val="auto"/>
        </w:rPr>
      </w:pPr>
      <w:r>
        <w:rPr>
          <w:rFonts w:ascii="Arial" w:cs="Arial" w:eastAsia="Arial" w:hAnsi="Arial"/>
          <w:sz w:val="15"/>
          <w:szCs w:val="15"/>
          <w:color w:val="auto"/>
        </w:rPr>
        <w:t>[Optionee]</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APPENDIX A</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15"/>
          <w:szCs w:val="15"/>
          <w:u w:val="single" w:color="auto"/>
          <w:color w:val="auto"/>
        </w:rPr>
        <w:t>Right of First Refusal</w:t>
      </w:r>
    </w:p>
    <w:p>
      <w:pPr>
        <w:spacing w:after="0" w:line="198" w:lineRule="exact"/>
        <w:rPr>
          <w:sz w:val="20"/>
          <w:szCs w:val="20"/>
          <w:color w:val="auto"/>
        </w:rPr>
      </w:pPr>
    </w:p>
    <w:p>
      <w:pPr>
        <w:ind w:left="7" w:right="120" w:firstLine="549"/>
        <w:spacing w:after="0" w:line="265" w:lineRule="auto"/>
        <w:tabs>
          <w:tab w:leader="none" w:pos="1119"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Prior to the effective date of a registration statement under the Securities Act, covering any shares of the Company’s Common Stock and until such time as the Company shall have effected a public offering of its Common Stock registered under the Securities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59" w:lineRule="exact"/>
        <w:rPr>
          <w:rFonts w:ascii="Arial" w:cs="Arial" w:eastAsia="Arial" w:hAnsi="Arial"/>
          <w:sz w:val="15"/>
          <w:szCs w:val="15"/>
          <w:color w:val="auto"/>
        </w:rPr>
      </w:pPr>
    </w:p>
    <w:p>
      <w:pPr>
        <w:jc w:val="both"/>
        <w:ind w:left="7" w:right="220" w:firstLine="549"/>
        <w:spacing w:after="0" w:line="273" w:lineRule="auto"/>
        <w:tabs>
          <w:tab w:leader="none" w:pos="1119"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Notice of Intended Transfer</w:t>
      </w:r>
      <w:r>
        <w:rPr>
          <w:rFonts w:ascii="Arial" w:cs="Arial" w:eastAsia="Arial" w:hAnsi="Arial"/>
          <w:sz w:val="15"/>
          <w:szCs w:val="15"/>
          <w:color w:val="auto"/>
        </w:rPr>
        <w:t>. The notice shall state the number of shares offered, the name of the person 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52" w:lineRule="exact"/>
        <w:rPr>
          <w:rFonts w:ascii="Arial" w:cs="Arial" w:eastAsia="Arial" w:hAnsi="Arial"/>
          <w:sz w:val="15"/>
          <w:szCs w:val="15"/>
          <w:color w:val="auto"/>
        </w:rPr>
      </w:pPr>
    </w:p>
    <w:p>
      <w:pPr>
        <w:ind w:left="7" w:right="20" w:firstLine="549"/>
        <w:spacing w:after="0" w:line="264" w:lineRule="auto"/>
        <w:tabs>
          <w:tab w:leader="none" w:pos="1119"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Company to Accept or Decline Within 30 Days</w:t>
      </w:r>
      <w:r>
        <w:rPr>
          <w:rFonts w:ascii="Arial" w:cs="Arial" w:eastAsia="Arial" w:hAnsi="Arial"/>
          <w:sz w:val="15"/>
          <w:szCs w:val="15"/>
          <w:color w:val="auto"/>
        </w:rPr>
        <w:t>. The Company may accept the offer as to all, but not less than all, such shares by notifying the Holder in writing within 30 days after receipt of such notice of its acceptance of the offer. If the offer is accepted, the Company shall have 60 days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58" w:lineRule="exact"/>
        <w:rPr>
          <w:rFonts w:ascii="Arial" w:cs="Arial" w:eastAsia="Arial" w:hAnsi="Arial"/>
          <w:sz w:val="15"/>
          <w:szCs w:val="15"/>
          <w:color w:val="auto"/>
        </w:rPr>
      </w:pPr>
    </w:p>
    <w:p>
      <w:pPr>
        <w:jc w:val="both"/>
        <w:ind w:left="7" w:right="120" w:firstLine="549"/>
        <w:spacing w:after="0" w:line="273" w:lineRule="auto"/>
        <w:tabs>
          <w:tab w:leader="none" w:pos="1119"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Transferred Shares to Remain Subject to Right of First Refusal</w:t>
      </w:r>
      <w:r>
        <w:rPr>
          <w:rFonts w:ascii="Arial" w:cs="Arial" w:eastAsia="Arial" w:hAnsi="Arial"/>
          <w:sz w:val="15"/>
          <w:szCs w:val="15"/>
          <w:color w:val="auto"/>
        </w:rPr>
        <w:t>. Shares that are so transferred to such 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52" w:lineRule="exact"/>
        <w:rPr>
          <w:rFonts w:ascii="Arial" w:cs="Arial" w:eastAsia="Arial" w:hAnsi="Arial"/>
          <w:sz w:val="15"/>
          <w:szCs w:val="15"/>
          <w:color w:val="auto"/>
        </w:rPr>
      </w:pPr>
    </w:p>
    <w:p>
      <w:pPr>
        <w:ind w:left="7" w:firstLine="549"/>
        <w:spacing w:after="0" w:line="289" w:lineRule="auto"/>
        <w:tabs>
          <w:tab w:leader="none" w:pos="1119"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Remedies of Company</w:t>
      </w:r>
      <w:r>
        <w:rPr>
          <w:rFonts w:ascii="Arial" w:cs="Arial" w:eastAsia="Arial" w:hAnsi="Arial"/>
          <w:sz w:val="14"/>
          <w:szCs w:val="14"/>
          <w:color w:val="auto"/>
        </w:rPr>
        <w:t>. No sale, assignment, pledge or transfer of any of the shares covered by this 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
        <w:spacing w:after="0" w:line="289" w:lineRule="auto"/>
        <w:rPr>
          <w:sz w:val="20"/>
          <w:szCs w:val="20"/>
          <w:color w:val="auto"/>
        </w:rPr>
      </w:pPr>
      <w:r>
        <w:rPr>
          <w:rFonts w:ascii="Arial" w:cs="Arial" w:eastAsia="Arial" w:hAnsi="Arial"/>
          <w:sz w:val="15"/>
          <w:szCs w:val="15"/>
          <w:color w:val="auto"/>
        </w:rPr>
        <w:t>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1" w:lineRule="exact"/>
        <w:rPr>
          <w:sz w:val="20"/>
          <w:szCs w:val="20"/>
          <w:color w:val="auto"/>
        </w:rPr>
      </w:pPr>
    </w:p>
    <w:p>
      <w:pPr>
        <w:ind w:left="7" w:right="40" w:firstLine="549"/>
        <w:spacing w:after="0" w:line="268" w:lineRule="auto"/>
        <w:tabs>
          <w:tab w:leader="none" w:pos="1119"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Shares Subject to Right of First Refusal</w:t>
      </w:r>
      <w:r>
        <w:rPr>
          <w:rFonts w:ascii="Arial" w:cs="Arial" w:eastAsia="Arial" w:hAnsi="Arial"/>
          <w:sz w:val="15"/>
          <w:szCs w:val="15"/>
          <w:color w:val="auto"/>
        </w:rPr>
        <w:t>. For purposes of the Right of First Refusal pursuant to this Appendix A, the term “shares” shall mean any and all new, substituted or additional securities or other property issued to the Holder, by reason of his or her ownership of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56" w:lineRule="exact"/>
        <w:rPr>
          <w:rFonts w:ascii="Arial" w:cs="Arial" w:eastAsia="Arial" w:hAnsi="Arial"/>
          <w:sz w:val="15"/>
          <w:szCs w:val="15"/>
          <w:color w:val="auto"/>
        </w:rPr>
      </w:pPr>
    </w:p>
    <w:p>
      <w:pPr>
        <w:ind w:left="7" w:right="400" w:firstLine="549"/>
        <w:spacing w:after="0" w:line="289" w:lineRule="auto"/>
        <w:tabs>
          <w:tab w:leader="none" w:pos="1119"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Legends on Stock Certificates</w:t>
      </w:r>
      <w:r>
        <w:rPr>
          <w:rFonts w:ascii="Arial" w:cs="Arial" w:eastAsia="Arial" w:hAnsi="Arial"/>
          <w:sz w:val="15"/>
          <w:szCs w:val="15"/>
          <w:color w:val="auto"/>
        </w:rPr>
        <w:t>. Any certificate representing shares of stock subject to the provisions of this Appendix A may have endorsed thereon one or more legends, substantially as follows:</w:t>
      </w:r>
    </w:p>
    <w:p>
      <w:pPr>
        <w:spacing w:after="0" w:line="140" w:lineRule="exact"/>
        <w:rPr>
          <w:rFonts w:ascii="Arial" w:cs="Arial" w:eastAsia="Arial" w:hAnsi="Arial"/>
          <w:sz w:val="15"/>
          <w:szCs w:val="15"/>
          <w:color w:val="auto"/>
        </w:rPr>
      </w:pPr>
    </w:p>
    <w:p>
      <w:pPr>
        <w:ind w:left="1527" w:right="80" w:hanging="416"/>
        <w:spacing w:after="0" w:line="273" w:lineRule="auto"/>
        <w:tabs>
          <w:tab w:leader="none" w:pos="1546"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ectPr>
          <w:pgSz w:w="11900" w:h="16866" w:orient="portrait"/>
          <w:cols w:equalWidth="0" w:num="1">
            <w:col w:w="11447"/>
          </w:cols>
          <w:pgMar w:left="233" w:top="123" w:right="219" w:bottom="0" w:gutter="0" w:footer="0" w:header="0"/>
        </w:sectPr>
      </w:pPr>
    </w:p>
    <w:bookmarkStart w:id="296" w:name="page297"/>
    <w:bookmarkEnd w:id="296"/>
    <w:p>
      <w:pPr>
        <w:spacing w:after="0" w:line="47" w:lineRule="exact"/>
        <w:rPr>
          <w:sz w:val="20"/>
          <w:szCs w:val="20"/>
          <w:color w:val="auto"/>
        </w:rPr>
      </w:pPr>
    </w:p>
    <w:p>
      <w:pPr>
        <w:jc w:val="both"/>
        <w:ind w:left="1527" w:right="80" w:hanging="416"/>
        <w:spacing w:after="0" w:line="273" w:lineRule="auto"/>
        <w:tabs>
          <w:tab w:leader="none" w:pos="1554" w:val="left"/>
        </w:tabs>
        <w:numPr>
          <w:ilvl w:val="1"/>
          <w:numId w:val="167"/>
        </w:numPr>
        <w:rPr>
          <w:rFonts w:ascii="Arial" w:cs="Arial" w:eastAsia="Arial" w:hAnsi="Arial"/>
          <w:sz w:val="15"/>
          <w:szCs w:val="15"/>
          <w:color w:val="auto"/>
        </w:rPr>
      </w:pPr>
      <w:r>
        <w:rPr>
          <w:rFonts w:ascii="Arial" w:cs="Arial" w:eastAsia="Arial" w:hAnsi="Arial"/>
          <w:sz w:val="15"/>
          <w:szCs w:val="15"/>
          <w:color w:val="auto"/>
        </w:rPr>
        <w:t>“The shares of stock represented by this certificate have not been registered under the Securities Act of 1933 or under the securities laws of any state and may not be pledged, hypothecated, sold or otherwise transferred except upon such registration or upon receipt by the Company of an opinion of counsel satisfactory to the Company, in form and substance satisfactory to the Company, that such registration is not required.”</w:t>
      </w:r>
    </w:p>
    <w:p>
      <w:pPr>
        <w:spacing w:after="0" w:line="152" w:lineRule="exact"/>
        <w:rPr>
          <w:rFonts w:ascii="Arial" w:cs="Arial" w:eastAsia="Arial" w:hAnsi="Arial"/>
          <w:sz w:val="15"/>
          <w:szCs w:val="15"/>
          <w:color w:val="auto"/>
        </w:rPr>
      </w:pPr>
    </w:p>
    <w:p>
      <w:pPr>
        <w:ind w:left="7" w:right="60" w:firstLine="549"/>
        <w:spacing w:after="0" w:line="289" w:lineRule="auto"/>
        <w:tabs>
          <w:tab w:leader="none" w:pos="1119"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Right of First Refusal to Lapse Upon Registration</w:t>
      </w:r>
      <w:r>
        <w:rPr>
          <w:rFonts w:ascii="Arial" w:cs="Arial" w:eastAsia="Arial" w:hAnsi="Arial"/>
          <w:sz w:val="15"/>
          <w:szCs w:val="15"/>
          <w:color w:val="auto"/>
        </w:rPr>
        <w:t>. The restrictions imposed by this Appendix A shall terminate in all respects upon the effective date of a registration statement under the Securities Act covering any of the Company’s Common Stock.</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3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NON-STATUTORY STOCK OPTION</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Granted by</w:t>
      </w:r>
    </w:p>
    <w:p>
      <w:pPr>
        <w:spacing w:after="0" w:line="19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Selecta Biosciences, Inc. (the “</w:t>
      </w:r>
      <w:r>
        <w:rPr>
          <w:rFonts w:ascii="Arial" w:cs="Arial" w:eastAsia="Arial" w:hAnsi="Arial"/>
          <w:sz w:val="15"/>
          <w:szCs w:val="15"/>
          <w:b w:val="1"/>
          <w:bCs w:val="1"/>
          <w:u w:val="single" w:color="auto"/>
          <w:color w:val="auto"/>
        </w:rPr>
        <w:t>Company</w:t>
      </w:r>
      <w:r>
        <w:rPr>
          <w:rFonts w:ascii="Arial" w:cs="Arial" w:eastAsia="Arial" w:hAnsi="Arial"/>
          <w:sz w:val="15"/>
          <w:szCs w:val="15"/>
          <w:b w:val="1"/>
          <w:bCs w:val="1"/>
          <w:color w:val="auto"/>
        </w:rPr>
        <w:t>”)</w:t>
      </w: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Under the 2008 Stock Incentive Plan</w:t>
      </w:r>
    </w:p>
    <w:p>
      <w:pPr>
        <w:spacing w:after="0" w:line="198" w:lineRule="exact"/>
        <w:rPr>
          <w:sz w:val="20"/>
          <w:szCs w:val="20"/>
          <w:color w:val="auto"/>
        </w:rPr>
      </w:pPr>
    </w:p>
    <w:p>
      <w:pPr>
        <w:ind w:left="7" w:right="100" w:firstLine="556"/>
        <w:spacing w:after="0" w:line="268" w:lineRule="auto"/>
        <w:rPr>
          <w:sz w:val="20"/>
          <w:szCs w:val="20"/>
          <w:color w:val="auto"/>
        </w:rPr>
      </w:pPr>
      <w:r>
        <w:rPr>
          <w:rFonts w:ascii="Arial" w:cs="Arial" w:eastAsia="Arial" w:hAnsi="Arial"/>
          <w:sz w:val="15"/>
          <w:szCs w:val="15"/>
          <w:color w:val="auto"/>
        </w:rPr>
        <w:t>This Option is and shall be subject in every respect to the provisions of the Company’s 2008 Stock Incentive Plan, as amended from time to time, which is incorporated herein by reference and made a part hereof. The holder of this Option (the “</w:t>
      </w:r>
      <w:r>
        <w:rPr>
          <w:rFonts w:ascii="Arial" w:cs="Arial" w:eastAsia="Arial" w:hAnsi="Arial"/>
          <w:sz w:val="15"/>
          <w:szCs w:val="15"/>
          <w:u w:val="single" w:color="auto"/>
          <w:color w:val="auto"/>
        </w:rPr>
        <w:t>Holder</w:t>
      </w:r>
      <w:r>
        <w:rPr>
          <w:rFonts w:ascii="Arial" w:cs="Arial" w:eastAsia="Arial" w:hAnsi="Arial"/>
          <w:sz w:val="15"/>
          <w:szCs w:val="15"/>
          <w:color w:val="auto"/>
        </w:rPr>
        <w:t>”) hereby accepts this Option subject to all the terms and provisions of the Plan and agrees that (a) in the event of any conflict between the terms hereof and those of the Plan, the latter shall prevail, and (b) all decisions under and interpretations of the Plan by the Board or the Committee shall be final, binding and conclusive upon the Holder and his or her heirs and legal representatives.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1.</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Name of Holder:</w:t>
            </w:r>
          </w:p>
        </w:tc>
        <w:tc>
          <w:tcPr>
            <w:tcW w:w="2100" w:type="dxa"/>
            <w:vAlign w:val="bottom"/>
          </w:tcPr>
          <w:p>
            <w:pPr>
              <w:ind w:left="260"/>
              <w:spacing w:after="0"/>
              <w:rPr>
                <w:sz w:val="20"/>
                <w:szCs w:val="20"/>
                <w:color w:val="auto"/>
              </w:rPr>
            </w:pPr>
            <w:r>
              <w:rPr>
                <w:rFonts w:ascii="Arial" w:cs="Arial" w:eastAsia="Arial" w:hAnsi="Arial"/>
                <w:sz w:val="15"/>
                <w:szCs w:val="15"/>
                <w:color w:val="auto"/>
              </w:rPr>
              <w:t>[Name of Optionee]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2.</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Date of Grant:</w:t>
            </w:r>
          </w:p>
        </w:tc>
        <w:tc>
          <w:tcPr>
            <w:tcW w:w="2100" w:type="dxa"/>
            <w:vAlign w:val="bottom"/>
          </w:tcPr>
          <w:p>
            <w:pPr>
              <w:ind w:left="260"/>
              <w:spacing w:after="0"/>
              <w:rPr>
                <w:sz w:val="20"/>
                <w:szCs w:val="20"/>
                <w:color w:val="auto"/>
              </w:rPr>
            </w:pPr>
            <w:r>
              <w:rPr>
                <w:rFonts w:ascii="Arial" w:cs="Arial" w:eastAsia="Arial" w:hAnsi="Arial"/>
                <w:sz w:val="15"/>
                <w:szCs w:val="15"/>
                <w:color w:val="auto"/>
              </w:rPr>
              <w:t>[Date]</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3.</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Vesting Start Date:</w:t>
            </w:r>
          </w:p>
        </w:tc>
        <w:tc>
          <w:tcPr>
            <w:tcW w:w="2100" w:type="dxa"/>
            <w:vAlign w:val="bottom"/>
          </w:tcPr>
          <w:p>
            <w:pPr>
              <w:ind w:left="260"/>
              <w:spacing w:after="0"/>
              <w:rPr>
                <w:sz w:val="20"/>
                <w:szCs w:val="20"/>
                <w:color w:val="auto"/>
              </w:rPr>
            </w:pPr>
            <w:r>
              <w:rPr>
                <w:rFonts w:ascii="Arial" w:cs="Arial" w:eastAsia="Arial" w:hAnsi="Arial"/>
                <w:sz w:val="15"/>
                <w:szCs w:val="15"/>
                <w:color w:val="auto"/>
                <w:w w:val="95"/>
              </w:rPr>
              <w:t>[Date of Hire / Date of Grant]</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4.</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w w:val="98"/>
              </w:rPr>
              <w:t>Maximum number of shares for which this Option is exercisable:</w:t>
            </w:r>
          </w:p>
        </w:tc>
        <w:tc>
          <w:tcPr>
            <w:tcW w:w="2100" w:type="dxa"/>
            <w:vAlign w:val="bottom"/>
          </w:tcPr>
          <w:p>
            <w:pPr>
              <w:ind w:left="260"/>
              <w:spacing w:after="0"/>
              <w:rPr>
                <w:sz w:val="20"/>
                <w:szCs w:val="20"/>
                <w:color w:val="auto"/>
              </w:rPr>
            </w:pPr>
            <w:r>
              <w:rPr>
                <w:rFonts w:ascii="Arial" w:cs="Arial" w:eastAsia="Arial" w:hAnsi="Arial"/>
                <w:sz w:val="15"/>
                <w:szCs w:val="15"/>
                <w:color w:val="auto"/>
              </w:rPr>
              <w:t>[number]</w:t>
            </w:r>
          </w:p>
        </w:tc>
      </w:tr>
      <w:tr>
        <w:trPr>
          <w:trHeight w:val="371"/>
        </w:trPr>
        <w:tc>
          <w:tcPr>
            <w:tcW w:w="320" w:type="dxa"/>
            <w:vAlign w:val="bottom"/>
          </w:tcPr>
          <w:p>
            <w:pPr>
              <w:jc w:val="right"/>
              <w:ind w:right="154"/>
              <w:spacing w:after="0"/>
              <w:rPr>
                <w:sz w:val="20"/>
                <w:szCs w:val="20"/>
                <w:color w:val="auto"/>
              </w:rPr>
            </w:pPr>
            <w:r>
              <w:rPr>
                <w:rFonts w:ascii="Arial" w:cs="Arial" w:eastAsia="Arial" w:hAnsi="Arial"/>
                <w:sz w:val="13"/>
                <w:szCs w:val="13"/>
                <w:color w:val="auto"/>
                <w:w w:val="73"/>
              </w:rPr>
              <w:t>5.</w:t>
            </w:r>
          </w:p>
        </w:tc>
        <w:tc>
          <w:tcPr>
            <w:tcW w:w="4780" w:type="dxa"/>
            <w:vAlign w:val="bottom"/>
          </w:tcPr>
          <w:p>
            <w:pPr>
              <w:ind w:left="220"/>
              <w:spacing w:after="0"/>
              <w:rPr>
                <w:sz w:val="20"/>
                <w:szCs w:val="20"/>
                <w:color w:val="auto"/>
              </w:rPr>
            </w:pPr>
            <w:r>
              <w:rPr>
                <w:rFonts w:ascii="Arial" w:cs="Arial" w:eastAsia="Arial" w:hAnsi="Arial"/>
                <w:sz w:val="15"/>
                <w:szCs w:val="15"/>
                <w:b w:val="1"/>
                <w:bCs w:val="1"/>
                <w:color w:val="auto"/>
              </w:rPr>
              <w:t>Exercise (purchase) price per share:</w:t>
            </w:r>
          </w:p>
        </w:tc>
        <w:tc>
          <w:tcPr>
            <w:tcW w:w="2100" w:type="dxa"/>
            <w:vAlign w:val="bottom"/>
          </w:tcPr>
          <w:p>
            <w:pPr>
              <w:ind w:left="260"/>
              <w:spacing w:after="0"/>
              <w:rPr>
                <w:sz w:val="20"/>
                <w:szCs w:val="20"/>
                <w:color w:val="auto"/>
              </w:rPr>
            </w:pPr>
            <w:r>
              <w:rPr>
                <w:rFonts w:ascii="Arial" w:cs="Arial" w:eastAsia="Arial" w:hAnsi="Arial"/>
                <w:sz w:val="15"/>
                <w:szCs w:val="15"/>
                <w:color w:val="auto"/>
              </w:rPr>
              <w:t>[$ . ]</w:t>
            </w:r>
          </w:p>
        </w:tc>
      </w:tr>
    </w:tbl>
    <w:p>
      <w:pPr>
        <w:spacing w:after="0" w:line="169" w:lineRule="exact"/>
        <w:rPr>
          <w:sz w:val="20"/>
          <w:szCs w:val="20"/>
          <w:color w:val="auto"/>
        </w:rPr>
      </w:pPr>
    </w:p>
    <w:p>
      <w:pPr>
        <w:ind w:left="547" w:hanging="547"/>
        <w:spacing w:after="0"/>
        <w:tabs>
          <w:tab w:leader="none" w:pos="547" w:val="left"/>
        </w:tabs>
        <w:numPr>
          <w:ilvl w:val="0"/>
          <w:numId w:val="169"/>
        </w:numPr>
        <w:rPr>
          <w:rFonts w:ascii="Arial" w:cs="Arial" w:eastAsia="Arial" w:hAnsi="Arial"/>
          <w:sz w:val="15"/>
          <w:szCs w:val="15"/>
          <w:color w:val="auto"/>
        </w:rPr>
      </w:pPr>
      <w:r>
        <w:rPr>
          <w:rFonts w:ascii="Arial" w:cs="Arial" w:eastAsia="Arial" w:hAnsi="Arial"/>
          <w:sz w:val="15"/>
          <w:szCs w:val="15"/>
          <w:b w:val="1"/>
          <w:bCs w:val="1"/>
          <w:color w:val="auto"/>
        </w:rPr>
        <w:t>Payment method:</w:t>
      </w:r>
    </w:p>
    <w:p>
      <w:pPr>
        <w:spacing w:after="0" w:line="204" w:lineRule="exact"/>
        <w:rPr>
          <w:rFonts w:ascii="Arial" w:cs="Arial" w:eastAsia="Arial" w:hAnsi="Arial"/>
          <w:sz w:val="15"/>
          <w:szCs w:val="15"/>
          <w:color w:val="auto"/>
        </w:rPr>
      </w:pPr>
    </w:p>
    <w:p>
      <w:pPr>
        <w:ind w:left="1107" w:right="40" w:hanging="551"/>
        <w:spacing w:after="0" w:line="289" w:lineRule="auto"/>
        <w:tabs>
          <w:tab w:leader="none" w:pos="1126"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 personal, certified or bank check or postal money order payable to the order of the Company for an amount equal to the exercise price of the shares being purchased; or</w:t>
      </w:r>
    </w:p>
    <w:p>
      <w:pPr>
        <w:spacing w:after="0" w:line="140" w:lineRule="exact"/>
        <w:rPr>
          <w:rFonts w:ascii="Arial" w:cs="Arial" w:eastAsia="Arial" w:hAnsi="Arial"/>
          <w:sz w:val="15"/>
          <w:szCs w:val="15"/>
          <w:color w:val="auto"/>
        </w:rPr>
      </w:pPr>
    </w:p>
    <w:p>
      <w:pPr>
        <w:ind w:left="1147" w:hanging="591"/>
        <w:spacing w:after="0"/>
        <w:tabs>
          <w:tab w:leader="none" w:pos="1147" w:val="left"/>
        </w:tabs>
        <w:numPr>
          <w:ilvl w:val="1"/>
          <w:numId w:val="169"/>
        </w:numPr>
        <w:rPr>
          <w:rFonts w:ascii="Arial" w:cs="Arial" w:eastAsia="Arial" w:hAnsi="Arial"/>
          <w:sz w:val="15"/>
          <w:szCs w:val="15"/>
          <w:color w:val="auto"/>
        </w:rPr>
      </w:pPr>
      <w:r>
        <w:rPr>
          <w:rFonts w:ascii="Arial" w:cs="Arial" w:eastAsia="Arial" w:hAnsi="Arial"/>
          <w:sz w:val="15"/>
          <w:szCs w:val="15"/>
          <w:color w:val="auto"/>
        </w:rPr>
        <w:t>with the consent of the Company, any of the other methods set forth in the Plan.</w:t>
      </w:r>
    </w:p>
    <w:p>
      <w:pPr>
        <w:spacing w:after="0" w:line="192" w:lineRule="exact"/>
        <w:rPr>
          <w:sz w:val="20"/>
          <w:szCs w:val="20"/>
          <w:color w:val="auto"/>
        </w:rPr>
      </w:pPr>
    </w:p>
    <w:p>
      <w:pPr>
        <w:ind w:left="7"/>
        <w:spacing w:after="0"/>
        <w:tabs>
          <w:tab w:leader="none" w:pos="527" w:val="left"/>
          <w:tab w:leader="none" w:pos="5347"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5"/>
          <w:szCs w:val="15"/>
          <w:b w:val="1"/>
          <w:bCs w:val="1"/>
          <w:color w:val="auto"/>
        </w:rPr>
        <w:t>Expiration Date of Option:</w:t>
      </w:r>
      <w:r>
        <w:rPr>
          <w:sz w:val="20"/>
          <w:szCs w:val="20"/>
          <w:color w:val="auto"/>
        </w:rPr>
        <w:tab/>
      </w:r>
      <w:r>
        <w:rPr>
          <w:rFonts w:ascii="Arial" w:cs="Arial" w:eastAsia="Arial" w:hAnsi="Arial"/>
          <w:sz w:val="14"/>
          <w:szCs w:val="14"/>
          <w:color w:val="auto"/>
        </w:rPr>
        <w:t>[Grant Date + 10 years]</w:t>
      </w:r>
    </w:p>
    <w:p>
      <w:pPr>
        <w:spacing w:after="0" w:line="198" w:lineRule="exact"/>
        <w:rPr>
          <w:sz w:val="20"/>
          <w:szCs w:val="20"/>
          <w:color w:val="auto"/>
        </w:rPr>
      </w:pPr>
    </w:p>
    <w:p>
      <w:pPr>
        <w:ind w:left="547" w:hanging="547"/>
        <w:spacing w:after="0" w:line="271" w:lineRule="auto"/>
        <w:tabs>
          <w:tab w:leader="none" w:pos="547"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 xml:space="preserve">Vesting Schedule: </w:t>
      </w:r>
      <w:r>
        <w:rPr>
          <w:rFonts w:ascii="Arial" w:cs="Arial" w:eastAsia="Arial" w:hAnsi="Arial"/>
          <w:sz w:val="15"/>
          <w:szCs w:val="15"/>
          <w:color w:val="auto"/>
        </w:rPr>
        <w:t>This Option shall become exercisable for 2.0833% of the maximum number of shares granted on [last day of month of Vesting Start Date],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become exercisable for an additional 2.0833% on the last day of each month thereafter until the Option is fully vested,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Option shall be deemed to be fully vested immediately prior to the consummation of a Qualified Sale (as defined below)]. All vesting shall cease upon the date of termination of employment or provision of services.</w:t>
      </w:r>
    </w:p>
    <w:p>
      <w:pPr>
        <w:spacing w:after="0" w:line="153" w:lineRule="exact"/>
        <w:rPr>
          <w:rFonts w:ascii="Arial" w:cs="Arial" w:eastAsia="Arial" w:hAnsi="Arial"/>
          <w:sz w:val="15"/>
          <w:szCs w:val="15"/>
          <w:color w:val="auto"/>
        </w:rPr>
      </w:pPr>
    </w:p>
    <w:p>
      <w:pPr>
        <w:ind w:left="547" w:right="480"/>
        <w:spacing w:after="0" w:line="289"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Sale</w:t>
      </w:r>
      <w:r>
        <w:rPr>
          <w:rFonts w:ascii="Arial" w:cs="Arial" w:eastAsia="Arial" w:hAnsi="Arial"/>
          <w:sz w:val="15"/>
          <w:szCs w:val="15"/>
          <w:color w:val="auto"/>
        </w:rPr>
        <w:t>” shall mean the sale of all or substantially all of assets or issued and outstanding capital stock of the Company, or merger or consolidation involving the Company in which stockholders of the Company immediately before such merger or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4" w:lineRule="exact"/>
        <w:rPr>
          <w:rFonts w:ascii="Arial" w:cs="Arial" w:eastAsia="Arial" w:hAnsi="Arial"/>
          <w:sz w:val="15"/>
          <w:szCs w:val="15"/>
          <w:color w:val="auto"/>
        </w:rPr>
      </w:pPr>
    </w:p>
    <w:p>
      <w:pPr>
        <w:ind w:left="547" w:right="260"/>
        <w:spacing w:after="0" w:line="327" w:lineRule="auto"/>
        <w:rPr>
          <w:rFonts w:ascii="Arial" w:cs="Arial" w:eastAsia="Arial" w:hAnsi="Arial"/>
          <w:sz w:val="15"/>
          <w:szCs w:val="15"/>
          <w:color w:val="auto"/>
        </w:rPr>
      </w:pPr>
      <w:r>
        <w:rPr>
          <w:rFonts w:ascii="Arial" w:cs="Arial" w:eastAsia="Arial" w:hAnsi="Arial"/>
          <w:sz w:val="14"/>
          <w:szCs w:val="14"/>
          <w:color w:val="auto"/>
        </w:rPr>
        <w:t>consolidation do not own immediately after such merger or consolidation capital stock or other equity interests of the surviving corporation or entity representing more than fifty percent in voting power of capital stock or other equity interests of such surviving corporation or entity outstanding immediately after such merger or consolidation.]</w:t>
      </w:r>
    </w:p>
    <w:p>
      <w:pPr>
        <w:spacing w:after="0" w:line="117" w:lineRule="exact"/>
        <w:rPr>
          <w:rFonts w:ascii="Arial" w:cs="Arial" w:eastAsia="Arial" w:hAnsi="Arial"/>
          <w:sz w:val="15"/>
          <w:szCs w:val="15"/>
          <w:color w:val="auto"/>
        </w:rPr>
      </w:pPr>
    </w:p>
    <w:p>
      <w:pPr>
        <w:ind w:left="547" w:right="20"/>
        <w:spacing w:after="0" w:line="268" w:lineRule="auto"/>
        <w:rPr>
          <w:rFonts w:ascii="Arial" w:cs="Arial" w:eastAsia="Arial" w:hAnsi="Arial"/>
          <w:sz w:val="15"/>
          <w:szCs w:val="15"/>
          <w:color w:val="auto"/>
        </w:rPr>
      </w:pPr>
      <w:r>
        <w:rPr>
          <w:rFonts w:ascii="Arial" w:cs="Arial" w:eastAsia="Arial" w:hAnsi="Arial"/>
          <w:sz w:val="15"/>
          <w:szCs w:val="15"/>
          <w:color w:val="auto"/>
        </w:rPr>
        <w:t>In addition to the foregoing, upon the Holder’s election at any time after the date of Grant of this Option, the Holder shall be entitled to exercise this Option immediately and in full for the Maximum Number of shares as set forth herein, whether or not fully vested, provided that, upon such exercise, the Holder shall execute a stock restriction agreement containing a “reverse vesting” schedule effectively equivalent to the Vesting Schedule set forth herein, pursuant to which the Holder agrees to sell back any unvested shares at cost should he or she leave the employ of the Company prior to full vesting.</w:t>
      </w:r>
    </w:p>
    <w:p>
      <w:pPr>
        <w:spacing w:after="0" w:line="150" w:lineRule="exact"/>
        <w:rPr>
          <w:rFonts w:ascii="Arial" w:cs="Arial" w:eastAsia="Arial" w:hAnsi="Arial"/>
          <w:sz w:val="15"/>
          <w:szCs w:val="15"/>
          <w:color w:val="auto"/>
        </w:rPr>
      </w:pPr>
    </w:p>
    <w:p>
      <w:pPr>
        <w:ind w:left="547" w:hanging="547"/>
        <w:spacing w:after="0"/>
        <w:tabs>
          <w:tab w:leader="none" w:pos="547" w:val="left"/>
        </w:tabs>
        <w:numPr>
          <w:ilvl w:val="0"/>
          <w:numId w:val="170"/>
        </w:numPr>
        <w:rPr>
          <w:rFonts w:ascii="Arial" w:cs="Arial" w:eastAsia="Arial" w:hAnsi="Arial"/>
          <w:sz w:val="15"/>
          <w:szCs w:val="15"/>
          <w:color w:val="auto"/>
        </w:rPr>
      </w:pPr>
      <w:r>
        <w:rPr>
          <w:rFonts w:ascii="Arial" w:cs="Arial" w:eastAsia="Arial" w:hAnsi="Arial"/>
          <w:sz w:val="15"/>
          <w:szCs w:val="15"/>
          <w:b w:val="1"/>
          <w:bCs w:val="1"/>
          <w:color w:val="auto"/>
        </w:rPr>
        <w:t xml:space="preserve">Termination of Employment. </w:t>
      </w:r>
      <w:r>
        <w:rPr>
          <w:rFonts w:ascii="Arial" w:cs="Arial" w:eastAsia="Arial" w:hAnsi="Arial"/>
          <w:sz w:val="15"/>
          <w:szCs w:val="15"/>
          <w:color w:val="auto"/>
        </w:rPr>
        <w:t>This Option shall terminate on the earliest to occur of:</w:t>
      </w:r>
    </w:p>
    <w:p>
      <w:pPr>
        <w:spacing w:after="0" w:line="204" w:lineRule="exact"/>
        <w:rPr>
          <w:rFonts w:ascii="Arial" w:cs="Arial" w:eastAsia="Arial" w:hAnsi="Arial"/>
          <w:sz w:val="15"/>
          <w:szCs w:val="15"/>
          <w:color w:val="auto"/>
        </w:rPr>
      </w:pPr>
    </w:p>
    <w:p>
      <w:pPr>
        <w:ind w:left="1127" w:hanging="571"/>
        <w:spacing w:after="0"/>
        <w:tabs>
          <w:tab w:leader="none" w:pos="1127"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date of expiration thereof;</w:t>
      </w:r>
    </w:p>
    <w:p>
      <w:pPr>
        <w:spacing w:after="0" w:line="198" w:lineRule="exact"/>
        <w:rPr>
          <w:rFonts w:ascii="Arial" w:cs="Arial" w:eastAsia="Arial" w:hAnsi="Arial"/>
          <w:sz w:val="15"/>
          <w:szCs w:val="15"/>
          <w:color w:val="auto"/>
        </w:rPr>
      </w:pPr>
    </w:p>
    <w:p>
      <w:pPr>
        <w:ind w:left="1107" w:right="240" w:hanging="551"/>
        <w:spacing w:after="0" w:line="289" w:lineRule="auto"/>
        <w:tabs>
          <w:tab w:leader="none" w:pos="1134" w:val="left"/>
        </w:tabs>
        <w:numPr>
          <w:ilvl w:val="1"/>
          <w:numId w:val="170"/>
        </w:numPr>
        <w:rPr>
          <w:rFonts w:ascii="Arial" w:cs="Arial" w:eastAsia="Arial" w:hAnsi="Arial"/>
          <w:sz w:val="15"/>
          <w:szCs w:val="15"/>
          <w:color w:val="auto"/>
        </w:rPr>
      </w:pPr>
      <w:r>
        <w:rPr>
          <w:rFonts w:ascii="Arial" w:cs="Arial" w:eastAsia="Arial" w:hAnsi="Arial"/>
          <w:sz w:val="15"/>
          <w:szCs w:val="15"/>
          <w:color w:val="auto"/>
        </w:rPr>
        <w:t>90 days after termination of the Holder’s employment with or services to the Company for any reason other than for death or permanent disability as defined in the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-2002155</wp:posOffset>
            </wp:positionV>
            <wp:extent cx="7285990"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121" w:lineRule="exact"/>
        <w:rPr>
          <w:sz w:val="20"/>
          <w:szCs w:val="20"/>
          <w:color w:val="auto"/>
        </w:rPr>
      </w:pPr>
    </w:p>
    <w:p>
      <w:pPr>
        <w:ind w:left="1127" w:hanging="571"/>
        <w:spacing w:after="0"/>
        <w:tabs>
          <w:tab w:leader="none" w:pos="1127" w:val="left"/>
        </w:tabs>
        <w:numPr>
          <w:ilvl w:val="1"/>
          <w:numId w:val="171"/>
        </w:numPr>
        <w:rPr>
          <w:rFonts w:ascii="Arial" w:cs="Arial" w:eastAsia="Arial" w:hAnsi="Arial"/>
          <w:sz w:val="15"/>
          <w:szCs w:val="15"/>
          <w:color w:val="auto"/>
        </w:rPr>
      </w:pPr>
      <w:r>
        <w:rPr>
          <w:rFonts w:ascii="Arial" w:cs="Arial" w:eastAsia="Arial" w:hAnsi="Arial"/>
          <w:sz w:val="15"/>
          <w:szCs w:val="15"/>
          <w:color w:val="auto"/>
        </w:rPr>
        <w:t>one year following the date of Holder’s death or permanent disability as defined in the Plan.</w:t>
      </w:r>
    </w:p>
    <w:p>
      <w:pPr>
        <w:spacing w:after="0" w:line="192" w:lineRule="exact"/>
        <w:rPr>
          <w:rFonts w:ascii="Arial" w:cs="Arial" w:eastAsia="Arial" w:hAnsi="Arial"/>
          <w:sz w:val="15"/>
          <w:szCs w:val="15"/>
          <w:color w:val="auto"/>
        </w:rPr>
      </w:pPr>
    </w:p>
    <w:p>
      <w:pPr>
        <w:ind w:left="547" w:right="520" w:hanging="547"/>
        <w:spacing w:after="0" w:line="298" w:lineRule="auto"/>
        <w:tabs>
          <w:tab w:leader="none" w:pos="543" w:val="left"/>
        </w:tabs>
        <w:numPr>
          <w:ilvl w:val="0"/>
          <w:numId w:val="172"/>
        </w:numPr>
        <w:rPr>
          <w:rFonts w:ascii="Arial" w:cs="Arial" w:eastAsia="Arial" w:hAnsi="Arial"/>
          <w:sz w:val="15"/>
          <w:szCs w:val="15"/>
          <w:color w:val="auto"/>
        </w:rPr>
      </w:pPr>
      <w:r>
        <w:rPr>
          <w:rFonts w:ascii="Arial" w:cs="Arial" w:eastAsia="Arial" w:hAnsi="Arial"/>
          <w:sz w:val="15"/>
          <w:szCs w:val="15"/>
          <w:b w:val="1"/>
          <w:bCs w:val="1"/>
          <w:color w:val="auto"/>
        </w:rPr>
        <w:t xml:space="preserve">Company’s Right of First Refusal. </w:t>
      </w:r>
      <w:r>
        <w:rPr>
          <w:rFonts w:ascii="Arial" w:cs="Arial" w:eastAsia="Arial" w:hAnsi="Arial"/>
          <w:sz w:val="15"/>
          <w:szCs w:val="15"/>
          <w:color w:val="auto"/>
        </w:rPr>
        <w:t>Prior to the effective date of a registration statement covering shares of the Company’s Common Stock, any shares of stock issued</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exercise of this Option shall be subject to the Company’s right of first refusal as set forth at Appendix A.</w:t>
      </w:r>
    </w:p>
    <w:p>
      <w:pPr>
        <w:spacing w:after="0" w:line="127" w:lineRule="exact"/>
        <w:rPr>
          <w:rFonts w:ascii="Arial" w:cs="Arial" w:eastAsia="Arial" w:hAnsi="Arial"/>
          <w:sz w:val="15"/>
          <w:szCs w:val="15"/>
          <w:color w:val="auto"/>
        </w:rPr>
      </w:pPr>
    </w:p>
    <w:p>
      <w:pPr>
        <w:ind w:left="547" w:right="140" w:hanging="547"/>
        <w:spacing w:after="0" w:line="271" w:lineRule="auto"/>
        <w:tabs>
          <w:tab w:leader="none" w:pos="538" w:val="left"/>
        </w:tabs>
        <w:numPr>
          <w:ilvl w:val="0"/>
          <w:numId w:val="172"/>
        </w:numPr>
        <w:rPr>
          <w:rFonts w:ascii="Arial" w:cs="Arial" w:eastAsia="Arial" w:hAnsi="Arial"/>
          <w:sz w:val="15"/>
          <w:szCs w:val="15"/>
          <w:color w:val="auto"/>
        </w:rPr>
      </w:pPr>
      <w:r>
        <w:rPr>
          <w:rFonts w:ascii="Arial" w:cs="Arial" w:eastAsia="Arial" w:hAnsi="Arial"/>
          <w:sz w:val="15"/>
          <w:szCs w:val="15"/>
          <w:b w:val="1"/>
          <w:bCs w:val="1"/>
          <w:color w:val="auto"/>
        </w:rPr>
        <w:t xml:space="preserve">Lock-Up Agreement. </w:t>
      </w:r>
      <w:r>
        <w:rPr>
          <w:rFonts w:ascii="Arial" w:cs="Arial" w:eastAsia="Arial" w:hAnsi="Arial"/>
          <w:sz w:val="15"/>
          <w:szCs w:val="15"/>
          <w:color w:val="auto"/>
        </w:rPr>
        <w:t>The Holder agrees for a period of up to 180 days from the effective date of any registration of securities of the Company under the Securities Act of</w:t>
      </w:r>
      <w:r>
        <w:rPr>
          <w:rFonts w:ascii="Arial" w:cs="Arial" w:eastAsia="Arial" w:hAnsi="Arial"/>
          <w:sz w:val="15"/>
          <w:szCs w:val="15"/>
          <w:b w:val="1"/>
          <w:bCs w:val="1"/>
          <w:color w:val="auto"/>
        </w:rPr>
        <w:t xml:space="preserve"> </w:t>
      </w:r>
      <w:r>
        <w:rPr>
          <w:rFonts w:ascii="Arial" w:cs="Arial" w:eastAsia="Arial" w:hAnsi="Arial"/>
          <w:sz w:val="15"/>
          <w:szCs w:val="15"/>
          <w:color w:val="auto"/>
        </w:rPr>
        <w:t>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upon request of the Company or underwriters managing any underwritten offering of the Company’s securities, not to sell, make any short sale of, loan, grant any option for the purchase of, or otherwise dispose of any shares issued pursuant to the exercise of this Option, without the prior written consent of the Company and such underwriters.</w:t>
      </w:r>
    </w:p>
    <w:p>
      <w:pPr>
        <w:spacing w:after="0" w:line="147" w:lineRule="exact"/>
        <w:rPr>
          <w:rFonts w:ascii="Arial" w:cs="Arial" w:eastAsia="Arial" w:hAnsi="Arial"/>
          <w:sz w:val="15"/>
          <w:szCs w:val="15"/>
          <w:color w:val="auto"/>
        </w:rPr>
      </w:pPr>
    </w:p>
    <w:p>
      <w:pPr>
        <w:ind w:left="547" w:right="640" w:hanging="547"/>
        <w:spacing w:after="0" w:line="298" w:lineRule="auto"/>
        <w:tabs>
          <w:tab w:leader="none" w:pos="543" w:val="left"/>
        </w:tabs>
        <w:numPr>
          <w:ilvl w:val="0"/>
          <w:numId w:val="172"/>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Company’s obligation to deliver shares shall be subject to the Holder’s satisfaction of any federal, state and local income and employment tax</w:t>
      </w:r>
      <w:r>
        <w:rPr>
          <w:rFonts w:ascii="Arial" w:cs="Arial" w:eastAsia="Arial" w:hAnsi="Arial"/>
          <w:sz w:val="15"/>
          <w:szCs w:val="15"/>
          <w:b w:val="1"/>
          <w:bCs w:val="1"/>
          <w:color w:val="auto"/>
        </w:rPr>
        <w:t xml:space="preserve"> </w:t>
      </w:r>
      <w:r>
        <w:rPr>
          <w:rFonts w:ascii="Arial" w:cs="Arial" w:eastAsia="Arial" w:hAnsi="Arial"/>
          <w:sz w:val="15"/>
          <w:szCs w:val="15"/>
          <w:color w:val="auto"/>
        </w:rPr>
        <w:t>withholding requirements.</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285990"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7" w:right="220" w:hanging="547"/>
        <w:spacing w:after="0" w:line="381" w:lineRule="auto"/>
        <w:tabs>
          <w:tab w:leader="none" w:pos="543" w:val="left"/>
        </w:tabs>
        <w:numPr>
          <w:ilvl w:val="0"/>
          <w:numId w:val="173"/>
        </w:numPr>
        <w:rPr>
          <w:rFonts w:ascii="Arial" w:cs="Arial" w:eastAsia="Arial" w:hAnsi="Arial"/>
          <w:sz w:val="13"/>
          <w:szCs w:val="13"/>
          <w:color w:val="auto"/>
        </w:rPr>
      </w:pPr>
      <w:r>
        <w:rPr>
          <w:rFonts w:ascii="Arial" w:cs="Arial" w:eastAsia="Arial" w:hAnsi="Arial"/>
          <w:sz w:val="13"/>
          <w:szCs w:val="13"/>
          <w:b w:val="1"/>
          <w:bCs w:val="1"/>
          <w:color w:val="auto"/>
        </w:rPr>
        <w:t xml:space="preserve">Notice. </w:t>
      </w:r>
      <w:r>
        <w:rPr>
          <w:rFonts w:ascii="Arial" w:cs="Arial" w:eastAsia="Arial" w:hAnsi="Arial"/>
          <w:sz w:val="13"/>
          <w:szCs w:val="13"/>
          <w:color w:val="auto"/>
        </w:rPr>
        <w:t>Any notice to be given to the Company hereunder shall be deemed sufficient if addressed to the Company and delivered to the office of the Company, Selecta</w:t>
      </w:r>
      <w:r>
        <w:rPr>
          <w:rFonts w:ascii="Arial" w:cs="Arial" w:eastAsia="Arial" w:hAnsi="Arial"/>
          <w:sz w:val="13"/>
          <w:szCs w:val="13"/>
          <w:b w:val="1"/>
          <w:bCs w:val="1"/>
          <w:color w:val="auto"/>
        </w:rPr>
        <w:t xml:space="preserve"> </w:t>
      </w:r>
      <w:r>
        <w:rPr>
          <w:rFonts w:ascii="Arial" w:cs="Arial" w:eastAsia="Arial" w:hAnsi="Arial"/>
          <w:sz w:val="13"/>
          <w:szCs w:val="13"/>
          <w:color w:val="auto"/>
        </w:rPr>
        <w:t>Biosciences, Inc., 480 Arsenal Street, Building One, Watertown, MA 02472, to the attention of the President, or such other address as the Company may hereafter designate.</w:t>
      </w:r>
    </w:p>
    <w:p>
      <w:pPr>
        <w:sectPr>
          <w:pgSz w:w="11900" w:h="16885" w:orient="portrait"/>
          <w:cols w:equalWidth="0" w:num="1">
            <w:col w:w="11447"/>
          </w:cols>
          <w:pgMar w:left="233" w:top="314" w:right="219" w:bottom="0" w:gutter="0" w:footer="0" w:header="0"/>
        </w:sectPr>
      </w:pPr>
    </w:p>
    <w:bookmarkStart w:id="297" w:name="page298"/>
    <w:bookmarkEnd w:id="297"/>
    <w:p>
      <w:pPr>
        <w:ind w:left="540" w:right="140"/>
        <w:spacing w:after="0" w:line="289" w:lineRule="auto"/>
        <w:rPr>
          <w:sz w:val="20"/>
          <w:szCs w:val="20"/>
          <w:color w:val="auto"/>
        </w:rPr>
      </w:pPr>
      <w:r>
        <w:rPr>
          <w:rFonts w:ascii="Arial" w:cs="Arial" w:eastAsia="Arial" w:hAnsi="Arial"/>
          <w:sz w:val="15"/>
          <w:szCs w:val="15"/>
          <w:color w:val="auto"/>
        </w:rPr>
        <w:t>Any notice to be given to the Holder hereunder shall be deemed sufficient if addressed to and delivered in person to the Holder at his or her address furnished to the Company or when deposited in the mail, postage prepaid, addressed to the Holder at such address.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have executed this Option, or caused this Option to be executed, as of the Date of Grant.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Selecta Biosciences, Inc.</w:t>
      </w:r>
    </w:p>
    <w:p>
      <w:pPr>
        <w:spacing w:after="0" w:line="383"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33883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338830" cy="7620"/>
                    </a:xfrm>
                    <a:prstGeom prst="rect">
                      <a:avLst/>
                    </a:prstGeom>
                    <a:noFill/>
                  </pic:spPr>
                </pic:pic>
              </a:graphicData>
            </a:graphic>
          </wp:anchor>
        </w:drawing>
      </w:r>
    </w:p>
    <w:p>
      <w:pPr>
        <w:spacing w:after="0" w:line="4"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[Robert L. Bratzler, President]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Holder hereby acknowledges receipt of a copy of the Plan and this Option (including Appendix A hereto), and agrees to the terms of this Option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3632835"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color w:val="auto"/>
        </w:rPr>
        <w:t>[Optionee]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Right of First Refusal</w:t>
      </w:r>
    </w:p>
    <w:p>
      <w:pPr>
        <w:spacing w:after="0" w:line="198" w:lineRule="exact"/>
        <w:rPr>
          <w:sz w:val="20"/>
          <w:szCs w:val="20"/>
          <w:color w:val="auto"/>
        </w:rPr>
      </w:pPr>
    </w:p>
    <w:p>
      <w:pPr>
        <w:ind w:right="120" w:firstLine="549"/>
        <w:spacing w:after="0" w:line="265" w:lineRule="auto"/>
        <w:tabs>
          <w:tab w:leader="none" w:pos="1112"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Prior to the effective date of a registration statement under the Securities Act, covering any shares of the Company’s Common Stock and until such time as the Company shall have effected a public offering of its Common Stock registered under the Securities Act, in the event that, at any time when the Holder (which term for purposes of this section shall mean the Holder and his or her executors, administrators and any other person to whom this Option may be transferred by will or the laws of descent and distribution) is permitted to do so, the Holder desires to sell, assign or otherwise transfer any of the shares issued upon the exercise of this Option, the Holder shall first offer such shares to the Company by giving written notice of the Holder’s desire so to sell, assign or transfer such shares.</w:t>
      </w:r>
    </w:p>
    <w:p>
      <w:pPr>
        <w:spacing w:after="0" w:line="159" w:lineRule="exact"/>
        <w:rPr>
          <w:rFonts w:ascii="Arial" w:cs="Arial" w:eastAsia="Arial" w:hAnsi="Arial"/>
          <w:sz w:val="15"/>
          <w:szCs w:val="15"/>
          <w:color w:val="auto"/>
        </w:rPr>
      </w:pPr>
    </w:p>
    <w:p>
      <w:pPr>
        <w:jc w:val="both"/>
        <w:ind w:right="220" w:firstLine="549"/>
        <w:spacing w:after="0" w:line="273" w:lineRule="auto"/>
        <w:tabs>
          <w:tab w:leader="none" w:pos="1112"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Notice of Intended Transfer</w:t>
      </w:r>
      <w:r>
        <w:rPr>
          <w:rFonts w:ascii="Arial" w:cs="Arial" w:eastAsia="Arial" w:hAnsi="Arial"/>
          <w:sz w:val="15"/>
          <w:szCs w:val="15"/>
          <w:color w:val="auto"/>
        </w:rPr>
        <w:t>. The notice shall state the number of shares offered, the name of the person or persons to whom it is proposed to sell, assign or transfer such shares and the price at which such shares are intended to be sold, assigned or transferred. Such notice shall constitute an offer to the Company for the Company to purchase the number of shares set forth in the notice at a price per share equal to the price stated therein.</w:t>
      </w:r>
    </w:p>
    <w:p>
      <w:pPr>
        <w:spacing w:after="0" w:line="152" w:lineRule="exact"/>
        <w:rPr>
          <w:rFonts w:ascii="Arial" w:cs="Arial" w:eastAsia="Arial" w:hAnsi="Arial"/>
          <w:sz w:val="15"/>
          <w:szCs w:val="15"/>
          <w:color w:val="auto"/>
        </w:rPr>
      </w:pPr>
    </w:p>
    <w:p>
      <w:pPr>
        <w:ind w:right="20" w:firstLine="549"/>
        <w:spacing w:after="0" w:line="264" w:lineRule="auto"/>
        <w:tabs>
          <w:tab w:leader="none" w:pos="1112"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Company to Accept or Decline Within 30 Days</w:t>
      </w:r>
      <w:r>
        <w:rPr>
          <w:rFonts w:ascii="Arial" w:cs="Arial" w:eastAsia="Arial" w:hAnsi="Arial"/>
          <w:sz w:val="15"/>
          <w:szCs w:val="15"/>
          <w:color w:val="auto"/>
        </w:rPr>
        <w:t>. The Company may accept the offer as to all, but not less than all, such shares by notifying the Holder in writing within 30 days after receipt of such notice of its acceptance of the offer. If the offer is accepted, the Company shall have 60 days within which to purchase the offered shares at a price per share as aforesaid. If within the applicable time periods the Holder does not receive notice of the Company’s intention to purchase the offered shares, or if payment in full of the purchase price is not made by the Company, the offer shall be deemed to have been rejected and the Holder may transfer title to such shares within 90 days from the date of the Holder’s written notice to the Company of the Holder’s intention to sell, but such transfer shall be made only to the proposed transferee and at the proposed price as stated in such notice and after compliance with any other provisions of this Option applicable to the transfer of such shares.</w:t>
      </w:r>
    </w:p>
    <w:p>
      <w:pPr>
        <w:spacing w:after="0" w:line="158" w:lineRule="exact"/>
        <w:rPr>
          <w:rFonts w:ascii="Arial" w:cs="Arial" w:eastAsia="Arial" w:hAnsi="Arial"/>
          <w:sz w:val="15"/>
          <w:szCs w:val="15"/>
          <w:color w:val="auto"/>
        </w:rPr>
      </w:pPr>
    </w:p>
    <w:p>
      <w:pPr>
        <w:jc w:val="both"/>
        <w:ind w:right="120" w:firstLine="549"/>
        <w:spacing w:after="0" w:line="273" w:lineRule="auto"/>
        <w:tabs>
          <w:tab w:leader="none" w:pos="1112"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Transferred Shares to Remain Subject to Right of First Refusal</w:t>
      </w:r>
      <w:r>
        <w:rPr>
          <w:rFonts w:ascii="Arial" w:cs="Arial" w:eastAsia="Arial" w:hAnsi="Arial"/>
          <w:sz w:val="15"/>
          <w:szCs w:val="15"/>
          <w:color w:val="auto"/>
        </w:rPr>
        <w:t>. Shares that are so transferred to such transferee shall remain subject to the rights of the Company set forth in this Appendix A. As a condition to such transfer, such transferee shall execute and deliver all such documents as the Company may require to evidence the binding agreement of such transferee so to remain subject to the rights of the Company.</w:t>
      </w:r>
    </w:p>
    <w:p>
      <w:pPr>
        <w:spacing w:after="0" w:line="152" w:lineRule="exact"/>
        <w:rPr>
          <w:rFonts w:ascii="Arial" w:cs="Arial" w:eastAsia="Arial" w:hAnsi="Arial"/>
          <w:sz w:val="15"/>
          <w:szCs w:val="15"/>
          <w:color w:val="auto"/>
        </w:rPr>
      </w:pPr>
    </w:p>
    <w:p>
      <w:pPr>
        <w:ind w:firstLine="549"/>
        <w:spacing w:after="0" w:line="289" w:lineRule="auto"/>
        <w:tabs>
          <w:tab w:leader="none" w:pos="1112" w:val="left"/>
        </w:tabs>
        <w:numPr>
          <w:ilvl w:val="0"/>
          <w:numId w:val="174"/>
        </w:numPr>
        <w:rPr>
          <w:rFonts w:ascii="Arial" w:cs="Arial" w:eastAsia="Arial" w:hAnsi="Arial"/>
          <w:sz w:val="14"/>
          <w:szCs w:val="14"/>
          <w:color w:val="auto"/>
        </w:rPr>
      </w:pPr>
      <w:r>
        <w:rPr>
          <w:rFonts w:ascii="Arial" w:cs="Arial" w:eastAsia="Arial" w:hAnsi="Arial"/>
          <w:sz w:val="14"/>
          <w:szCs w:val="14"/>
          <w:u w:val="single" w:color="auto"/>
          <w:color w:val="auto"/>
        </w:rPr>
        <w:t>Remedies of Company</w:t>
      </w:r>
      <w:r>
        <w:rPr>
          <w:rFonts w:ascii="Arial" w:cs="Arial" w:eastAsia="Arial" w:hAnsi="Arial"/>
          <w:sz w:val="14"/>
          <w:szCs w:val="14"/>
          <w:color w:val="auto"/>
        </w:rPr>
        <w:t>. No sale, assignment, pledge or transfer of any of the shares covered by this Option shall be effective or given effect on the books of the Company unless all of the applicable provisions of this Appendix A have been duly complied with, and the Company may inscribe on the face of any certificate representing any of such shares a legend referring to the provisions of this Appendix A. If any transfer of shares is made or attempted in violation of the foregoing restrictions, or if shares are not offered to the Company as required hereby, the Company shall have the right to purchase such shares from the owner thereof or his transferee at any time before or after the transfer, as herein provided. In addition to any other legal or equitable remedies which it may have, the Company may enforce its rights by actions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285990"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specific performance (to the extent permitted by law) and may refuse to recognize any transferee as one of its stockholders for any purpose, including, without limitation, for purposes of dividend and voting rights, until all applicable provisions hereof have been complied with.</w:t>
      </w:r>
    </w:p>
    <w:p>
      <w:pPr>
        <w:spacing w:after="0" w:line="141" w:lineRule="exact"/>
        <w:rPr>
          <w:sz w:val="20"/>
          <w:szCs w:val="20"/>
          <w:color w:val="auto"/>
        </w:rPr>
      </w:pPr>
    </w:p>
    <w:p>
      <w:pPr>
        <w:ind w:right="40" w:firstLine="549"/>
        <w:spacing w:after="0" w:line="268" w:lineRule="auto"/>
        <w:tabs>
          <w:tab w:leader="none" w:pos="111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Shares Subject to Right of First Refusal</w:t>
      </w:r>
      <w:r>
        <w:rPr>
          <w:rFonts w:ascii="Arial" w:cs="Arial" w:eastAsia="Arial" w:hAnsi="Arial"/>
          <w:sz w:val="15"/>
          <w:szCs w:val="15"/>
          <w:color w:val="auto"/>
        </w:rPr>
        <w:t>. For purposes of the Right of First Refusal pursuant to this Appendix A, the term “shares” shall mean any and all new, substituted or additional securities or other property issued to the Holder, by reason of his or her ownership of Common Stock pursuant to the exercise of this Option, in connection with any stock dividend, liquidating dividend, stock split or other change in the character or amount of any of the outstanding securities of the Company, or any consolidation, merger or sale of all or substantially all of the assets of the Company.</w:t>
      </w:r>
    </w:p>
    <w:p>
      <w:pPr>
        <w:spacing w:after="0" w:line="156" w:lineRule="exact"/>
        <w:rPr>
          <w:rFonts w:ascii="Arial" w:cs="Arial" w:eastAsia="Arial" w:hAnsi="Arial"/>
          <w:sz w:val="15"/>
          <w:szCs w:val="15"/>
          <w:color w:val="auto"/>
        </w:rPr>
      </w:pPr>
    </w:p>
    <w:p>
      <w:pPr>
        <w:ind w:right="400" w:firstLine="549"/>
        <w:spacing w:after="0" w:line="289" w:lineRule="auto"/>
        <w:tabs>
          <w:tab w:leader="none" w:pos="111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Legends on Stock Certificates</w:t>
      </w:r>
      <w:r>
        <w:rPr>
          <w:rFonts w:ascii="Arial" w:cs="Arial" w:eastAsia="Arial" w:hAnsi="Arial"/>
          <w:sz w:val="15"/>
          <w:szCs w:val="15"/>
          <w:color w:val="auto"/>
        </w:rPr>
        <w:t>. Any certificate representing shares of stock subject to the provisions of this Appendix A may have endorsed thereon one or more legends, substantially as follows:</w:t>
      </w:r>
    </w:p>
    <w:p>
      <w:pPr>
        <w:spacing w:after="0" w:line="140" w:lineRule="exact"/>
        <w:rPr>
          <w:rFonts w:ascii="Arial" w:cs="Arial" w:eastAsia="Arial" w:hAnsi="Arial"/>
          <w:sz w:val="15"/>
          <w:szCs w:val="15"/>
          <w:color w:val="auto"/>
        </w:rPr>
      </w:pPr>
    </w:p>
    <w:p>
      <w:pPr>
        <w:ind w:left="1520" w:right="80" w:hanging="416"/>
        <w:spacing w:after="0" w:line="273" w:lineRule="auto"/>
        <w:tabs>
          <w:tab w:leader="none" w:pos="1538" w:val="left"/>
        </w:tabs>
        <w:numPr>
          <w:ilvl w:val="1"/>
          <w:numId w:val="175"/>
        </w:numPr>
        <w:rPr>
          <w:rFonts w:ascii="Arial" w:cs="Arial" w:eastAsia="Arial" w:hAnsi="Arial"/>
          <w:sz w:val="15"/>
          <w:szCs w:val="15"/>
          <w:color w:val="auto"/>
        </w:rPr>
      </w:pPr>
      <w:r>
        <w:rPr>
          <w:rFonts w:ascii="Arial" w:cs="Arial" w:eastAsia="Arial" w:hAnsi="Arial"/>
          <w:sz w:val="15"/>
          <w:szCs w:val="15"/>
          <w:color w:val="auto"/>
        </w:rPr>
        <w:t>“Any disposition of any interest in the securities represented by this certificate is subject to restrictions, and the securities represented by this certificate are subject to certain options, contained in a certain agreement between the record holder hereof and the Company, a copy of which will be mailed to any holder of this certificate without charge upon receipt by the Company of a written request therefor.”</w:t>
      </w:r>
    </w:p>
    <w:p>
      <w:pPr>
        <w:spacing w:after="0" w:line="152" w:lineRule="exact"/>
        <w:rPr>
          <w:rFonts w:ascii="Arial" w:cs="Arial" w:eastAsia="Arial" w:hAnsi="Arial"/>
          <w:sz w:val="15"/>
          <w:szCs w:val="15"/>
          <w:color w:val="auto"/>
        </w:rPr>
      </w:pPr>
    </w:p>
    <w:p>
      <w:pPr>
        <w:jc w:val="both"/>
        <w:ind w:left="1520" w:right="80" w:hanging="416"/>
        <w:spacing w:after="0" w:line="273" w:lineRule="auto"/>
        <w:tabs>
          <w:tab w:leader="none" w:pos="1546"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“The shares of stock represented by this certificate have not been registered under the Securities Act of 1933 or under the securities laws of any state and may not be pledged, hypothecated, sold or otherwise transferred except upon such registration or upon receipt by the Company of an opinion of counsel satisfactory to the Company, in form and substance satisfactory to the Company, that such registration is not required.”</w:t>
      </w:r>
    </w:p>
    <w:p>
      <w:pPr>
        <w:spacing w:after="0" w:line="152" w:lineRule="exact"/>
        <w:rPr>
          <w:rFonts w:ascii="Arial" w:cs="Arial" w:eastAsia="Arial" w:hAnsi="Arial"/>
          <w:sz w:val="15"/>
          <w:szCs w:val="15"/>
          <w:color w:val="auto"/>
        </w:rPr>
      </w:pPr>
    </w:p>
    <w:p>
      <w:pPr>
        <w:ind w:right="60" w:firstLine="549"/>
        <w:spacing w:after="0" w:line="289" w:lineRule="auto"/>
        <w:tabs>
          <w:tab w:leader="none" w:pos="111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Right of First Refusal to Lapse Upon Registration</w:t>
      </w:r>
      <w:r>
        <w:rPr>
          <w:rFonts w:ascii="Arial" w:cs="Arial" w:eastAsia="Arial" w:hAnsi="Arial"/>
          <w:sz w:val="15"/>
          <w:szCs w:val="15"/>
          <w:color w:val="auto"/>
        </w:rPr>
        <w:t>. The restrictions imposed by this Appendix A shall terminate in all respects upon the effective date of a registration statement under the Securities Act covering any of the Company’s Common Stock.</w:t>
      </w:r>
    </w:p>
    <w:p>
      <w:pPr>
        <w:sectPr>
          <w:pgSz w:w="11900" w:h="16838" w:orient="portrait"/>
          <w:cols w:equalWidth="0" w:num="1">
            <w:col w:w="11440"/>
          </w:cols>
          <w:pgMar w:left="240" w:top="129" w:right="21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5990"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5"/>
          <w:szCs w:val="15"/>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4" w:lineRule="exact"/>
        <w:rPr>
          <w:sz w:val="20"/>
          <w:szCs w:val="20"/>
          <w:color w:val="auto"/>
        </w:rPr>
      </w:pPr>
    </w:p>
    <w:p>
      <w:pPr>
        <w:ind w:right="80"/>
        <w:spacing w:after="0" w:line="327" w:lineRule="auto"/>
        <w:rPr>
          <w:sz w:val="20"/>
          <w:szCs w:val="20"/>
          <w:color w:val="auto"/>
        </w:rPr>
      </w:pPr>
      <w:r>
        <w:rPr>
          <w:rFonts w:ascii="Arial" w:cs="Arial" w:eastAsia="Arial" w:hAnsi="Arial"/>
          <w:sz w:val="14"/>
          <w:szCs w:val="14"/>
          <w:color w:val="auto"/>
        </w:rPr>
        <w:t>We consent to the reference to our firm under the caption “Experts” and to the use of our report dated March 30, 2016 (except for Note 17(b) as to which the date is June 8, 2016) in the Amendment No. 2 to the Registration Statement (Form S-1 No. 333-211555) and related Prospectus of Selecta Biosciences, Inc. for the registration of its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June 20,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5990"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5990" cy="27305"/>
                    </a:xfrm>
                    <a:prstGeom prst="rect">
                      <a:avLst/>
                    </a:prstGeom>
                    <a:noFill/>
                  </pic:spPr>
                </pic:pic>
              </a:graphicData>
            </a:graphic>
          </wp:anchor>
        </w:drawing>
      </w:r>
    </w:p>
    <w:sectPr>
      <w:pgSz w:w="11900" w:h="16838" w:orient="portrait"/>
      <w:cols w:equalWidth="0" w:num="1">
        <w:col w:w="11440"/>
      </w:cols>
      <w:pgMar w:left="240" w:top="3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1)"/>
      <w:numFmt w:val="decimal"/>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1)"/>
      <w:numFmt w:val="decimal"/>
      <w:start w:val="1"/>
    </w:lvl>
  </w:abstractNum>
  <w:abstractNum w:abstractNumId="12">
    <w:nsid w:val="60EF0119"/>
    <w:multiLevelType w:val="hybridMultilevel"/>
    <w:lvl w:ilvl="0">
      <w:lvlJc w:val="left"/>
      <w:lvlText w:val="(%1)"/>
      <w:numFmt w:val="decimal"/>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
      <w:numFmt w:val="bullet"/>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1)"/>
      <w:numFmt w:val="decimal"/>
      <w:start w:val="4"/>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
      <w:numFmt w:val="bullet"/>
      <w:start w:val="1"/>
    </w:lvl>
  </w:abstractNum>
  <w:abstractNum w:abstractNumId="51">
    <w:nsid w:val="5C10FE21"/>
    <w:multiLevelType w:val="hybridMultilevel"/>
    <w:lvl w:ilvl="0">
      <w:lvlJc w:val="left"/>
      <w:lvlText w:val="(%1)"/>
      <w:numFmt w:val="decimal"/>
      <w:start w:val="1"/>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
      <w:numFmt w:val="bullet"/>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
      <w:numFmt w:val="bullet"/>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1)"/>
      <w:numFmt w:val="lowerRoman"/>
      <w:start w:val="4"/>
    </w:lvl>
  </w:abstractNum>
  <w:abstractNum w:abstractNumId="59">
    <w:nsid w:val="379E21B5"/>
    <w:multiLevelType w:val="hybridMultilevel"/>
    <w:lvl w:ilvl="0">
      <w:lvlJc w:val="left"/>
      <w:lvlText w:val="(%1)"/>
      <w:numFmt w:val="decimal"/>
      <w:start w:val="1"/>
    </w:lvl>
  </w:abstractNum>
  <w:abstractNum w:abstractNumId="60">
    <w:nsid w:val="69E373"/>
    <w:multiLevelType w:val="hybridMultilevel"/>
    <w:lvl w:ilvl="0">
      <w:lvlJc w:val="left"/>
      <w:lvlText w:val="(%1)"/>
      <w:numFmt w:val="decimal"/>
      <w:start w:val="2"/>
    </w:lvl>
  </w:abstractNum>
  <w:abstractNum w:abstractNumId="61">
    <w:nsid w:val="2C27173B"/>
    <w:multiLevelType w:val="hybridMultilevel"/>
    <w:lvl w:ilvl="0">
      <w:lvlJc w:val="left"/>
      <w:lvlText w:val="•"/>
      <w:numFmt w:val="bullet"/>
      <w:start w:val="1"/>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1)"/>
      <w:numFmt w:val="decimal"/>
      <w:start w:val="1"/>
    </w:lvl>
  </w:abstractNum>
  <w:abstractNum w:abstractNumId="65">
    <w:nsid w:val="5675FF36"/>
    <w:multiLevelType w:val="hybridMultilevel"/>
    <w:lvl w:ilvl="0">
      <w:lvlJc w:val="left"/>
      <w:lvlText w:val="(%1)"/>
      <w:numFmt w:val="decimal"/>
      <w:start w:val="2"/>
    </w:lvl>
  </w:abstractNum>
  <w:abstractNum w:abstractNumId="66">
    <w:nsid w:val="3DD15094"/>
    <w:multiLevelType w:val="hybridMultilevel"/>
    <w:lvl w:ilvl="0">
      <w:lvlJc w:val="left"/>
      <w:lvlText w:val="•"/>
      <w:numFmt w:val="bullet"/>
      <w:start w:val="1"/>
    </w:lvl>
  </w:abstractNum>
  <w:abstractNum w:abstractNumId="67">
    <w:nsid w:val="3DB012B3"/>
    <w:multiLevelType w:val="hybridMultilevel"/>
    <w:lvl w:ilvl="0">
      <w:lvlJc w:val="left"/>
      <w:lvlText w:val="(%1)"/>
      <w:numFmt w:val="lowerRoman"/>
      <w:start w:val="1"/>
    </w:lvl>
  </w:abstractNum>
  <w:abstractNum w:abstractNumId="68">
    <w:nsid w:val="2708C9AF"/>
    <w:multiLevelType w:val="hybridMultilevel"/>
    <w:lvl w:ilvl="0">
      <w:lvlJc w:val="left"/>
      <w:lvlText w:val="•"/>
      <w:numFmt w:val="bullet"/>
      <w:start w:val="1"/>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
      <w:numFmt w:val="bullet"/>
      <w:start w:val="1"/>
    </w:lvl>
  </w:abstractNum>
  <w:abstractNum w:abstractNumId="71">
    <w:nsid w:val="4F97E3E4"/>
    <w:multiLevelType w:val="hybridMultilevel"/>
    <w:lvl w:ilvl="0">
      <w:lvlJc w:val="left"/>
      <w:lvlText w:val="•"/>
      <w:numFmt w:val="bullet"/>
      <w:start w:val="1"/>
    </w:lvl>
  </w:abstractNum>
  <w:abstractNum w:abstractNumId="72">
    <w:nsid w:val="53B0A9E"/>
    <w:multiLevelType w:val="hybridMultilevel"/>
    <w:lvl w:ilvl="0">
      <w:lvlJc w:val="left"/>
      <w:lvlText w:val="•"/>
      <w:numFmt w:val="bullet"/>
      <w:start w:val="1"/>
    </w:lvl>
  </w:abstractNum>
  <w:abstractNum w:abstractNumId="73">
    <w:nsid w:val="34FD6B4F"/>
    <w:multiLevelType w:val="hybridMultilevel"/>
    <w:lvl w:ilvl="0">
      <w:lvlJc w:val="left"/>
      <w:lvlText w:val="•"/>
      <w:numFmt w:val="bullet"/>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lvl w:ilvl="1">
      <w:lvlJc w:val="left"/>
      <w:lvlText w:val="•"/>
      <w:numFmt w:val="bullet"/>
      <w:start w:val="1"/>
    </w:lvl>
  </w:abstractNum>
  <w:abstractNum w:abstractNumId="91">
    <w:nsid w:val="2157F6BC"/>
    <w:multiLevelType w:val="hybridMultilevel"/>
    <w:lvl w:ilvl="0">
      <w:lvlJc w:val="left"/>
      <w:lvlText w:val="(%1)"/>
      <w:numFmt w:val="decimal"/>
      <w:start w:val="1"/>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
      <w:numFmt w:val="bullet"/>
      <w:start w:val="1"/>
    </w:lvl>
  </w:abstractNum>
  <w:abstractNum w:abstractNumId="95">
    <w:nsid w:val="E3E47A8"/>
    <w:multiLevelType w:val="hybridMultilevel"/>
    <w:lvl w:ilvl="0">
      <w:lvlJc w:val="left"/>
      <w:lvlText w:val="•"/>
      <w:numFmt w:val="bullet"/>
      <w:start w:val="1"/>
    </w:lvl>
  </w:abstractNum>
  <w:abstractNum w:abstractNumId="96">
    <w:nsid w:val="2E48F044"/>
    <w:multiLevelType w:val="hybridMultilevel"/>
    <w:lvl w:ilvl="0">
      <w:lvlJc w:val="left"/>
      <w:lvlText w:val="(%1)"/>
      <w:numFmt w:val="lowerLetter"/>
      <w:start w:val="2"/>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1)"/>
      <w:numFmt w:val="decimal"/>
      <w:start w:val="1"/>
    </w:lvl>
  </w:abstractNum>
  <w:abstractNum w:abstractNumId="99">
    <w:nsid w:val="5551B9F3"/>
    <w:multiLevelType w:val="hybridMultilevel"/>
    <w:lvl w:ilvl="0">
      <w:lvlJc w:val="left"/>
      <w:lvlText w:val="•"/>
      <w:numFmt w:val="bullet"/>
      <w:start w:val="1"/>
    </w:lvl>
  </w:abstractNum>
  <w:abstractNum w:abstractNumId="100">
    <w:nsid w:val="24F6AB8E"/>
    <w:multiLevelType w:val="hybridMultilevel"/>
    <w:lvl w:ilvl="0">
      <w:lvlJc w:val="left"/>
      <w:lvlText w:val="•"/>
      <w:numFmt w:val="bullet"/>
      <w:start w:val="1"/>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1)"/>
      <w:numFmt w:val="decimal"/>
      <w:start w:val="1"/>
    </w:lvl>
  </w:abstractNum>
  <w:abstractNum w:abstractNumId="106">
    <w:nsid w:val="754342"/>
    <w:multiLevelType w:val="hybridMultilevel"/>
    <w:lvl w:ilvl="0">
      <w:lvlJc w:val="left"/>
      <w:lvlText w:val="(%1)"/>
      <w:numFmt w:val="decimal"/>
      <w:start w:val="1"/>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1)"/>
      <w:numFmt w:val="decimal"/>
      <w:start w:val="4"/>
    </w:lvl>
  </w:abstractNum>
  <w:abstractNum w:abstractNumId="110">
    <w:nsid w:val="37DF2233"/>
    <w:multiLevelType w:val="hybridMultilevel"/>
    <w:lvl w:ilvl="0">
      <w:lvlJc w:val="left"/>
      <w:lvlText w:val="(%1)"/>
      <w:numFmt w:val="decimal"/>
      <w:start w:val="1"/>
    </w:lvl>
  </w:abstractNum>
  <w:abstractNum w:abstractNumId="111">
    <w:nsid w:val="7AB49DAF"/>
    <w:multiLevelType w:val="hybridMultilevel"/>
    <w:lvl w:ilvl="0">
      <w:lvlJc w:val="left"/>
      <w:lvlText w:val="(%1)"/>
      <w:numFmt w:val="decimal"/>
      <w:start w:val="1"/>
    </w:lvl>
  </w:abstractNum>
  <w:abstractNum w:abstractNumId="112">
    <w:nsid w:val="759F82CD"/>
    <w:multiLevelType w:val="hybridMultilevel"/>
    <w:lvl w:ilvl="0">
      <w:lvlJc w:val="left"/>
      <w:lvlText w:val="•"/>
      <w:numFmt w:val="bullet"/>
      <w:start w:val="1"/>
    </w:lvl>
    <w:lvl w:ilvl="1">
      <w:lvlJc w:val="left"/>
      <w:lvlText w:val="•"/>
      <w:numFmt w:val="bullet"/>
      <w:start w:val="1"/>
    </w:lvl>
  </w:abstractNum>
  <w:abstractNum w:abstractNumId="113">
    <w:nsid w:val="61E74EA3"/>
    <w:multiLevelType w:val="hybridMultilevel"/>
    <w:lvl w:ilvl="0">
      <w:lvlJc w:val="left"/>
      <w:lvlText w:val="(%1)"/>
      <w:numFmt w:val="decimal"/>
      <w:start w:val="1"/>
    </w:lvl>
  </w:abstractNum>
  <w:abstractNum w:abstractNumId="114">
    <w:nsid w:val="597B4D84"/>
    <w:multiLevelType w:val="hybridMultilevel"/>
    <w:lvl w:ilvl="0">
      <w:lvlJc w:val="left"/>
      <w:lvlText w:val="(%1)"/>
      <w:numFmt w:val="decimal"/>
      <w:start w:val="2"/>
    </w:lvl>
  </w:abstractNum>
  <w:abstractNum w:abstractNumId="115">
    <w:nsid w:val="F819E7F"/>
    <w:multiLevelType w:val="hybridMultilevel"/>
    <w:lvl w:ilvl="0">
      <w:lvlJc w:val="left"/>
      <w:lvlText w:val="(%1)"/>
      <w:numFmt w:val="decimal"/>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1)"/>
      <w:numFmt w:val="decimal"/>
      <w:start w:val="1"/>
    </w:lvl>
  </w:abstractNum>
  <w:abstractNum w:abstractNumId="119">
    <w:nsid w:val="78B5E776"/>
    <w:multiLevelType w:val="hybridMultilevel"/>
    <w:lvl w:ilvl="0">
      <w:lvlJc w:val="left"/>
      <w:lvlText w:val="(%1)"/>
      <w:numFmt w:val="decimal"/>
      <w:start w:val="3"/>
    </w:lvl>
  </w:abstractNum>
  <w:abstractNum w:abstractNumId="120">
    <w:nsid w:val="75486E47"/>
    <w:multiLevelType w:val="hybridMultilevel"/>
    <w:lvl w:ilvl="0">
      <w:lvlJc w:val="left"/>
      <w:lvlText w:val="•"/>
      <w:numFmt w:val="bullet"/>
      <w:start w:val="1"/>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1)"/>
      <w:numFmt w:val="lowerRoman"/>
      <w:start w:val="2"/>
    </w:lvl>
  </w:abstractNum>
  <w:abstractNum w:abstractNumId="126">
    <w:nsid w:val="73D4D3C4"/>
    <w:multiLevelType w:val="hybridMultilevel"/>
    <w:lvl w:ilvl="0">
      <w:lvlJc w:val="left"/>
      <w:lvlText w:val="•"/>
      <w:numFmt w:val="bullet"/>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
      <w:numFmt w:val="bullet"/>
      <w:start w:val="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1)"/>
      <w:numFmt w:val="lowerLetter"/>
      <w:start w:val="1"/>
    </w:lvl>
  </w:abstractNum>
  <w:abstractNum w:abstractNumId="131">
    <w:nsid w:val="14D53685"/>
    <w:multiLevelType w:val="hybridMultilevel"/>
    <w:lvl w:ilvl="0">
      <w:lvlJc w:val="left"/>
      <w:lvlText w:val="(%1)"/>
      <w:numFmt w:val="lowerLetter"/>
      <w:start w:val="1"/>
    </w:lvl>
    <w:lvl w:ilvl="1">
      <w:lvlJc w:val="left"/>
      <w:lvlText w:val="(%2)"/>
      <w:numFmt w:val="decimal"/>
      <w:start w:val="1"/>
    </w:lvl>
  </w:abstractNum>
  <w:abstractNum w:abstractNumId="132">
    <w:nsid w:val="230F856C"/>
    <w:multiLevelType w:val="hybridMultilevel"/>
    <w:lvl w:ilvl="0">
      <w:lvlJc w:val="left"/>
      <w:lvlText w:val="%1."/>
      <w:numFmt w:val="decimal"/>
      <w:start w:val="2"/>
    </w:lvl>
  </w:abstractNum>
  <w:abstractNum w:abstractNumId="133">
    <w:nsid w:val="6EAA85FB"/>
    <w:multiLevelType w:val="hybridMultilevel"/>
    <w:lvl w:ilvl="0">
      <w:lvlJc w:val="left"/>
      <w:lvlText w:val="•"/>
      <w:numFmt w:val="bullet"/>
      <w:start w:val="1"/>
    </w:lvl>
  </w:abstractNum>
  <w:abstractNum w:abstractNumId="134">
    <w:nsid w:val="3F06ECB2"/>
    <w:multiLevelType w:val="hybridMultilevel"/>
    <w:lvl w:ilvl="0">
      <w:lvlJc w:val="left"/>
      <w:lvlText w:val="(%1)"/>
      <w:numFmt w:val="lowerRoman"/>
      <w:start w:val="2"/>
    </w:lvl>
  </w:abstractNum>
  <w:abstractNum w:abstractNumId="135">
    <w:nsid w:val="3B594807"/>
    <w:multiLevelType w:val="hybridMultilevel"/>
    <w:lvl w:ilvl="0">
      <w:lvlJc w:val="left"/>
      <w:lvlText w:val="%1."/>
      <w:numFmt w:val="decimal"/>
      <w:start w:val="12"/>
    </w:lvl>
  </w:abstractNum>
  <w:abstractNum w:abstractNumId="136">
    <w:nsid w:val="6CAA2304"/>
    <w:multiLevelType w:val="hybridMultilevel"/>
    <w:lvl w:ilvl="0">
      <w:lvlJc w:val="left"/>
      <w:lvlText w:val="%1)"/>
      <w:numFmt w:val="lowerLetter"/>
      <w:start w:val="3"/>
    </w:lvl>
  </w:abstractNum>
  <w:abstractNum w:abstractNumId="137">
    <w:nsid w:val="3F7C2FF4"/>
    <w:multiLevelType w:val="hybridMultilevel"/>
    <w:lvl w:ilvl="0">
      <w:lvlJc w:val="left"/>
      <w:lvlText w:val="*"/>
      <w:numFmt w:val="bullet"/>
      <w:start w:val="1"/>
    </w:lvl>
  </w:abstractNum>
  <w:abstractNum w:abstractNumId="138">
    <w:nsid w:val="25413BEC"/>
    <w:multiLevelType w:val="hybridMultilevel"/>
    <w:lvl w:ilvl="0">
      <w:lvlJc w:val="left"/>
      <w:lvlText w:val="**"/>
      <w:numFmt w:val="bullet"/>
      <w:start w:val="1"/>
    </w:lvl>
  </w:abstractNum>
  <w:abstractNum w:abstractNumId="139">
    <w:nsid w:val="17180B0B"/>
    <w:multiLevelType w:val="hybridMultilevel"/>
    <w:lvl w:ilvl="0">
      <w:lvlJc w:val="left"/>
      <w:lvlText w:val="(%1)"/>
      <w:numFmt w:val="lowerLetter"/>
      <w:start w:val="1"/>
    </w:lvl>
    <w:lvl w:ilvl="1">
      <w:lvlJc w:val="left"/>
      <w:lvlText w:val="†"/>
      <w:numFmt w:val="bullet"/>
      <w:start w:val="1"/>
    </w:lvl>
  </w:abstractNum>
  <w:abstractNum w:abstractNumId="140">
    <w:nsid w:val="579328B9"/>
    <w:multiLevelType w:val="hybridMultilevel"/>
    <w:lvl w:ilvl="0">
      <w:lvlJc w:val="left"/>
      <w:lvlText w:val="(%1)"/>
      <w:numFmt w:val="decimal"/>
      <w:start w:val="1"/>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
      <w:numFmt w:val="bullet"/>
      <w:start w:val="1"/>
    </w:lvl>
  </w:abstractNum>
  <w:abstractNum w:abstractNumId="143">
    <w:nsid w:val="4D32AB86"/>
    <w:multiLevelType w:val="hybridMultilevel"/>
    <w:lvl w:ilvl="0">
      <w:lvlJc w:val="left"/>
      <w:lvlText w:val="%1."/>
      <w:numFmt w:val="decimal"/>
      <w:start w:val="1"/>
    </w:lvl>
  </w:abstractNum>
  <w:abstractNum w:abstractNumId="144">
    <w:nsid w:val="3F07ACC3"/>
    <w:multiLevelType w:val="hybridMultilevel"/>
    <w:lvl w:ilvl="0">
      <w:lvlJc w:val="left"/>
      <w:lvlText w:val="%1."/>
      <w:numFmt w:val="decimal"/>
      <w:start w:val="2"/>
    </w:lvl>
  </w:abstractNum>
  <w:abstractNum w:abstractNumId="145">
    <w:nsid w:val="6B47F63E"/>
    <w:multiLevelType w:val="hybridMultilevel"/>
    <w:lvl w:ilvl="0">
      <w:lvlJc w:val="left"/>
      <w:lvlText w:val="%1."/>
      <w:numFmt w:val="decimal"/>
      <w:start w:val="3"/>
    </w:lvl>
  </w:abstractNum>
  <w:abstractNum w:abstractNumId="146">
    <w:nsid w:val="5CB44A05"/>
    <w:multiLevelType w:val="hybridMultilevel"/>
    <w:lvl w:ilvl="0">
      <w:lvlJc w:val="left"/>
      <w:lvlText w:val="%1."/>
      <w:numFmt w:val="decimal"/>
      <w:start w:val="4"/>
    </w:lvl>
  </w:abstractNum>
  <w:abstractNum w:abstractNumId="147">
    <w:nsid w:val="16CF80F1"/>
    <w:multiLevelType w:val="hybridMultilevel"/>
    <w:lvl w:ilvl="0">
      <w:lvlJc w:val="left"/>
      <w:lvlText w:val="%1."/>
      <w:numFmt w:val="decimal"/>
      <w:start w:val="5"/>
    </w:lvl>
  </w:abstractNum>
  <w:abstractNum w:abstractNumId="148">
    <w:nsid w:val="1C695DEC"/>
    <w:multiLevelType w:val="hybridMultilevel"/>
    <w:lvl w:ilvl="0">
      <w:lvlJc w:val="left"/>
      <w:lvlText w:val="%1."/>
      <w:numFmt w:val="decimal"/>
      <w:start w:val="6"/>
    </w:lvl>
    <w:lvl w:ilvl="1">
      <w:lvlJc w:val="left"/>
      <w:lvlText w:val="(%2)"/>
      <w:numFmt w:val="lowerRoman"/>
      <w:start w:val="1"/>
    </w:lvl>
  </w:abstractNum>
  <w:abstractNum w:abstractNumId="149">
    <w:nsid w:val="3FCFAED9"/>
    <w:multiLevelType w:val="hybridMultilevel"/>
    <w:lvl w:ilvl="0">
      <w:lvlJc w:val="left"/>
      <w:lvlText w:val="%1."/>
      <w:numFmt w:val="decimal"/>
      <w:start w:val="7"/>
    </w:lvl>
  </w:abstractNum>
  <w:abstractNum w:abstractNumId="150">
    <w:nsid w:val="F856867"/>
    <w:multiLevelType w:val="hybridMultilevel"/>
    <w:lvl w:ilvl="0">
      <w:lvlJc w:val="left"/>
      <w:lvlText w:val="%1."/>
      <w:numFmt w:val="decimal"/>
      <w:start w:val="8"/>
    </w:lvl>
  </w:abstractNum>
  <w:abstractNum w:abstractNumId="151">
    <w:nsid w:val="11B1CC33"/>
    <w:multiLevelType w:val="hybridMultilevel"/>
    <w:lvl w:ilvl="0">
      <w:lvlJc w:val="left"/>
      <w:lvlText w:val="%1."/>
      <w:numFmt w:val="decimal"/>
      <w:start w:val="10"/>
    </w:lvl>
    <w:lvl w:ilvl="1">
      <w:lvlJc w:val="left"/>
      <w:lvlText w:val="(%2)"/>
      <w:numFmt w:val="lowerRoman"/>
      <w:start w:val="1"/>
    </w:lvl>
  </w:abstractNum>
  <w:abstractNum w:abstractNumId="152">
    <w:nsid w:val="2E22FBB7"/>
    <w:multiLevelType w:val="hybridMultilevel"/>
    <w:lvl w:ilvl="0">
      <w:lvlJc w:val="left"/>
      <w:lvlText w:val="(%1)"/>
      <w:numFmt w:val="lowerRoman"/>
      <w:start w:val="2"/>
    </w:lvl>
  </w:abstractNum>
  <w:abstractNum w:abstractNumId="153">
    <w:nsid w:val="29934699"/>
    <w:multiLevelType w:val="hybridMultilevel"/>
    <w:lvl w:ilvl="0">
      <w:lvlJc w:val="left"/>
      <w:lvlText w:val="(%1)"/>
      <w:numFmt w:val="lowerLetter"/>
      <w:start w:val="2"/>
    </w:lvl>
  </w:abstractNum>
  <w:abstractNum w:abstractNumId="154">
    <w:nsid w:val="77485850"/>
    <w:multiLevelType w:val="hybridMultilevel"/>
    <w:lvl w:ilvl="0">
      <w:lvlJc w:val="left"/>
      <w:lvlText w:val="%1."/>
      <w:numFmt w:val="decimal"/>
      <w:start w:val="11"/>
    </w:lvl>
  </w:abstractNum>
  <w:abstractNum w:abstractNumId="155">
    <w:nsid w:val="744939A3"/>
    <w:multiLevelType w:val="hybridMultilevel"/>
    <w:lvl w:ilvl="0">
      <w:lvlJc w:val="left"/>
      <w:lvlText w:val="%1."/>
      <w:numFmt w:val="decimal"/>
      <w:start w:val="15"/>
    </w:lvl>
  </w:abstractNum>
  <w:abstractNum w:abstractNumId="156">
    <w:nsid w:val="4FA0D2E3"/>
    <w:multiLevelType w:val="hybridMultilevel"/>
    <w:lvl w:ilvl="0">
      <w:lvlJc w:val="left"/>
      <w:lvlText w:val="%1."/>
      <w:numFmt w:val="decimal"/>
      <w:start w:val="16"/>
    </w:lvl>
  </w:abstractNum>
  <w:abstractNum w:abstractNumId="157">
    <w:nsid w:val="6B1D2C14"/>
    <w:multiLevelType w:val="hybridMultilevel"/>
    <w:lvl w:ilvl="0">
      <w:lvlJc w:val="left"/>
      <w:lvlText w:val="%1."/>
      <w:numFmt w:val="decimal"/>
      <w:start w:val="17"/>
    </w:lvl>
  </w:abstractNum>
  <w:abstractNum w:abstractNumId="158">
    <w:nsid w:val="68B867D3"/>
    <w:multiLevelType w:val="hybridMultilevel"/>
    <w:lvl w:ilvl="0">
      <w:lvlJc w:val="left"/>
      <w:lvlText w:val="%1."/>
      <w:numFmt w:val="decimal"/>
      <w:start w:val="21"/>
    </w:lvl>
  </w:abstractNum>
  <w:abstractNum w:abstractNumId="159">
    <w:nsid w:val="3F7F5DD9"/>
    <w:multiLevelType w:val="hybridMultilevel"/>
    <w:lvl w:ilvl="0">
      <w:lvlJc w:val="left"/>
      <w:lvlText w:val="%1."/>
      <w:numFmt w:val="decimal"/>
      <w:start w:val="22"/>
    </w:lvl>
  </w:abstractNum>
  <w:abstractNum w:abstractNumId="160">
    <w:nsid w:val="2AE05A34"/>
    <w:multiLevelType w:val="hybridMultilevel"/>
    <w:lvl w:ilvl="0">
      <w:lvlJc w:val="left"/>
      <w:lvlText w:val="%1."/>
      <w:numFmt w:val="decimal"/>
      <w:start w:val="23"/>
    </w:lvl>
  </w:abstractNum>
  <w:abstractNum w:abstractNumId="161">
    <w:nsid w:val="32794FF7"/>
    <w:multiLevelType w:val="hybridMultilevel"/>
    <w:lvl w:ilvl="0">
      <w:lvlJc w:val="left"/>
      <w:lvlText w:val="%1."/>
      <w:numFmt w:val="decimal"/>
      <w:start w:val="6"/>
    </w:lvl>
    <w:lvl w:ilvl="1">
      <w:lvlJc w:val="left"/>
      <w:lvlText w:val="(%2)"/>
      <w:numFmt w:val="lowerRoman"/>
      <w:start w:val="1"/>
    </w:lvl>
  </w:abstractNum>
  <w:abstractNum w:abstractNumId="162">
    <w:nsid w:val="5454945E"/>
    <w:multiLevelType w:val="hybridMultilevel"/>
    <w:lvl w:ilvl="0">
      <w:lvlJc w:val="left"/>
      <w:lvlText w:val="%1."/>
      <w:numFmt w:val="decimal"/>
      <w:start w:val="8"/>
    </w:lvl>
    <w:lvl w:ilvl="1">
      <w:lvlJc w:val="left"/>
      <w:lvlText w:val="(%2)"/>
      <w:numFmt w:val="lowerRoman"/>
      <w:start w:val="1"/>
    </w:lvl>
  </w:abstractNum>
  <w:abstractNum w:abstractNumId="163">
    <w:nsid w:val="4DEFDFA0"/>
    <w:multiLevelType w:val="hybridMultilevel"/>
    <w:lvl w:ilvl="0">
      <w:lvlJc w:val="left"/>
      <w:lvlText w:val="%1."/>
      <w:numFmt w:val="decimal"/>
      <w:start w:val="10"/>
    </w:lvl>
  </w:abstractNum>
  <w:abstractNum w:abstractNumId="164">
    <w:nsid w:val="2123D5F2"/>
    <w:multiLevelType w:val="hybridMultilevel"/>
    <w:lvl w:ilvl="0">
      <w:lvlJc w:val="left"/>
      <w:lvlText w:val="%1."/>
      <w:numFmt w:val="decimal"/>
      <w:start w:val="1"/>
    </w:lvl>
  </w:abstractNum>
  <w:abstractNum w:abstractNumId="165">
    <w:nsid w:val="135B8110"/>
    <w:multiLevelType w:val="hybridMultilevel"/>
    <w:lvl w:ilvl="0">
      <w:lvlJc w:val="left"/>
      <w:lvlText w:val="%1."/>
      <w:numFmt w:val="decimal"/>
      <w:start w:val="6"/>
    </w:lvl>
    <w:lvl w:ilvl="1">
      <w:lvlJc w:val="left"/>
      <w:lvlText w:val="(%2)"/>
      <w:numFmt w:val="lowerRoman"/>
      <w:start w:val="1"/>
    </w:lvl>
  </w:abstractNum>
  <w:abstractNum w:abstractNumId="166">
    <w:nsid w:val="94927A8"/>
    <w:multiLevelType w:val="hybridMultilevel"/>
    <w:lvl w:ilvl="0">
      <w:lvlJc w:val="left"/>
      <w:lvlText w:val="%1"/>
      <w:numFmt w:val="decimal"/>
      <w:start w:val="1"/>
    </w:lvl>
    <w:lvl w:ilvl="1">
      <w:lvlJc w:val="left"/>
      <w:lvlText w:val="(%2)"/>
      <w:numFmt w:val="lowerRoman"/>
      <w:start w:val="2"/>
    </w:lvl>
  </w:abstractNum>
  <w:abstractNum w:abstractNumId="167">
    <w:nsid w:val="DCDF8F6"/>
    <w:multiLevelType w:val="hybridMultilevel"/>
    <w:lvl w:ilvl="0">
      <w:lvlJc w:val="left"/>
      <w:lvlText w:val="%1."/>
      <w:numFmt w:val="decimal"/>
      <w:start w:val="8"/>
    </w:lvl>
    <w:lvl w:ilvl="1">
      <w:lvlJc w:val="left"/>
      <w:lvlText w:val="%2"/>
      <w:numFmt w:val="lowerRoman"/>
      <w:start w:val="1"/>
    </w:lvl>
  </w:abstractNum>
  <w:abstractNum w:abstractNumId="168">
    <w:nsid w:val="52D7B105"/>
    <w:multiLevelType w:val="hybridMultilevel"/>
    <w:lvl w:ilvl="0">
      <w:lvlJc w:val="left"/>
      <w:lvlText w:val="%1."/>
      <w:numFmt w:val="decimal"/>
      <w:start w:val="6"/>
    </w:lvl>
    <w:lvl w:ilvl="1">
      <w:lvlJc w:val="left"/>
      <w:lvlText w:val="(%2)"/>
      <w:numFmt w:val="lowerRoman"/>
      <w:start w:val="1"/>
    </w:lvl>
  </w:abstractNum>
  <w:abstractNum w:abstractNumId="169">
    <w:nsid w:val="2E8A6394"/>
    <w:multiLevelType w:val="hybridMultilevel"/>
    <w:lvl w:ilvl="0">
      <w:lvlJc w:val="left"/>
      <w:lvlText w:val="%1."/>
      <w:numFmt w:val="decimal"/>
      <w:start w:val="8"/>
    </w:lvl>
    <w:lvl w:ilvl="1">
      <w:lvlJc w:val="left"/>
      <w:lvlText w:val="(%2)"/>
      <w:numFmt w:val="lowerRoman"/>
      <w:start w:val="1"/>
    </w:lvl>
  </w:abstractNum>
  <w:abstractNum w:abstractNumId="170">
    <w:nsid w:val="24E60401"/>
    <w:multiLevelType w:val="hybridMultilevel"/>
    <w:lvl w:ilvl="0">
      <w:lvlJc w:val="left"/>
      <w:lvlText w:val="%1"/>
      <w:numFmt w:val="decimal"/>
      <w:start w:val="1"/>
    </w:lvl>
    <w:lvl w:ilvl="1">
      <w:lvlJc w:val="left"/>
      <w:lvlText w:val="(%2)"/>
      <w:numFmt w:val="lowerRoman"/>
      <w:start w:val="4"/>
    </w:lvl>
  </w:abstractNum>
  <w:abstractNum w:abstractNumId="171">
    <w:nsid w:val="2A6AD9BE"/>
    <w:multiLevelType w:val="hybridMultilevel"/>
    <w:lvl w:ilvl="0">
      <w:lvlJc w:val="left"/>
      <w:lvlText w:val="%1."/>
      <w:numFmt w:val="decimal"/>
      <w:start w:val="10"/>
    </w:lvl>
    <w:lvl w:ilvl="1">
      <w:lvlJc w:val="left"/>
      <w:lvlText w:val="%2"/>
      <w:numFmt w:val="lowerRoman"/>
      <w:start w:val="1"/>
    </w:lvl>
  </w:abstractNum>
  <w:abstractNum w:abstractNumId="172">
    <w:nsid w:val="BAAC1B4"/>
    <w:multiLevelType w:val="hybridMultilevel"/>
    <w:lvl w:ilvl="0">
      <w:lvlJc w:val="left"/>
      <w:lvlText w:val="%1."/>
      <w:numFmt w:val="decimal"/>
      <w:start w:val="13"/>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jpe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2019-12-08T19:00:41Z</dcterms:created>
  <dcterms:modified xsi:type="dcterms:W3CDTF">2019-12-08T19:00:41Z</dcterms:modified>
</cp:coreProperties>
</file>