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7,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March 7, 2024, Cartesian Therapeutics, Inc. announced its financial results for the year ended December 31, 2023. The full text of the press release issued in connection with the announcement is furnished as Exhibit 99.1 to this Current Report on Form 8-K.</w:t>
      </w:r>
    </w:p>
    <w:p>
      <w:pPr>
        <w:spacing w:after="0" w:line="5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2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of Cartesian Therapeutics, Inc. dated March 7, 2024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19685</wp:posOffset>
            </wp:positionV>
            <wp:extent cx="1551305" cy="471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30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Cartesian Therapeutcs Reports Full Year 2023 Financial Results and Provides Business Update</w:t>
      </w:r>
    </w:p>
    <w:p>
      <w:pPr>
        <w:spacing w:after="0" w:line="234" w:lineRule="exact"/>
        <w:rPr>
          <w:sz w:val="20"/>
          <w:szCs w:val="20"/>
          <w:color w:val="auto"/>
        </w:rPr>
      </w:pPr>
    </w:p>
    <w:p>
      <w:pPr>
        <w:jc w:val="center"/>
        <w:spacing w:after="0" w:line="216" w:lineRule="auto"/>
        <w:rPr>
          <w:sz w:val="20"/>
          <w:szCs w:val="20"/>
          <w:color w:val="auto"/>
        </w:rPr>
      </w:pPr>
      <w:r>
        <w:rPr>
          <w:rFonts w:ascii="Calibri" w:cs="Calibri" w:eastAsia="Calibri" w:hAnsi="Calibri"/>
          <w:sz w:val="22"/>
          <w:szCs w:val="22"/>
          <w:i w:val="1"/>
          <w:iCs w:val="1"/>
          <w:color w:val="auto"/>
        </w:rPr>
        <w:t>Topline data from Phase 2b study of Descartes-08, the Company’s potental frst-in-class mRNA CAR-T cell therapy, in myasthenia gravis (MG) remains on track for mid-2024</w:t>
      </w:r>
    </w:p>
    <w:p>
      <w:pPr>
        <w:spacing w:after="0" w:line="219" w:lineRule="exact"/>
        <w:rPr>
          <w:sz w:val="20"/>
          <w:szCs w:val="20"/>
          <w:color w:val="auto"/>
        </w:rPr>
      </w:pPr>
    </w:p>
    <w:p>
      <w:pPr>
        <w:jc w:val="center"/>
        <w:spacing w:after="0" w:line="217" w:lineRule="auto"/>
        <w:rPr>
          <w:sz w:val="20"/>
          <w:szCs w:val="20"/>
          <w:color w:val="auto"/>
        </w:rPr>
      </w:pPr>
      <w:r>
        <w:rPr>
          <w:rFonts w:ascii="Calibri" w:cs="Calibri" w:eastAsia="Calibri" w:hAnsi="Calibri"/>
          <w:sz w:val="22"/>
          <w:szCs w:val="22"/>
          <w:i w:val="1"/>
          <w:iCs w:val="1"/>
          <w:color w:val="auto"/>
        </w:rPr>
        <w:t>On track to initate Phase 2 study of Descartes-08 in systemic lupus erythematosus (SLE) in 1H24 as well as Phase 2 basket studies in additonal autoimmune indicatons in 2H24</w:t>
      </w:r>
    </w:p>
    <w:p>
      <w:pPr>
        <w:spacing w:after="0" w:line="216" w:lineRule="exact"/>
        <w:rPr>
          <w:sz w:val="20"/>
          <w:szCs w:val="20"/>
          <w:color w:val="auto"/>
        </w:rPr>
      </w:pPr>
    </w:p>
    <w:p>
      <w:pPr>
        <w:jc w:val="center"/>
        <w:spacing w:after="0" w:line="217" w:lineRule="auto"/>
        <w:rPr>
          <w:sz w:val="20"/>
          <w:szCs w:val="20"/>
          <w:color w:val="auto"/>
        </w:rPr>
      </w:pPr>
      <w:r>
        <w:rPr>
          <w:rFonts w:ascii="Calibri" w:cs="Calibri" w:eastAsia="Calibri" w:hAnsi="Calibri"/>
          <w:sz w:val="22"/>
          <w:szCs w:val="22"/>
          <w:i w:val="1"/>
          <w:iCs w:val="1"/>
          <w:color w:val="auto"/>
        </w:rPr>
        <w:t>Following recent IND clearance, planning underway for frst-in-human Phase 1 dose escalaton study of Descartes-15, a next-generaton mRNA CAR-T product candidate</w:t>
      </w:r>
    </w:p>
    <w:p>
      <w:pPr>
        <w:spacing w:after="0" w:line="230" w:lineRule="exact"/>
        <w:rPr>
          <w:sz w:val="20"/>
          <w:szCs w:val="20"/>
          <w:color w:val="auto"/>
        </w:rPr>
      </w:pPr>
    </w:p>
    <w:p>
      <w:pPr>
        <w:jc w:val="center"/>
        <w:ind w:left="340" w:right="200"/>
        <w:spacing w:after="0" w:line="217" w:lineRule="auto"/>
        <w:rPr>
          <w:sz w:val="20"/>
          <w:szCs w:val="20"/>
          <w:color w:val="auto"/>
        </w:rPr>
      </w:pPr>
      <w:r>
        <w:rPr>
          <w:rFonts w:ascii="Calibri" w:cs="Calibri" w:eastAsia="Calibri" w:hAnsi="Calibri"/>
          <w:sz w:val="22"/>
          <w:szCs w:val="22"/>
          <w:i w:val="1"/>
          <w:iCs w:val="1"/>
          <w:color w:val="auto"/>
        </w:rPr>
        <w:t>Approximately $118.3M pro forma cash, cash equivalents, and restricted cash as of December 31, 2023, expected to support planned operatons into second half of 2026</w:t>
      </w:r>
    </w:p>
    <w:p>
      <w:pPr>
        <w:spacing w:after="0" w:line="200" w:lineRule="exact"/>
        <w:rPr>
          <w:sz w:val="20"/>
          <w:szCs w:val="20"/>
          <w:color w:val="auto"/>
        </w:rPr>
      </w:pPr>
    </w:p>
    <w:p>
      <w:pPr>
        <w:spacing w:after="0" w:line="263" w:lineRule="exact"/>
        <w:rPr>
          <w:sz w:val="20"/>
          <w:szCs w:val="20"/>
          <w:color w:val="auto"/>
        </w:rPr>
      </w:pPr>
    </w:p>
    <w:p>
      <w:pPr>
        <w:jc w:val="both"/>
        <w:spacing w:after="0" w:line="213" w:lineRule="auto"/>
        <w:rPr>
          <w:sz w:val="20"/>
          <w:szCs w:val="20"/>
          <w:color w:val="auto"/>
        </w:rPr>
      </w:pPr>
      <w:r>
        <w:rPr>
          <w:rFonts w:ascii="Calibri" w:cs="Calibri" w:eastAsia="Calibri" w:hAnsi="Calibri"/>
          <w:sz w:val="20"/>
          <w:szCs w:val="20"/>
          <w:color w:val="auto"/>
        </w:rPr>
        <w:t>GAITHERSBURG, MD, March 7, 2024 (GLOBE NEWSWIRE) – Cartesian Therapeutcs, Inc. (NASDAQ: RNAC) (the “Company”), a clinical-stage biotechnology company pioneering mRNA cell therapy for autoimmune diseases, today reported fnancial results for the full year ended December 31, 2023, and recent corporate updates.</w:t>
      </w:r>
    </w:p>
    <w:p>
      <w:pPr>
        <w:spacing w:after="0" w:line="227" w:lineRule="exact"/>
        <w:rPr>
          <w:sz w:val="20"/>
          <w:szCs w:val="20"/>
          <w:color w:val="auto"/>
        </w:rPr>
      </w:pPr>
    </w:p>
    <w:p>
      <w:pPr>
        <w:jc w:val="both"/>
        <w:spacing w:after="0" w:line="213" w:lineRule="auto"/>
        <w:rPr>
          <w:sz w:val="20"/>
          <w:szCs w:val="20"/>
          <w:color w:val="auto"/>
        </w:rPr>
      </w:pPr>
      <w:r>
        <w:rPr>
          <w:rFonts w:ascii="Calibri" w:cs="Calibri" w:eastAsia="Calibri" w:hAnsi="Calibri"/>
          <w:sz w:val="20"/>
          <w:szCs w:val="20"/>
          <w:color w:val="auto"/>
        </w:rPr>
        <w:t>“With several potentally value-creatng milestones antcipated throughout the year ahead, we are making strong progress in our mission to deliver innovatve cell therapies to patents sufering from autoimmune diseases,” said Carsten Brunn, Ph.D., President and Chief Executve Ofcer of Cartesian. “For our lead product candidate, Descartes-08, we contnue to expect to report topline data from the ongoing Phase 2b trial in patents with myasthenia gravis (MG) mid-year. We believe this represents the most advanced and only randomized, controlled Phase 2 trial of a chimeric antgen receptor (CAR) T-cell therapy for autoimmune diseases.”</w:t>
      </w:r>
    </w:p>
    <w:p>
      <w:pPr>
        <w:spacing w:after="0" w:line="213" w:lineRule="exact"/>
        <w:rPr>
          <w:sz w:val="20"/>
          <w:szCs w:val="20"/>
          <w:color w:val="auto"/>
        </w:rPr>
      </w:pPr>
    </w:p>
    <w:p>
      <w:pPr>
        <w:jc w:val="both"/>
        <w:spacing w:after="0" w:line="213" w:lineRule="auto"/>
        <w:rPr>
          <w:sz w:val="20"/>
          <w:szCs w:val="20"/>
          <w:color w:val="auto"/>
        </w:rPr>
      </w:pPr>
      <w:r>
        <w:rPr>
          <w:rFonts w:ascii="Calibri" w:cs="Calibri" w:eastAsia="Calibri" w:hAnsi="Calibri"/>
          <w:sz w:val="20"/>
          <w:szCs w:val="20"/>
          <w:color w:val="auto"/>
        </w:rPr>
        <w:t>Dr. Brunn contnued, “Beyond MG, we contnue to expect to initate a Phase 2 study in patents with systemic lupus erythematosus (SLE) in the frst half of the year. Supported by the clinical dataset from the previously completed Phase 2a study in patents with MG, we believe that Descartes-08, which we engineer with our novel mRNA engineered CAR-T (mRNA CAR-T) technology, does not require preconditoning chemotherapy, and is expected to be administered in an outpatent setng, could serve as the frst CAR-T cell therapy to reach patents with autoimmune diseases.”</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Pipeline Progress and Antcipated Milestones</w:t>
      </w:r>
    </w:p>
    <w:p>
      <w:pPr>
        <w:spacing w:after="0" w:line="225" w:lineRule="exact"/>
        <w:rPr>
          <w:sz w:val="20"/>
          <w:szCs w:val="20"/>
          <w:color w:val="auto"/>
        </w:rPr>
      </w:pPr>
    </w:p>
    <w:p>
      <w:pPr>
        <w:jc w:val="both"/>
        <w:ind w:left="660" w:right="20" w:hanging="328"/>
        <w:spacing w:after="0" w:line="218" w:lineRule="auto"/>
        <w:tabs>
          <w:tab w:leader="none" w:pos="653" w:val="left"/>
        </w:tabs>
        <w:numPr>
          <w:ilvl w:val="0"/>
          <w:numId w:val="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Topline Data from Randomized Phase 2b Study of Descartes-08 in Patents with MG Expected for Mid-2024. </w:t>
      </w:r>
      <w:r>
        <w:rPr>
          <w:rFonts w:ascii="Calibri" w:cs="Calibri" w:eastAsia="Calibri" w:hAnsi="Calibri"/>
          <w:sz w:val="20"/>
          <w:szCs w:val="20"/>
          <w:color w:val="auto"/>
        </w:rPr>
        <w:t>Enrollment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remains ongoing in the Company’s Phase 2b randomized, double-blind, placebo-controlled trial of Descartes-08 in patents with MG (NCT04146051), with topline results expected in mid-2024.</w:t>
      </w:r>
    </w:p>
    <w:p>
      <w:pPr>
        <w:spacing w:after="0" w:line="212" w:lineRule="exact"/>
        <w:rPr>
          <w:rFonts w:ascii="Calibri" w:cs="Calibri" w:eastAsia="Calibri" w:hAnsi="Calibri"/>
          <w:sz w:val="20"/>
          <w:szCs w:val="20"/>
          <w:color w:val="auto"/>
        </w:rPr>
      </w:pPr>
    </w:p>
    <w:p>
      <w:pPr>
        <w:jc w:val="both"/>
        <w:ind w:left="660" w:hanging="328"/>
        <w:spacing w:after="0" w:line="211" w:lineRule="auto"/>
        <w:tabs>
          <w:tab w:leader="none" w:pos="653" w:val="left"/>
        </w:tabs>
        <w:numPr>
          <w:ilvl w:val="0"/>
          <w:numId w:val="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Announced Positve Long-Term Follow-Up Data from Phase 2a Study of Descartes-08 in Patents with MG. </w:t>
      </w:r>
      <w:r>
        <w:rPr>
          <w:rFonts w:ascii="Calibri" w:cs="Calibri" w:eastAsia="Calibri" w:hAnsi="Calibri"/>
          <w:sz w:val="20"/>
          <w:szCs w:val="20"/>
          <w:color w:val="auto"/>
        </w:rPr>
        <w:t>In January 2024,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Cartesian </w:t>
      </w:r>
      <w:hyperlink r:id="rId14">
        <w:r>
          <w:rPr>
            <w:rFonts w:ascii="Calibri" w:cs="Calibri" w:eastAsia="Calibri" w:hAnsi="Calibri"/>
            <w:sz w:val="20"/>
            <w:szCs w:val="20"/>
            <w:u w:val="single" w:color="auto"/>
            <w:color w:val="0000FF"/>
          </w:rPr>
          <w:t>announced</w:t>
        </w:r>
        <w:r>
          <w:rPr>
            <w:rFonts w:ascii="Calibri" w:cs="Calibri" w:eastAsia="Calibri" w:hAnsi="Calibri"/>
            <w:sz w:val="20"/>
            <w:szCs w:val="20"/>
            <w:u w:val="single" w:color="auto"/>
            <w:color w:val="auto"/>
          </w:rPr>
          <w:t xml:space="preserve"> </w:t>
        </w:r>
      </w:hyperlink>
      <w:r>
        <w:rPr>
          <w:rFonts w:ascii="Calibri" w:cs="Calibri" w:eastAsia="Calibri" w:hAnsi="Calibri"/>
          <w:sz w:val="20"/>
          <w:szCs w:val="20"/>
          <w:color w:val="auto"/>
        </w:rPr>
        <w:t>positve twelve-month follow-up data from its Phase 2a study of Descartes-08, the Company’s autologous ant-B cell maturaton antgen (BCMA) mRNA CAR-T cell therapy product candidate, in patents with generalized MG, a chronic autoimmune disorder that causes disabling muscle weakness and fatgue. In this study, Descartes-08 was administered in an outpatent setng without integratng vectors or preconditoning chemotherapy, and durable depleton of autoantbodies and clinically meaningful improvements in MG severity scores during the one-year follow-up period were observed. Descartes-08 was observed to be well-tolerated, with no dose-limitng toxicites, cytokine release syndrome, or neurotoxicity.</w:t>
      </w:r>
    </w:p>
    <w:p>
      <w:pPr>
        <w:spacing w:after="0" w:line="225" w:lineRule="exact"/>
        <w:rPr>
          <w:rFonts w:ascii="Calibri" w:cs="Calibri" w:eastAsia="Calibri" w:hAnsi="Calibri"/>
          <w:sz w:val="20"/>
          <w:szCs w:val="20"/>
          <w:color w:val="auto"/>
        </w:rPr>
      </w:pPr>
    </w:p>
    <w:p>
      <w:pPr>
        <w:ind w:left="660"/>
        <w:spacing w:after="0"/>
        <w:rPr>
          <w:rFonts w:ascii="Calibri" w:cs="Calibri" w:eastAsia="Calibri" w:hAnsi="Calibri"/>
          <w:sz w:val="20"/>
          <w:szCs w:val="20"/>
          <w:color w:val="auto"/>
        </w:rPr>
      </w:pPr>
      <w:r>
        <w:rPr>
          <w:rFonts w:ascii="Calibri" w:cs="Calibri" w:eastAsia="Calibri" w:hAnsi="Calibri"/>
          <w:sz w:val="20"/>
          <w:szCs w:val="20"/>
          <w:color w:val="auto"/>
        </w:rPr>
        <w:t>Descartes-08 has been granted Orphan Drug Designaton by the U.S. Food and Drug Administraton (FDA) for the treatment of MG.</w:t>
      </w:r>
    </w:p>
    <w:p>
      <w:pPr>
        <w:sectPr>
          <w:pgSz w:w="11900" w:h="16838" w:orient="portrait"/>
          <w:cols w:equalWidth="0" w:num="1">
            <w:col w:w="11240"/>
          </w:cols>
          <w:pgMar w:left="320" w:top="117" w:right="339" w:bottom="1440" w:gutter="0" w:footer="0" w:header="0"/>
        </w:sectPr>
      </w:pPr>
    </w:p>
    <w:bookmarkStart w:id="4" w:name="page5"/>
    <w:bookmarkEnd w:id="4"/>
    <w:p>
      <w:pPr>
        <w:jc w:val="both"/>
        <w:ind w:left="660" w:hanging="328"/>
        <w:spacing w:after="0"/>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71805"/>
                    </a:xfrm>
                    <a:prstGeom prst="rect">
                      <a:avLst/>
                    </a:prstGeom>
                    <a:noFill/>
                  </pic:spPr>
                </pic:pic>
              </a:graphicData>
            </a:graphic>
          </wp:anchor>
        </w:drawing>
        <w:t xml:space="preserve">Initaton of Phase 2 Study of Descartes-08 in Patents with SLE Expected for First Half of 2024. </w:t>
      </w:r>
      <w:r>
        <w:rPr>
          <w:rFonts w:ascii="Calibri" w:cs="Calibri" w:eastAsia="Calibri" w:hAnsi="Calibri"/>
          <w:sz w:val="20"/>
          <w:szCs w:val="20"/>
          <w:color w:val="auto"/>
        </w:rPr>
        <w:t>The Company expects to initate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 Phase 2 study of Descartes-08 in patents with SLE (NCT06038474) in the frst half of 2024. The Phase 2 study, for which the Company has received investgatonal new drug (IND) clearance, is designed to assess the safety and tolerability of outpatent Descartes-08 administraton without preconditoning chemotherapy. SLE is an incurable autoimmune disease marked by systemic infammaton that afects multple organ systems. It is estmated to impact approximately 1.5 million people in the United States.</w:t>
      </w:r>
    </w:p>
    <w:p>
      <w:pPr>
        <w:spacing w:after="0" w:line="291" w:lineRule="exact"/>
        <w:rPr>
          <w:rFonts w:ascii="Calibri" w:cs="Calibri" w:eastAsia="Calibri" w:hAnsi="Calibri"/>
          <w:sz w:val="20"/>
          <w:szCs w:val="20"/>
          <w:color w:val="auto"/>
        </w:rPr>
      </w:pPr>
    </w:p>
    <w:p>
      <w:pPr>
        <w:jc w:val="both"/>
        <w:ind w:left="660" w:hanging="328"/>
        <w:spacing w:after="0"/>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IND Applicaton Cleared for Descartes-15. </w:t>
      </w:r>
      <w:r>
        <w:rPr>
          <w:rFonts w:ascii="Calibri" w:cs="Calibri" w:eastAsia="Calibri" w:hAnsi="Calibri"/>
          <w:sz w:val="20"/>
          <w:szCs w:val="20"/>
          <w:color w:val="auto"/>
        </w:rPr>
        <w:t>In January 2024, Cartesian announced that the FDA cleared its IND applicaton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Descartes-15, a next-generaton, autologous ant-BCMA mRNA CAR-T product candidate. As with Descartes-08, Descartes-15 is designed not to require preconditoning chemotherapy, has been observed to have predictable and controllable pharmacokinetcs and is designed to avoid the risk of genomic integraton. Planning for the frst-in-human Phase 1 dose escalaton study is underway. The study is designed to assess the safety and tolerability of outpatent Descartes-15 administraton in patents with multple myeloma. The Company expects to subsequently assess Descartes-15 in autoimmune indicatons.</w:t>
      </w:r>
    </w:p>
    <w:p>
      <w:pPr>
        <w:spacing w:after="0" w:line="26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Corporate Update</w:t>
      </w:r>
    </w:p>
    <w:p>
      <w:pPr>
        <w:spacing w:after="0" w:line="238" w:lineRule="exact"/>
        <w:rPr>
          <w:sz w:val="20"/>
          <w:szCs w:val="20"/>
          <w:color w:val="auto"/>
        </w:rPr>
      </w:pPr>
    </w:p>
    <w:p>
      <w:pPr>
        <w:jc w:val="both"/>
        <w:ind w:left="660" w:hanging="328"/>
        <w:spacing w:after="0" w:line="210"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Upcoming Special Meetng of Stockholders Seeking to Approve Preferred Stock Conversion and Reverse Stock Split. </w:t>
      </w:r>
      <w:r>
        <w:rPr>
          <w:rFonts w:ascii="Calibri" w:cs="Calibri" w:eastAsia="Calibri" w:hAnsi="Calibri"/>
          <w:sz w:val="20"/>
          <w:szCs w:val="20"/>
          <w:color w:val="auto"/>
        </w:rPr>
        <w:t>Cartesian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plans to hold a special meetng of stockholders on March 27, 2024 to seek stockholder approval for the conversion of the Company’s Series A Non-Votng Convertble Preferred Stock into the Company’s common stock and a reverse stock split at a rato in the range of 1-for-20 and 1-for-30. The reverse stock split would impact all holders of Cartesian common stock proportonally and would not impact any stockholder’s percentage ownership of common stock. Holders of common stock of record as of February 13, 2024 are eligible to vote at the meetng.</w:t>
      </w:r>
    </w:p>
    <w:p>
      <w:pPr>
        <w:spacing w:after="0" w:line="230" w:lineRule="exact"/>
        <w:rPr>
          <w:rFonts w:ascii="Calibri" w:cs="Calibri" w:eastAsia="Calibri" w:hAnsi="Calibri"/>
          <w:sz w:val="20"/>
          <w:szCs w:val="20"/>
          <w:color w:val="auto"/>
        </w:rPr>
      </w:pPr>
    </w:p>
    <w:p>
      <w:pPr>
        <w:jc w:val="both"/>
        <w:ind w:left="660" w:hanging="328"/>
        <w:spacing w:after="0" w:line="213" w:lineRule="auto"/>
        <w:tabs>
          <w:tab w:leader="none" w:pos="653"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Announced Plans to Transiton Corporate Headquarters to Frederick, Maryland. </w:t>
      </w:r>
      <w:r>
        <w:rPr>
          <w:rFonts w:ascii="Calibri" w:cs="Calibri" w:eastAsia="Calibri" w:hAnsi="Calibri"/>
          <w:sz w:val="20"/>
          <w:szCs w:val="20"/>
          <w:color w:val="auto"/>
        </w:rPr>
        <w:t>The Company recently</w:t>
      </w:r>
      <w:r>
        <w:rPr>
          <w:rFonts w:ascii="Calibri" w:cs="Calibri" w:eastAsia="Calibri" w:hAnsi="Calibri"/>
          <w:sz w:val="20"/>
          <w:szCs w:val="20"/>
          <w:b w:val="1"/>
          <w:bCs w:val="1"/>
          <w:color w:val="auto"/>
        </w:rPr>
        <w:t xml:space="preserve"> </w:t>
      </w:r>
      <w:hyperlink r:id="rId16">
        <w:r>
          <w:rPr>
            <w:rFonts w:ascii="Calibri" w:cs="Calibri" w:eastAsia="Calibri" w:hAnsi="Calibri"/>
            <w:sz w:val="20"/>
            <w:szCs w:val="20"/>
            <w:u w:val="single" w:color="auto"/>
            <w:color w:val="0000FF"/>
          </w:rPr>
          <w:t>announced</w:t>
        </w:r>
        <w:r>
          <w:rPr>
            <w:rFonts w:ascii="Calibri" w:cs="Calibri" w:eastAsia="Calibri" w:hAnsi="Calibri"/>
            <w:sz w:val="20"/>
            <w:szCs w:val="20"/>
            <w:b w:val="1"/>
            <w:bCs w:val="1"/>
            <w:u w:val="single" w:color="auto"/>
            <w:color w:val="auto"/>
          </w:rPr>
          <w:t xml:space="preserve"> </w:t>
        </w:r>
      </w:hyperlink>
      <w:r>
        <w:rPr>
          <w:rFonts w:ascii="Calibri" w:cs="Calibri" w:eastAsia="Calibri" w:hAnsi="Calibri"/>
          <w:sz w:val="20"/>
          <w:szCs w:val="20"/>
          <w:color w:val="auto"/>
        </w:rPr>
        <w:t>plans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transiton its corporate headquarters to Frederick, Maryland. The approximately 20,000 square foot state-of-the-art current good manufacturing practce (cGMP) compliant facility has clinical and commercial manufacturing scale capabilites designed to support the Company's maturing pipeline.</w:t>
      </w:r>
    </w:p>
    <w:p>
      <w:pPr>
        <w:spacing w:after="0" w:line="213" w:lineRule="exact"/>
        <w:rPr>
          <w:rFonts w:ascii="Calibri" w:cs="Calibri" w:eastAsia="Calibri" w:hAnsi="Calibri"/>
          <w:sz w:val="20"/>
          <w:szCs w:val="20"/>
          <w:b w:val="1"/>
          <w:bCs w:val="1"/>
          <w:color w:val="auto"/>
        </w:rPr>
      </w:pPr>
    </w:p>
    <w:p>
      <w:pPr>
        <w:jc w:val="both"/>
        <w:ind w:left="660" w:hanging="328"/>
        <w:spacing w:after="0" w:line="213"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Completed Merger with Selecta Biosciences, Inc. and Concurrent $60.25 Million Private Financing. </w:t>
      </w:r>
      <w:r>
        <w:rPr>
          <w:rFonts w:ascii="Calibri" w:cs="Calibri" w:eastAsia="Calibri" w:hAnsi="Calibri"/>
          <w:sz w:val="20"/>
          <w:szCs w:val="20"/>
          <w:color w:val="auto"/>
        </w:rPr>
        <w:t>In November 2023,</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Cartesian </w:t>
      </w:r>
      <w:hyperlink r:id="rId17">
        <w:r>
          <w:rPr>
            <w:rFonts w:ascii="Calibri" w:cs="Calibri" w:eastAsia="Calibri" w:hAnsi="Calibri"/>
            <w:sz w:val="20"/>
            <w:szCs w:val="20"/>
            <w:u w:val="single" w:color="auto"/>
            <w:color w:val="0000FF"/>
          </w:rPr>
          <w:t>announced</w:t>
        </w:r>
        <w:r>
          <w:rPr>
            <w:rFonts w:ascii="Calibri" w:cs="Calibri" w:eastAsia="Calibri" w:hAnsi="Calibri"/>
            <w:sz w:val="20"/>
            <w:szCs w:val="20"/>
            <w:u w:val="single" w:color="auto"/>
            <w:color w:val="auto"/>
          </w:rPr>
          <w:t xml:space="preserve"> </w:t>
        </w:r>
      </w:hyperlink>
      <w:r>
        <w:rPr>
          <w:rFonts w:ascii="Calibri" w:cs="Calibri" w:eastAsia="Calibri" w:hAnsi="Calibri"/>
          <w:sz w:val="20"/>
          <w:szCs w:val="20"/>
          <w:color w:val="auto"/>
        </w:rPr>
        <w:t>its merger with Selecta Biosciences, Inc., creatng a fully integrated, publicly traded company pioneering mRNA cell therapy for the treatment of autoimmune diseases. In connecton with the merger, Cartesian announced a $60.25 million private fnancing led by Timothy A. Springer, Ph.D.</w:t>
      </w:r>
    </w:p>
    <w:p>
      <w:pPr>
        <w:spacing w:after="0" w:line="231" w:lineRule="exact"/>
        <w:rPr>
          <w:rFonts w:ascii="Calibri" w:cs="Calibri" w:eastAsia="Calibri" w:hAnsi="Calibri"/>
          <w:sz w:val="20"/>
          <w:szCs w:val="20"/>
          <w:color w:val="auto"/>
        </w:rPr>
      </w:pPr>
    </w:p>
    <w:p>
      <w:pPr>
        <w:spacing w:after="0"/>
        <w:rPr>
          <w:sz w:val="20"/>
          <w:szCs w:val="20"/>
          <w:color w:val="auto"/>
        </w:rPr>
      </w:pPr>
      <w:r>
        <w:rPr>
          <w:rFonts w:ascii="Calibri" w:cs="Calibri" w:eastAsia="Calibri" w:hAnsi="Calibri"/>
          <w:sz w:val="20"/>
          <w:szCs w:val="20"/>
          <w:b w:val="1"/>
          <w:bCs w:val="1"/>
          <w:color w:val="auto"/>
        </w:rPr>
        <w:t>Full Year 2023 Financial Results</w:t>
      </w:r>
    </w:p>
    <w:p>
      <w:pPr>
        <w:spacing w:after="0" w:line="238" w:lineRule="exact"/>
        <w:rPr>
          <w:rFonts w:ascii="Calibri" w:cs="Calibri" w:eastAsia="Calibri" w:hAnsi="Calibri"/>
          <w:sz w:val="20"/>
          <w:szCs w:val="20"/>
          <w:color w:val="auto"/>
        </w:rPr>
      </w:pPr>
    </w:p>
    <w:p>
      <w:pPr>
        <w:jc w:val="both"/>
        <w:ind w:left="660" w:hanging="328"/>
        <w:spacing w:after="0" w:line="213"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Pro forma cash, cash equivalents, and restricted cash of approximately $118.3 million as of December 31, 2023, which refects net proceeds received in the frst quarter of 2024 from the November 2023 fnancing. The Company’s pro forma cash and cash equivalents as of December 31, 2023, is expected to support planned operatons and the development of Cartesian’s pipeline into the second half of 2026, through the Phase 3 study of lead candidate, Descartes-08.</w:t>
      </w:r>
    </w:p>
    <w:p>
      <w:pPr>
        <w:spacing w:after="0" w:line="226" w:lineRule="exact"/>
        <w:rPr>
          <w:rFonts w:ascii="Calibri" w:cs="Calibri" w:eastAsia="Calibri" w:hAnsi="Calibri"/>
          <w:sz w:val="20"/>
          <w:szCs w:val="20"/>
          <w:color w:val="auto"/>
        </w:rPr>
      </w:pPr>
    </w:p>
    <w:p>
      <w:pPr>
        <w:jc w:val="both"/>
        <w:ind w:left="660" w:hanging="328"/>
        <w:spacing w:after="0" w:line="213"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Research and development expenses were $71.8 million for the year ended December 31, 2023, compared to $72.4 million for the year ended December 31, 2022. The decrease in expense of $0.6 million for the year ended December 31, 2023 was primarily due to reductons in expenses incurred for preclinical and clinical programs due to the strategic reprioritzaton partally ofset by expenses incurred for stock compensaton and personnel expenses.</w:t>
      </w:r>
    </w:p>
    <w:p>
      <w:pPr>
        <w:spacing w:after="0" w:line="213" w:lineRule="exact"/>
        <w:rPr>
          <w:rFonts w:ascii="Calibri" w:cs="Calibri" w:eastAsia="Calibri" w:hAnsi="Calibri"/>
          <w:sz w:val="20"/>
          <w:szCs w:val="20"/>
          <w:color w:val="auto"/>
        </w:rPr>
      </w:pPr>
    </w:p>
    <w:p>
      <w:pPr>
        <w:jc w:val="both"/>
        <w:ind w:left="660" w:hanging="328"/>
        <w:spacing w:after="0" w:line="213"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General and administratve expenses were $40.6 million for the year ended December 31, 2023, compared to $23.9 million for the year ended December 31, 2022. The increase in expense of $16.7 million for the year ended December 31, 2023 was primarily due to expenses incurred for stock compensaton, personnel expenses, and professional fees incurred in connecton with the merger.</w:t>
      </w:r>
    </w:p>
    <w:p>
      <w:pPr>
        <w:sectPr>
          <w:pgSz w:w="11900" w:h="16838" w:orient="portrait"/>
          <w:cols w:equalWidth="0" w:num="1">
            <w:col w:w="11240"/>
          </w:cols>
          <w:pgMar w:left="320" w:top="1236" w:right="339" w:bottom="1440" w:gutter="0" w:footer="0" w:header="0"/>
        </w:sectPr>
      </w:pPr>
    </w:p>
    <w:bookmarkStart w:id="5" w:name="page6"/>
    <w:bookmarkEnd w:id="5"/>
    <w:p>
      <w:pPr>
        <w:ind w:left="660" w:hanging="328"/>
        <w:spacing w:after="0" w:line="221" w:lineRule="auto"/>
        <w:tabs>
          <w:tab w:leader="none" w:pos="653"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71170"/>
                    </a:xfrm>
                    <a:prstGeom prst="rect">
                      <a:avLst/>
                    </a:prstGeom>
                    <a:noFill/>
                  </pic:spPr>
                </pic:pic>
              </a:graphicData>
            </a:graphic>
          </wp:anchor>
        </w:drawing>
        <w:t>Net loss was $(219.7) million, or $(1.66) net loss per share (basic/diluted), for the year ended December 31, 2023, compared to net income of $35.4 million, or $0.24 net income per share (basic), for the year ended December 31, 2022.</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Cartesian Therapeutcs</w:t>
      </w:r>
    </w:p>
    <w:p>
      <w:pPr>
        <w:spacing w:after="0" w:line="225" w:lineRule="exact"/>
        <w:rPr>
          <w:sz w:val="20"/>
          <w:szCs w:val="20"/>
          <w:color w:val="auto"/>
        </w:rPr>
      </w:pPr>
    </w:p>
    <w:p>
      <w:pPr>
        <w:jc w:val="both"/>
        <w:spacing w:after="0" w:line="213" w:lineRule="auto"/>
        <w:rPr>
          <w:sz w:val="20"/>
          <w:szCs w:val="20"/>
          <w:color w:val="auto"/>
        </w:rPr>
      </w:pPr>
      <w:r>
        <w:rPr>
          <w:rFonts w:ascii="Calibri" w:cs="Calibri" w:eastAsia="Calibri" w:hAnsi="Calibri"/>
          <w:sz w:val="20"/>
          <w:szCs w:val="20"/>
          <w:color w:val="auto"/>
        </w:rPr>
        <w:t xml:space="preserve">Cartesian Therapeutcs is a clinical-stage company pioneering mRNA cell therapies for the treatment of autoimmune diseases. The Company’s lead asset, Descartes-08, is a potental frst-in-class mRNA CAR-T in Phase 2b clinical development for patents with generalized myasthenia gravis. Additonal Phase 2 studies are planned in systemic lupus erythematosus under an allowed IND, as well as basket trials in additonal autoimmune indicatons. The Company’s clinical-stage pipeline also includes Descartes-15, a next-generaton, autologous ant-BCMA mRNA CAR-T. For more informaton, please visit </w:t>
      </w:r>
      <w:r>
        <w:rPr>
          <w:rFonts w:ascii="Calibri" w:cs="Calibri" w:eastAsia="Calibri" w:hAnsi="Calibri"/>
          <w:sz w:val="20"/>
          <w:szCs w:val="20"/>
          <w:color w:val="0563C1"/>
        </w:rPr>
        <w:t>www.cartesiantherapeutcs.com</w:t>
      </w:r>
      <w:r>
        <w:rPr>
          <w:rFonts w:ascii="Calibri" w:cs="Calibri" w:eastAsia="Calibri" w:hAnsi="Calibri"/>
          <w:sz w:val="20"/>
          <w:szCs w:val="20"/>
          <w:color w:val="auto"/>
        </w:rPr>
        <w:t xml:space="preserve"> or follow the Company on </w:t>
      </w:r>
      <w:r>
        <w:rPr>
          <w:rFonts w:ascii="Calibri" w:cs="Calibri" w:eastAsia="Calibri" w:hAnsi="Calibri"/>
          <w:sz w:val="20"/>
          <w:szCs w:val="20"/>
          <w:color w:val="0563C1"/>
        </w:rPr>
        <w:t xml:space="preserve">LinkedIn </w:t>
      </w:r>
      <w:r>
        <w:rPr>
          <w:rFonts w:ascii="Calibri" w:cs="Calibri" w:eastAsia="Calibri" w:hAnsi="Calibri"/>
          <w:sz w:val="20"/>
          <w:szCs w:val="20"/>
          <w:color w:val="000000"/>
        </w:rPr>
        <w:t>or</w:t>
      </w:r>
      <w:r>
        <w:rPr>
          <w:rFonts w:ascii="Calibri" w:cs="Calibri" w:eastAsia="Calibri" w:hAnsi="Calibri"/>
          <w:sz w:val="20"/>
          <w:szCs w:val="20"/>
          <w:color w:val="0563C1"/>
        </w:rPr>
        <w:t xml:space="preserve"> X </w:t>
      </w:r>
      <w:r>
        <w:rPr>
          <w:rFonts w:ascii="Calibri" w:cs="Calibri" w:eastAsia="Calibri" w:hAnsi="Calibri"/>
          <w:sz w:val="20"/>
          <w:szCs w:val="20"/>
          <w:color w:val="000000"/>
        </w:rPr>
        <w:t>, formerly known as Twiter.</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jc w:val="both"/>
        <w:spacing w:after="0" w:line="214" w:lineRule="auto"/>
        <w:rPr>
          <w:sz w:val="20"/>
          <w:szCs w:val="20"/>
          <w:color w:val="auto"/>
        </w:rPr>
      </w:pPr>
      <w:r>
        <w:rPr>
          <w:rFonts w:ascii="Calibri" w:cs="Calibri" w:eastAsia="Calibri" w:hAnsi="Calibri"/>
          <w:sz w:val="20"/>
          <w:szCs w:val="20"/>
          <w:color w:val="auto"/>
        </w:rPr>
        <w:t>Any statements in this press release about the future expectatons, plans and prospects of the Company, including without limitaton, statements regarding the Company’s expected cash resources and cash runway, the Company’s estmated cash on hand, the conversion of the Company’s Series A Non-Votng Convertble Preferred Stock, the Company’s plans to conduct a reverse stock split pending stockholder approval, the Company’s headquarters relocaton, the Company’s manufacturing capabilites and ability to supply necessary quanttes of its product candidates for clinical trials and potental commercializaton, the Company’s ability to maintain control over its product quality and producton, the potental of RNA Armory® to enable precision control and optmizaton of engineered cells for diverse cell therapies leveraging multple modalites, the potental of Descartes-08 and Descartes-15 and the Company’s other product candidates to treat myasthenia gravis, systemic lupus erythematosus, or any other disease, the antcipated initaton tming of planned clinical trials, the antcipated tming or the outcome of ongoing and planned clinical trials, studies and data readouts, the antcipated tming or the outcome of the FDA’s review of the Company’s regulatory flings, the Company’s ability to conduct its clinical trials and preclinical studies, the tming or making of any regulatory flings, the antcipated tming or outcome of selecton of developmental product candidates, the ability of the Company to consummate any expected agreements and licenses and to realize the antcipated benefts thereof, the novelty of treatment paradigms that the Company is able to develop, the potental of any therapies developed by the Company to fulfll unmet medical needs, the Company’s ability to enter into and maintain its strategic partnerships, and enrollment in the Company’s clinical trials and other statements containing the words “antcipate,” “believe,” “contnue,” “could,” “estmate,” “expect,” “hypothesize,” “intend,” “may,” “plan,” “potental,” “predict,” “project,” “should,” “target,” “would,” and similar expressions, consttute forward-looking statements within the meaning of The Private 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 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RNA Armory® technology, potental delays in enrollment of patents, undesirable side efects of the Company’s product candidates, its reliance on third partes to conduct its clinical trials, the Company’s 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 most recent Annual Report on Form 10-K and subsequently fled Quarterly Reports on Form 10-Q, and in other flings that the Company makes with the Securites and Exchange Commission. In additon, any forward-looking statements included in this press release represent the Company’s views only as of the date of its publicaton and should not be relied upon as representng its views as of any subsequent date. The Company specifcally disclaims any intenton to update any forward-looking statements included in this press release, except as required by law.</w:t>
      </w:r>
    </w:p>
    <w:p>
      <w:pPr>
        <w:sectPr>
          <w:pgSz w:w="11900" w:h="16838" w:orient="portrait"/>
          <w:cols w:equalWidth="0" w:num="1">
            <w:col w:w="11240"/>
          </w:cols>
          <w:pgMar w:left="320" w:top="1236"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471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71170"/>
                    </a:xfrm>
                    <a:prstGeom prst="rect">
                      <a:avLst/>
                    </a:prstGeom>
                    <a:noFill/>
                  </pic:spPr>
                </pic:pic>
              </a:graphicData>
            </a:graphic>
          </wp:anchor>
        </w:drawing>
        <w:t>Cartesian Therapeutics,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106,438</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0" w:type="dxa"/>
            <w:vAlign w:val="bottom"/>
          </w:tcPr>
          <w:p>
            <w:pPr>
              <w:spacing w:after="0"/>
              <w:rPr>
                <w:sz w:val="1"/>
                <w:szCs w:val="1"/>
                <w:color w:val="auto"/>
              </w:rPr>
            </w:pPr>
          </w:p>
        </w:tc>
      </w:tr>
      <w:tr>
        <w:trPr>
          <w:trHeight w:val="18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148,138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11,617</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28"/>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14,084</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payable</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10,055</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72,058</w:t>
            </w:r>
          </w:p>
        </w:tc>
        <w:tc>
          <w:tcPr>
            <w:tcW w:w="0" w:type="dxa"/>
            <w:vAlign w:val="bottom"/>
          </w:tcPr>
          <w:p>
            <w:pPr>
              <w:spacing w:after="0"/>
              <w:rPr>
                <w:sz w:val="1"/>
                <w:szCs w:val="1"/>
                <w:color w:val="auto"/>
              </w:rPr>
            </w:pPr>
          </w:p>
        </w:tc>
      </w:tr>
      <w:tr>
        <w:trPr>
          <w:trHeight w:val="146"/>
        </w:trPr>
        <w:tc>
          <w:tcPr>
            <w:tcW w:w="77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Series A Preferred Stock, $0.0001 par value; 548,375 and no shares authorized as of December 31, 2023 and December 31, 2022,</w:t>
            </w: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435,120.513 and no shares issued and outstanding as of December 31, 2023 and December 31, 2022, respectively</w:t>
            </w: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for Series A Preferred Stock</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 equity: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$0.0001 par value; 9,451,625 and 10,000,000 shares authorized as of December 31, 2023 and December 31, 2022,</w:t>
            </w:r>
          </w:p>
        </w:tc>
        <w:tc>
          <w:tcPr>
            <w:tcW w:w="160" w:type="dxa"/>
            <w:vAlign w:val="bottom"/>
          </w:tcPr>
          <w:p>
            <w:pPr>
              <w:spacing w:after="0"/>
              <w:rPr>
                <w:sz w:val="12"/>
                <w:szCs w:val="12"/>
                <w:color w:val="auto"/>
              </w:rPr>
            </w:pPr>
          </w:p>
        </w:tc>
        <w:tc>
          <w:tcPr>
            <w:tcW w:w="1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no shares issued and outstanding as of December 31, 2023 and December 31, 2022</w:t>
            </w:r>
          </w:p>
        </w:tc>
        <w:tc>
          <w:tcPr>
            <w:tcW w:w="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December 31, 2023 and December 31, 2022; 161,927,821</w:t>
            </w: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153,042,435 shares issued and outstanding as of December 31, 2023 and December 31, 2022, respectively</w:t>
            </w: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493,308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(394,937)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(deficit) equity</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93,828</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 equity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165,886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1"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471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71170"/>
                    </a:xfrm>
                    <a:prstGeom prst="rect">
                      <a:avLst/>
                    </a:prstGeom>
                    <a:noFill/>
                  </pic:spPr>
                </pic:pic>
              </a:graphicData>
            </a:graphic>
          </wp:anchor>
        </w:drawing>
        <w:t>Cartesian Therapeutics, Inc. and Subsidiaries</w:t>
      </w:r>
    </w:p>
    <w:p>
      <w:pPr>
        <w:spacing w:after="0" w:line="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26,004</w:t>
            </w:r>
          </w:p>
        </w:tc>
        <w:tc>
          <w:tcPr>
            <w:tcW w:w="4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110,777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85,077</w:t>
            </w: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68,736</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20,938</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112,420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89,674</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gain (loss), net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(15,966)</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(219,710)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Unrealized gain (loss) on marketable securities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 income</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(219,752)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share: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155,109,561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144,758,555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114,328,798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155,109,561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145,874,889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114,328,798</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1" w:right="359" w:bottom="1440" w:gutter="0" w:footer="0" w:header="0"/>
        </w:sectPr>
      </w:pPr>
    </w:p>
    <w:bookmarkStart w:id="8" w:name="page9"/>
    <w:bookmarkEnd w:id="8"/>
    <w:p>
      <w:pPr>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471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71170"/>
                    </a:xfrm>
                    <a:prstGeom prst="rect">
                      <a:avLst/>
                    </a:prstGeom>
                    <a:noFill/>
                  </pic:spPr>
                </pic:pic>
              </a:graphicData>
            </a:graphic>
          </wp:anchor>
        </w:drawing>
        <w:t>Contact Informaton: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Relatons:</w:t>
      </w:r>
    </w:p>
    <w:p>
      <w:pPr>
        <w:spacing w:after="0" w:line="199" w:lineRule="auto"/>
        <w:rPr>
          <w:sz w:val="20"/>
          <w:szCs w:val="20"/>
          <w:color w:val="auto"/>
        </w:rPr>
      </w:pPr>
      <w:r>
        <w:rPr>
          <w:rFonts w:ascii="Calibri" w:cs="Calibri" w:eastAsia="Calibri" w:hAnsi="Calibri"/>
          <w:sz w:val="20"/>
          <w:szCs w:val="20"/>
          <w:color w:val="auto"/>
        </w:rPr>
        <w:t>Melissa Forst</w:t>
      </w:r>
    </w:p>
    <w:p>
      <w:pPr>
        <w:spacing w:after="0" w:line="212" w:lineRule="auto"/>
        <w:rPr>
          <w:sz w:val="20"/>
          <w:szCs w:val="20"/>
          <w:color w:val="auto"/>
        </w:rPr>
      </w:pPr>
      <w:r>
        <w:rPr>
          <w:rFonts w:ascii="Calibri" w:cs="Calibri" w:eastAsia="Calibri" w:hAnsi="Calibri"/>
          <w:sz w:val="20"/>
          <w:szCs w:val="20"/>
          <w:color w:val="auto"/>
        </w:rPr>
        <w:t>Argot Partners</w:t>
      </w:r>
    </w:p>
    <w:p>
      <w:pPr>
        <w:spacing w:after="0" w:line="212" w:lineRule="auto"/>
        <w:rPr>
          <w:sz w:val="20"/>
          <w:szCs w:val="20"/>
          <w:color w:val="auto"/>
        </w:rPr>
      </w:pPr>
      <w:r>
        <w:rPr>
          <w:rFonts w:ascii="Calibri" w:cs="Calibri" w:eastAsia="Calibri" w:hAnsi="Calibri"/>
          <w:sz w:val="20"/>
          <w:szCs w:val="20"/>
          <w:color w:val="0563C1"/>
        </w:rPr>
        <w:t>cartesian@argotpartners.com</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Media:</w:t>
      </w:r>
    </w:p>
    <w:p>
      <w:pPr>
        <w:spacing w:after="0" w:line="212" w:lineRule="auto"/>
        <w:rPr>
          <w:sz w:val="20"/>
          <w:szCs w:val="20"/>
          <w:color w:val="auto"/>
        </w:rPr>
      </w:pPr>
      <w:r>
        <w:rPr>
          <w:rFonts w:ascii="Calibri" w:cs="Calibri" w:eastAsia="Calibri" w:hAnsi="Calibri"/>
          <w:sz w:val="20"/>
          <w:szCs w:val="20"/>
          <w:color w:val="auto"/>
        </w:rPr>
        <w:t>David Rosen</w:t>
      </w:r>
    </w:p>
    <w:p>
      <w:pPr>
        <w:spacing w:after="0" w:line="212" w:lineRule="auto"/>
        <w:rPr>
          <w:sz w:val="20"/>
          <w:szCs w:val="20"/>
          <w:color w:val="auto"/>
        </w:rPr>
      </w:pPr>
      <w:r>
        <w:rPr>
          <w:rFonts w:ascii="Calibri" w:cs="Calibri" w:eastAsia="Calibri" w:hAnsi="Calibri"/>
          <w:sz w:val="20"/>
          <w:szCs w:val="20"/>
          <w:color w:val="auto"/>
        </w:rPr>
        <w:t>Argot Partners</w:t>
      </w:r>
    </w:p>
    <w:p>
      <w:pPr>
        <w:spacing w:after="0" w:line="213" w:lineRule="auto"/>
        <w:rPr>
          <w:sz w:val="20"/>
          <w:szCs w:val="20"/>
          <w:color w:val="auto"/>
        </w:rPr>
      </w:pPr>
      <w:r>
        <w:rPr>
          <w:rFonts w:ascii="Calibri" w:cs="Calibri" w:eastAsia="Calibri" w:hAnsi="Calibri"/>
          <w:sz w:val="20"/>
          <w:szCs w:val="20"/>
          <w:color w:val="0563C1"/>
        </w:rPr>
        <w:t>david.rosen@argotpartners.com</w:t>
      </w:r>
    </w:p>
    <w:sectPr>
      <w:pgSz w:w="11900" w:h="16838" w:orient="portrait"/>
      <w:cols w:equalWidth="0" w:num="1">
        <w:col w:w="10139"/>
      </w:cols>
      <w:pgMar w:left="320" w:top="12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5"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14" Type="http://schemas.openxmlformats.org/officeDocument/2006/relationships/hyperlink" Target="https://www.sec.gov/Archives/edgar/data/1453687/000114036124001205/ny20014884x2_ex99-2.htm" TargetMode="External"/><Relationship Id="rId16" Type="http://schemas.openxmlformats.org/officeDocument/2006/relationships/hyperlink" Target="https://www.sec.gov/Archives/edgar/data/1453687/000114036124011282/ef20023144_ex99-1.htm" TargetMode="External"/><Relationship Id="rId17" Type="http://schemas.openxmlformats.org/officeDocument/2006/relationships/hyperlink" Target="https://www.sec.gov/Archives/edgar/data/1453687/000119312523275461/d869185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2024-03-07T06:16:18Z</dcterms:created>
  <dcterms:modified xsi:type="dcterms:W3CDTF">2024-03-07T06:16:18Z</dcterms:modified>
</cp:coreProperties>
</file>