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501015</wp:posOffset>
            </wp:positionV>
            <wp:extent cx="72637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443230</wp:posOffset>
            </wp:positionV>
            <wp:extent cx="72637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571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(Rule 14a-101)</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SCHEDULE 14A INFORMATION</w:t>
      </w:r>
    </w:p>
    <w:p>
      <w:pPr>
        <w:spacing w:after="0" w:line="8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8" w:lineRule="exact"/>
        <w:rPr>
          <w:sz w:val="24"/>
          <w:szCs w:val="24"/>
          <w:color w:val="auto"/>
        </w:rPr>
      </w:pPr>
    </w:p>
    <w:p>
      <w:pPr>
        <w:ind w:left="3880"/>
        <w:spacing w:after="0"/>
        <w:tabs>
          <w:tab w:leader="none" w:pos="7460" w:val="left"/>
        </w:tabs>
        <w:rPr>
          <w:sz w:val="20"/>
          <w:szCs w:val="20"/>
          <w:color w:val="auto"/>
        </w:rPr>
      </w:pPr>
      <w:r>
        <w:rPr>
          <w:rFonts w:ascii="Arial" w:cs="Arial" w:eastAsia="Arial" w:hAnsi="Arial"/>
          <w:sz w:val="14"/>
          <w:szCs w:val="14"/>
          <w:b w:val="1"/>
          <w:bCs w:val="1"/>
          <w:color w:val="auto"/>
        </w:rPr>
        <w:t>Securities Exchange Act of 1934 (Amendment No.</w:t>
        <w:tab/>
        <w:t>)</w:t>
      </w:r>
    </w:p>
    <w:p>
      <w:pPr>
        <w:spacing w:after="0" w:line="190" w:lineRule="exact"/>
        <w:rPr>
          <w:sz w:val="24"/>
          <w:szCs w:val="24"/>
          <w:color w:val="auto"/>
        </w:rPr>
      </w:pPr>
    </w:p>
    <w:p>
      <w:pPr>
        <w:ind w:left="20"/>
        <w:spacing w:after="0" w:line="138" w:lineRule="exact"/>
        <w:tabs>
          <w:tab w:leader="none" w:pos="1320" w:val="left"/>
          <w:tab w:leader="none" w:pos="4520" w:val="left"/>
          <w:tab w:leader="none" w:pos="6740" w:val="left"/>
        </w:tabs>
        <w:rPr>
          <w:sz w:val="20"/>
          <w:szCs w:val="20"/>
          <w:color w:val="auto"/>
        </w:rPr>
      </w:pPr>
      <w:r>
        <w:rPr>
          <w:rFonts w:ascii="Arial" w:cs="Arial" w:eastAsia="Arial" w:hAnsi="Arial"/>
          <w:sz w:val="12"/>
          <w:szCs w:val="12"/>
          <w:color w:val="auto"/>
        </w:rPr>
        <w:t>Filed by the Registrant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Filed by a Party other than the Registrant</w:t>
      </w:r>
      <w:r>
        <w:rPr>
          <w:sz w:val="20"/>
          <w:szCs w:val="20"/>
          <w:color w:val="auto"/>
        </w:rPr>
        <w:tab/>
      </w:r>
      <w:r>
        <w:rPr>
          <w:rFonts w:ascii="MS PGothic" w:cs="MS PGothic" w:eastAsia="MS PGothic" w:hAnsi="MS PGothic"/>
          <w:sz w:val="12"/>
          <w:szCs w:val="12"/>
          <w:color w:val="auto"/>
        </w:rPr>
        <w:t>☐</w:t>
      </w:r>
    </w:p>
    <w:p>
      <w:pPr>
        <w:spacing w:after="0" w:line="145" w:lineRule="exact"/>
        <w:rPr>
          <w:sz w:val="24"/>
          <w:szCs w:val="24"/>
          <w:color w:val="auto"/>
        </w:rPr>
      </w:pPr>
    </w:p>
    <w:p>
      <w:pPr>
        <w:spacing w:after="0"/>
        <w:rPr>
          <w:sz w:val="20"/>
          <w:szCs w:val="20"/>
          <w:color w:val="auto"/>
        </w:rPr>
      </w:pPr>
      <w:r>
        <w:rPr>
          <w:rFonts w:ascii="Arial" w:cs="Arial" w:eastAsia="Arial" w:hAnsi="Arial"/>
          <w:sz w:val="9"/>
          <w:szCs w:val="9"/>
          <w:color w:val="auto"/>
        </w:rPr>
        <w:t>Check the appropriate box:</w:t>
      </w:r>
    </w:p>
    <w:p>
      <w:pPr>
        <w:spacing w:after="0" w:line="10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4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Confidential, for Use of the Commission Only (as permitted by Rule 14a-6(e)(2))</w:t>
      </w:r>
    </w:p>
    <w:p>
      <w:pPr>
        <w:spacing w:after="0" w:line="42" w:lineRule="exact"/>
        <w:rPr>
          <w:sz w:val="24"/>
          <w:szCs w:val="24"/>
          <w:color w:val="auto"/>
        </w:rPr>
      </w:pPr>
    </w:p>
    <w:p>
      <w:pPr>
        <w:ind w:left="700" w:hanging="690"/>
        <w:spacing w:after="0"/>
        <w:tabs>
          <w:tab w:leader="none" w:pos="7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42" w:lineRule="exact"/>
        <w:rPr>
          <w:sz w:val="24"/>
          <w:szCs w:val="24"/>
          <w:color w:val="auto"/>
        </w:rPr>
      </w:pPr>
    </w:p>
    <w:p>
      <w:pPr>
        <w:ind w:left="700" w:hanging="690"/>
        <w:spacing w:after="0"/>
        <w:tabs>
          <w:tab w:leader="none" w:pos="7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42" w:lineRule="exact"/>
        <w:rPr>
          <w:rFonts w:ascii="MS PGothic" w:cs="MS PGothic" w:eastAsia="MS PGothic" w:hAnsi="MS PGothic"/>
          <w:sz w:val="12"/>
          <w:szCs w:val="12"/>
          <w:color w:val="auto"/>
        </w:rPr>
      </w:pPr>
    </w:p>
    <w:p>
      <w:pPr>
        <w:ind w:left="700" w:hanging="690"/>
        <w:spacing w:after="0"/>
        <w:tabs>
          <w:tab w:leader="none" w:pos="7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 240.14a-12</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2637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9"/>
          <w:szCs w:val="9"/>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637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(Name of Person(s) Filing Proxy Statement, if Other Than the Registrant)</w:t>
      </w:r>
    </w:p>
    <w:p>
      <w:pPr>
        <w:spacing w:after="0" w:line="138" w:lineRule="exact"/>
        <w:rPr>
          <w:sz w:val="24"/>
          <w:szCs w:val="24"/>
          <w:color w:val="auto"/>
        </w:rPr>
      </w:pPr>
    </w:p>
    <w:p>
      <w:pPr>
        <w:ind w:left="20"/>
        <w:spacing w:after="0"/>
        <w:rPr>
          <w:sz w:val="20"/>
          <w:szCs w:val="20"/>
          <w:color w:val="auto"/>
        </w:rPr>
      </w:pPr>
      <w:r>
        <w:rPr>
          <w:rFonts w:ascii="Arial" w:cs="Arial" w:eastAsia="Arial" w:hAnsi="Arial"/>
          <w:sz w:val="12"/>
          <w:szCs w:val="12"/>
          <w:color w:val="auto"/>
        </w:rPr>
        <w:t>Payment of Filing Fee (Check the appropriate box)</w:t>
      </w:r>
    </w:p>
    <w:p>
      <w:pPr>
        <w:spacing w:after="0" w:line="42" w:lineRule="exact"/>
        <w:rPr>
          <w:sz w:val="24"/>
          <w:szCs w:val="24"/>
          <w:color w:val="auto"/>
        </w:rPr>
      </w:pPr>
    </w:p>
    <w:p>
      <w:pPr>
        <w:ind w:left="1160" w:hanging="1150"/>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42" w:lineRule="exact"/>
        <w:rPr>
          <w:sz w:val="24"/>
          <w:szCs w:val="24"/>
          <w:color w:val="auto"/>
        </w:rPr>
      </w:pPr>
    </w:p>
    <w:p>
      <w:pPr>
        <w:ind w:left="1160" w:hanging="1150"/>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42" w:lineRule="exact"/>
        <w:rPr>
          <w:rFonts w:ascii="MS PGothic" w:cs="MS PGothic" w:eastAsia="MS PGothic" w:hAnsi="MS PGothic"/>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42" w:lineRule="exact"/>
        <w:rPr>
          <w:rFonts w:ascii="Arial" w:cs="Arial" w:eastAsia="Arial" w:hAnsi="Arial"/>
          <w:sz w:val="12"/>
          <w:szCs w:val="12"/>
          <w:color w:val="auto"/>
        </w:rPr>
      </w:pPr>
    </w:p>
    <w:p>
      <w:pPr>
        <w:ind w:left="1160" w:hanging="1150"/>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42" w:lineRule="exact"/>
        <w:rPr>
          <w:rFonts w:ascii="MS PGothic" w:cs="MS PGothic" w:eastAsia="MS PGothic" w:hAnsi="MS PGothic"/>
          <w:sz w:val="12"/>
          <w:szCs w:val="12"/>
          <w:color w:val="auto"/>
        </w:rPr>
      </w:pPr>
    </w:p>
    <w:p>
      <w:pPr>
        <w:ind w:left="1160" w:hanging="1150"/>
        <w:spacing w:after="0" w:line="276"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 w:lineRule="exact"/>
        <w:rPr>
          <w:rFonts w:ascii="MS PGothic" w:cs="MS PGothic" w:eastAsia="MS PGothic" w:hAnsi="MS PGothic"/>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ectPr>
          <w:pgSz w:w="11900" w:h="16838" w:orient="portrait"/>
          <w:cols w:equalWidth="0" w:num="1">
            <w:col w:w="11460"/>
          </w:cols>
          <w:pgMar w:left="220" w:top="837" w:right="2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746760</wp:posOffset>
            </wp:positionV>
            <wp:extent cx="7292340" cy="441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44151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Selecta Biosciences, Inc.</w:t>
      </w:r>
    </w:p>
    <w:p>
      <w:pPr>
        <w:spacing w:after="0" w:line="20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PROXY STATEMENT</w:t>
      </w:r>
    </w:p>
    <w:p>
      <w:pPr>
        <w:spacing w:after="0" w:line="25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9"/>
          <w:szCs w:val="9"/>
          <w:color w:val="auto"/>
        </w:rPr>
        <w:t>June 15, 2018</w:t>
      </w:r>
    </w:p>
    <w:p>
      <w:pPr>
        <w:spacing w:after="0" w:line="77" w:lineRule="exact"/>
        <w:rPr>
          <w:sz w:val="20"/>
          <w:szCs w:val="20"/>
          <w:color w:val="auto"/>
        </w:rPr>
      </w:pPr>
    </w:p>
    <w:p>
      <w:pPr>
        <w:spacing w:after="0"/>
        <w:rPr>
          <w:sz w:val="20"/>
          <w:szCs w:val="20"/>
          <w:color w:val="auto"/>
        </w:rPr>
      </w:pPr>
      <w:r>
        <w:rPr>
          <w:rFonts w:ascii="Arial" w:cs="Arial" w:eastAsia="Arial" w:hAnsi="Arial"/>
          <w:sz w:val="9"/>
          <w:szCs w:val="9"/>
          <w:color w:val="auto"/>
        </w:rPr>
        <w:t>9:00 am (Eastern Time)</w:t>
      </w:r>
    </w:p>
    <w:p>
      <w:pPr>
        <w:sectPr>
          <w:pgSz w:w="11900" w:h="16838" w:orient="portrait"/>
          <w:cols w:equalWidth="0" w:num="1">
            <w:col w:w="9999"/>
          </w:cols>
          <w:pgMar w:left="460" w:top="1440" w:right="1440" w:bottom="1440" w:gutter="0" w:footer="0" w:header="0"/>
        </w:sectPr>
      </w:pPr>
    </w:p>
    <w:bookmarkStart w:id="2" w:name="page3"/>
    <w:bookmarkEnd w:id="2"/>
    <w:p>
      <w:pPr>
        <w:spacing w:after="0"/>
        <w:rPr>
          <w:sz w:val="20"/>
          <w:szCs w:val="20"/>
          <w:color w:val="auto"/>
        </w:rPr>
      </w:pPr>
      <w:r>
        <w:rPr>
          <w:rFonts w:ascii="Arial" w:cs="Arial" w:eastAsia="Arial" w:hAnsi="Arial"/>
          <w:sz w:val="8"/>
          <w:szCs w:val="8"/>
          <w:b w:val="1"/>
          <w:bCs w:val="1"/>
          <w:color w:val="auto"/>
        </w:rPr>
        <w:t>SELECTA BIOSCIENCES, INC.</w:t>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480 ARSENAL WAY</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2637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April 25, 2018</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To Our Stockholders:</w:t>
      </w:r>
    </w:p>
    <w:p>
      <w:pPr>
        <w:spacing w:after="0" w:line="60"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You are cordially invited to attend the 2018 Annual Meeting of Stockholders of Selecta Biosciences, Inc. (the "Company") to be held on Friday, June 15, 2018 at 9:00 a.m., Eastern Time. We are very pleased that our Annual Meeting will be a completely virtual meeting of stockholders, which will be conducted via live webcast. You will be able to attend the Annual Meeting online and submit your questions during the meeting by visiting www.virtualshareholdermeeting.com/SELB. You will also be able to vote your shares electronically at the Annual Meeting if you are a holder of record or have a legal proxy from your bank or brokerage firm.</w:t>
      </w:r>
    </w:p>
    <w:p>
      <w:pPr>
        <w:spacing w:after="0" w:line="28" w:lineRule="exact"/>
        <w:rPr>
          <w:sz w:val="20"/>
          <w:szCs w:val="20"/>
          <w:color w:val="auto"/>
        </w:rPr>
      </w:pPr>
    </w:p>
    <w:p>
      <w:pPr>
        <w:ind w:right="340"/>
        <w:spacing w:after="0" w:line="262" w:lineRule="auto"/>
        <w:rPr>
          <w:sz w:val="20"/>
          <w:szCs w:val="20"/>
          <w:color w:val="auto"/>
        </w:rPr>
      </w:pPr>
      <w:r>
        <w:rPr>
          <w:rFonts w:ascii="Arial" w:cs="Arial" w:eastAsia="Arial" w:hAnsi="Arial"/>
          <w:sz w:val="12"/>
          <w:szCs w:val="12"/>
          <w:color w:val="auto"/>
        </w:rPr>
        <w:t>We will be using the latest technology to increase access, to improve communication and to obtain cost savings for our stockholders and the Company. Use of a virtual meeting will enable increased stockholder attendance and participation as stockholders can participate from any location.</w:t>
      </w:r>
    </w:p>
    <w:p>
      <w:pPr>
        <w:spacing w:after="0" w:line="4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The Notice of Meeting and Proxy Statement on the following pages describe the matters to be presented at the Annual Meeting. Details regarding how to attend the meeting online and the business to be conducted at the Annual Meeting are more fully described in the Notice of Annual Meeting and Proxy Statement. Please see the section called “Who Can Attend the 2018 Annual Meeting of Stockholders?” on page 3 of the Proxy Statement for more information.</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online Annual Meeting, you will be able to vote your shares electronically, even if you have previously submitted your proxy.</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Thank you for your support.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Werner Cautreels, Ph.D.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Werner Cautreels, Ph.D.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1440"/>
          </w:cols>
          <w:pgMar w:left="220" w:top="756" w:right="239" w:bottom="1440" w:gutter="0" w:footer="0" w:header="0"/>
        </w:sectPr>
      </w:pPr>
    </w:p>
    <w:bookmarkStart w:id="3" w:name="page4"/>
    <w:bookmarkEnd w:id="3"/>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151765</wp:posOffset>
            </wp:positionH>
            <wp:positionV relativeFrom="page">
              <wp:posOffset>317500</wp:posOffset>
            </wp:positionV>
            <wp:extent cx="7263765"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637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ectPr>
          <w:pgSz w:w="11900" w:h="16838" w:orient="portrait"/>
          <w:cols w:equalWidth="0" w:num="1">
            <w:col w:w="11260"/>
          </w:cols>
          <w:pgMar w:left="220" w:top="710" w:right="419" w:bottom="1440" w:gutter="0" w:footer="0" w:header="0"/>
        </w:sect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8220" w:type="dxa"/>
            <w:vAlign w:val="bottom"/>
          </w:tcPr>
          <w:p>
            <w:pPr>
              <w:spacing w:after="0"/>
              <w:rPr>
                <w:sz w:val="20"/>
                <w:szCs w:val="20"/>
                <w:color w:val="auto"/>
              </w:rPr>
            </w:pPr>
            <w:r>
              <w:rPr>
                <w:rFonts w:ascii="Arial" w:cs="Arial" w:eastAsia="Arial" w:hAnsi="Arial"/>
                <w:sz w:val="12"/>
                <w:szCs w:val="12"/>
                <w:b w:val="1"/>
                <w:bCs w:val="1"/>
                <w:color w:val="auto"/>
              </w:rPr>
              <w:t>Notice of Annual Meeting of Stockholders</w:t>
            </w:r>
          </w:p>
        </w:tc>
        <w:tc>
          <w:tcPr>
            <w:tcW w:w="3020" w:type="dxa"/>
            <w:vAlign w:val="bottom"/>
          </w:tcPr>
          <w:p>
            <w:pPr>
              <w:spacing w:after="0"/>
              <w:rPr>
                <w:sz w:val="13"/>
                <w:szCs w:val="13"/>
                <w:color w:val="auto"/>
              </w:rPr>
            </w:pPr>
          </w:p>
        </w:tc>
      </w:tr>
      <w:tr>
        <w:trPr>
          <w:trHeight w:val="387"/>
        </w:trPr>
        <w:tc>
          <w:tcPr>
            <w:tcW w:w="8220" w:type="dxa"/>
            <w:vAlign w:val="bottom"/>
          </w:tcPr>
          <w:p>
            <w:pPr>
              <w:spacing w:after="0"/>
              <w:rPr>
                <w:sz w:val="20"/>
                <w:szCs w:val="20"/>
                <w:color w:val="auto"/>
              </w:rPr>
            </w:pPr>
            <w:r>
              <w:rPr>
                <w:rFonts w:ascii="Arial" w:cs="Arial" w:eastAsia="Arial" w:hAnsi="Arial"/>
                <w:sz w:val="12"/>
                <w:szCs w:val="12"/>
                <w:b w:val="1"/>
                <w:bCs w:val="1"/>
                <w:color w:val="auto"/>
              </w:rPr>
              <w:t>Proxy Statement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Proposals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Recommendations of the Board</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2</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Information About This Proxy Statement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2</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Questions and Answers About the 2018 Annual Meeting of Stockholders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3</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Proposals to be Voted 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7</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Proposal 1: Election of Directors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7</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Proposal 2: Ratification of Appointment of Independent Registered Public Accounting Firm</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12</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Report of the Audit Committee of the Board of Directors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13</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Independent Registered Public Accounting Firm Fees and Other Matters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14</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Executive Officers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16</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Corporate Governance</w:t>
            </w:r>
          </w:p>
        </w:tc>
        <w:tc>
          <w:tcPr>
            <w:tcW w:w="3020" w:type="dxa"/>
            <w:vAlign w:val="bottom"/>
          </w:tcPr>
          <w:p>
            <w:pPr>
              <w:jc w:val="center"/>
              <w:ind w:left="2820"/>
              <w:spacing w:after="0"/>
              <w:rPr>
                <w:rFonts w:ascii="Arial" w:cs="Arial" w:eastAsia="Arial" w:hAnsi="Arial"/>
                <w:sz w:val="12"/>
                <w:szCs w:val="12"/>
                <w:b w:val="1"/>
                <w:bCs w:val="1"/>
                <w:color w:val="auto"/>
              </w:rPr>
            </w:pPr>
            <w:hyperlink w:anchor="page24">
              <w:r>
                <w:rPr>
                  <w:rFonts w:ascii="Arial" w:cs="Arial" w:eastAsia="Arial" w:hAnsi="Arial"/>
                  <w:sz w:val="12"/>
                  <w:szCs w:val="12"/>
                  <w:b w:val="1"/>
                  <w:bCs w:val="1"/>
                  <w:color w:val="auto"/>
                </w:rPr>
                <w:t>18</w:t>
              </w:r>
            </w:hyperlink>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General</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Board Composition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Director Independence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Director Candidates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Communications from Stockholders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19</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Board Leadership Structure and Role in Risk Oversight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19</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Annual Board Evaluation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20</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Code of Ethics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20</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Attendance by Members of the Board of Directors at Meetings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20</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Committees of the Board</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Audit Committee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Compensation Committee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22</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Nominating and Corporate Governance Committee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23</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Executive and Director Compensation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Executive Compensation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2017 Summary Compensation Table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Narrative Disclosure to Compensation Table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Outstanding Equity Awards at 2017 Fiscal Year-End</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26</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Employment Agreements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27</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Director Compensation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2017 Director Compensation Table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Equity Compensation Plan Information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29</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Security Ownership of Certain Beneficial Owners and Management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30</w:t>
            </w:r>
          </w:p>
        </w:tc>
      </w:tr>
    </w:tbl>
    <w:p>
      <w:pPr>
        <w:sectPr>
          <w:pgSz w:w="11900" w:h="16838" w:orient="portrait"/>
          <w:cols w:equalWidth="0" w:num="1">
            <w:col w:w="11260"/>
          </w:cols>
          <w:pgMar w:left="220" w:top="710"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151765</wp:posOffset>
            </wp:positionH>
            <wp:positionV relativeFrom="page">
              <wp:posOffset>340360</wp:posOffset>
            </wp:positionV>
            <wp:extent cx="726376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 xml:space="preserve">Table of Contents </w:t>
      </w:r>
      <w:r>
        <w:rPr>
          <w:rFonts w:ascii="Arial" w:cs="Arial" w:eastAsia="Arial" w:hAnsi="Arial"/>
          <w:sz w:val="11"/>
          <w:szCs w:val="1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637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ectPr>
          <w:pgSz w:w="11900" w:h="16838" w:orient="portrait"/>
          <w:cols w:equalWidth="0" w:num="1">
            <w:col w:w="11260"/>
          </w:cols>
          <w:pgMar w:left="220" w:top="746" w:right="41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7300" w:type="dxa"/>
            <w:vAlign w:val="bottom"/>
          </w:tcPr>
          <w:p>
            <w:pPr>
              <w:spacing w:after="0"/>
              <w:rPr>
                <w:sz w:val="20"/>
                <w:szCs w:val="20"/>
                <w:color w:val="auto"/>
              </w:rPr>
            </w:pPr>
            <w:r>
              <w:rPr>
                <w:rFonts w:ascii="Arial" w:cs="Arial" w:eastAsia="Arial" w:hAnsi="Arial"/>
                <w:sz w:val="12"/>
                <w:szCs w:val="12"/>
                <w:b w:val="1"/>
                <w:bCs w:val="1"/>
                <w:color w:val="auto"/>
              </w:rPr>
              <w:t>Certain Relationships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32</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Section 16(a) Beneficial Ownership Reporting Compliance</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34</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35</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Stockholders' Proposals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35</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Other Matters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35</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Solicitation of Proxies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36</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Selecta Biosciences, Inc.'s Annual Report on Form 10-K</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bl>
    <w:p>
      <w:pPr>
        <w:sectPr>
          <w:pgSz w:w="11900" w:h="16838" w:orient="portrait"/>
          <w:cols w:equalWidth="0" w:num="1">
            <w:col w:w="11260"/>
          </w:cols>
          <w:pgMar w:left="220" w:top="746"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Notice of Annual Meeting of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 Be Held Friday, June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72637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SELECTA BIOSCIENCES, INC.</w:t>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480 ARSENAL WAY</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37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The Annual Meeting of Stockholders (the “Annual Meeting”) of Selecta Biosciences, Inc., a Delaware corporation (the “Company”), will be held at 9:00 a.m., Eastern Time, on Friday, June 15, 2018, by virtual meeting online at www.virtualshareholdermeeting.com/SELB, for the following purposes:</w:t>
      </w:r>
    </w:p>
    <w:p>
      <w:pPr>
        <w:spacing w:after="0" w:line="95" w:lineRule="exact"/>
        <w:rPr>
          <w:sz w:val="20"/>
          <w:szCs w:val="20"/>
          <w:color w:val="auto"/>
        </w:rPr>
      </w:pPr>
    </w:p>
    <w:p>
      <w:pPr>
        <w:ind w:left="580"/>
        <w:spacing w:after="0" w:line="246" w:lineRule="auto"/>
        <w:rPr>
          <w:sz w:val="20"/>
          <w:szCs w:val="20"/>
          <w:color w:val="auto"/>
        </w:rPr>
      </w:pPr>
      <w:r>
        <w:rPr>
          <w:rFonts w:ascii="Arial" w:cs="Arial" w:eastAsia="Arial" w:hAnsi="Arial"/>
          <w:sz w:val="12"/>
          <w:szCs w:val="12"/>
          <w:color w:val="auto"/>
        </w:rPr>
        <w:t>To elect Omid Farokhzad, M.D., Amir Nashat, Ph.D., and Aymeric Sallin as Class II Directors to serve until the 2021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-144145</wp:posOffset>
            </wp:positionV>
            <wp:extent cx="9715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155" cy="102870"/>
                    </a:xfrm>
                    <a:prstGeom prst="rect">
                      <a:avLst/>
                    </a:prstGeom>
                    <a:noFill/>
                  </pic:spPr>
                </pic:pic>
              </a:graphicData>
            </a:graphic>
          </wp:anchor>
        </w:drawing>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2018;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155" cy="91440"/>
                    </a:xfrm>
                    <a:prstGeom prst="rect">
                      <a:avLst/>
                    </a:prstGeom>
                    <a:noFill/>
                  </pic:spPr>
                </pic:pic>
              </a:graphicData>
            </a:graphic>
          </wp:anchor>
        </w:drawing>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-86360</wp:posOffset>
            </wp:positionV>
            <wp:extent cx="10287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91440"/>
                    </a:xfrm>
                    <a:prstGeom prst="rect">
                      <a:avLst/>
                    </a:prstGeom>
                    <a:noFill/>
                  </pic:spPr>
                </pic:pic>
              </a:graphicData>
            </a:graphic>
          </wp:anchor>
        </w:drawing>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Holders of record of our Common Stock as of the close of business on April 20, 2018 are entitled to notice of and to vote at the Annual Meeting, or any continuation, postponement or adjournment of the Annual Meeting. A complete list of these stockholders will be open to the examination of any stockholder at our principal executive offices at 480 Arsenal Way, Watertown, Massachusetts 02472 for a period of ten days prior to the Annual Meeting and on the day of the Annual Meeting. The Annual Meeting may be continued or adjourned from time to time without notice other than by announcement at the Annual Meeting.</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b w:val="1"/>
          <w:bCs w:val="1"/>
          <w:color w:val="auto"/>
        </w:rPr>
        <w:t>It is important that your shares be represented regardless of the number of shares you may hold. Whether or not you plan to attend the online Annual Meeting,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electronically at the Annual Meeting if you desire to do so, as your proxy is revocable at your option.</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By order of the Board of Directors,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5415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4152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David Abraham</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Compliance Officer, General Counsel and Corporate Secretary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Watertown, Massachusetts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25, 2018</w:t>
      </w:r>
    </w:p>
    <w:p>
      <w:pPr>
        <w:sectPr>
          <w:pgSz w:w="11900" w:h="16838" w:orient="portrait"/>
          <w:cols w:equalWidth="0" w:num="1">
            <w:col w:w="11460"/>
          </w:cols>
          <w:pgMar w:left="220" w:top="791" w:right="21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151765</wp:posOffset>
            </wp:positionH>
            <wp:positionV relativeFrom="page">
              <wp:posOffset>340360</wp:posOffset>
            </wp:positionV>
            <wp:extent cx="726376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SELECTA BIOSCIENCES, INC.</w:t>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480 ARSENAL WAY</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37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06"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This proxy statement is furnished in connection with the solicitation by the Board of Directors of Selecta Biosciences, Inc. of proxies to be voted at our Annual Meeting of Stockholders to be held on Friday, June 15, 2018 (the “Annual Meeting”), by virtual meeting online at www.virtualshareholdermeeting/SELB at 9:00 a.m., Eastern Time, and at any continuation, postponement, or adjournment of the Annual Meeting. Holders of record of shares of Common Stock, $0.0001 par value (“Common Stock”), as of the close of business on April 20, 2018 (the “Record Date”), will be entitled to notice of and to vote at the Annual Meeting and any continuation, postponement, or adjournment of the Annual Meeting. As of the Record Date, there were approximately 22,349,840 shares of Common Stock outstanding and entitled to vote at the Annual Meeting. Each share of Common Stock is entitled to one vote on any matter presented to stockholders at the Annual Meeting.</w:t>
      </w:r>
    </w:p>
    <w:p>
      <w:pPr>
        <w:spacing w:after="0" w:line="47"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This proxy statement and the Company’s Annual Report on Form 10-K for the year ended December 31, 2017 (the “2017 Annual Report”) will be released on or about April 25, 2018 to our stockholders on the Record Date.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In this proxy statement, “Selecta”, “Company”, “we”, “us”, and “our” refer to Selecta Biosciences, Inc.</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NOTICE REGARDING THE AVAILABILITY OF PROXY MATERIALS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THE STOCKHOLDER MEETING TO BE HELD ON FRIDAY, JUNE 15, 2018</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This Proxy Statement and our 2017 Annual Report are available at http://www.proxyvote.com</w:t>
      </w:r>
    </w:p>
    <w:p>
      <w:pPr>
        <w:spacing w:after="0" w:line="3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At the Annual Meeting, our stockholders will be asked:</w:t>
      </w:r>
    </w:p>
    <w:p>
      <w:pPr>
        <w:spacing w:after="0" w:line="114" w:lineRule="exact"/>
        <w:rPr>
          <w:sz w:val="20"/>
          <w:szCs w:val="20"/>
          <w:color w:val="auto"/>
        </w:rPr>
      </w:pPr>
    </w:p>
    <w:p>
      <w:pPr>
        <w:ind w:left="580"/>
        <w:spacing w:after="0" w:line="246" w:lineRule="auto"/>
        <w:rPr>
          <w:sz w:val="20"/>
          <w:szCs w:val="20"/>
          <w:color w:val="auto"/>
        </w:rPr>
      </w:pPr>
      <w:r>
        <w:rPr>
          <w:rFonts w:ascii="Arial" w:cs="Arial" w:eastAsia="Arial" w:hAnsi="Arial"/>
          <w:sz w:val="12"/>
          <w:szCs w:val="12"/>
          <w:color w:val="auto"/>
        </w:rPr>
        <w:t>To elect Omid Farokhzad, M.D., Amir Nashat, Ph.D., and Aymeric Sallin as Class II Directors to serve until the 2021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-144145</wp:posOffset>
            </wp:positionV>
            <wp:extent cx="9715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155" cy="102870"/>
                    </a:xfrm>
                    <a:prstGeom prst="rect">
                      <a:avLst/>
                    </a:prstGeom>
                    <a:noFill/>
                  </pic:spPr>
                </pic:pic>
              </a:graphicData>
            </a:graphic>
          </wp:anchor>
        </w:drawing>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2018;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155" cy="91440"/>
                    </a:xfrm>
                    <a:prstGeom prst="rect">
                      <a:avLst/>
                    </a:prstGeom>
                    <a:noFill/>
                  </pic:spPr>
                </pic:pic>
              </a:graphicData>
            </a:graphic>
          </wp:anchor>
        </w:drawing>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-86360</wp:posOffset>
            </wp:positionV>
            <wp:extent cx="10287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91440"/>
                    </a:xfrm>
                    <a:prstGeom prst="rect">
                      <a:avLst/>
                    </a:prstGeom>
                    <a:noFill/>
                  </pic:spPr>
                </pic:pic>
              </a:graphicData>
            </a:graphic>
          </wp:anchor>
        </w:drawing>
      </w:r>
    </w:p>
    <w:p>
      <w:pPr>
        <w:spacing w:after="0" w:line="58" w:lineRule="exact"/>
        <w:rPr>
          <w:sz w:val="20"/>
          <w:szCs w:val="20"/>
          <w:color w:val="auto"/>
        </w:rPr>
      </w:pPr>
    </w:p>
    <w:p>
      <w:pPr>
        <w:ind w:right="320"/>
        <w:spacing w:after="0" w:line="262" w:lineRule="auto"/>
        <w:rPr>
          <w:sz w:val="20"/>
          <w:szCs w:val="20"/>
          <w:color w:val="auto"/>
        </w:rPr>
      </w:pPr>
      <w:r>
        <w:rPr>
          <w:rFonts w:ascii="Arial" w:cs="Arial" w:eastAsia="Arial" w:hAnsi="Arial"/>
          <w:sz w:val="12"/>
          <w:szCs w:val="12"/>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9"/>
          <w:szCs w:val="9"/>
          <w:color w:val="auto"/>
        </w:rPr>
        <w:t>1</w:t>
      </w:r>
    </w:p>
    <w:p>
      <w:pPr>
        <w:sectPr>
          <w:pgSz w:w="11900" w:h="16838" w:orient="portrait"/>
          <w:cols w:equalWidth="0" w:num="1">
            <w:col w:w="11460"/>
          </w:cols>
          <w:pgMar w:left="220" w:top="746" w:right="219" w:bottom="1440" w:gutter="0" w:footer="0" w:header="0"/>
        </w:sectPr>
      </w:pPr>
    </w:p>
    <w:bookmarkStart w:id="7" w:name="page8"/>
    <w:bookmarkEnd w:id="7"/>
    <w:p>
      <w:pPr>
        <w:spacing w:after="0"/>
        <w:rPr>
          <w:sz w:val="20"/>
          <w:szCs w:val="20"/>
          <w:color w:val="auto"/>
        </w:rPr>
      </w:pPr>
      <w:r>
        <w:rPr>
          <w:rFonts w:ascii="Arial" w:cs="Arial" w:eastAsia="Arial" w:hAnsi="Arial"/>
          <w:sz w:val="9"/>
          <w:szCs w:val="9"/>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(the “Board”) recommends that you vote your shares as indicated below. If you return a properly completed proxy card, or vote your shares by telephone or Internet, your shares of Common</w:t>
      </w:r>
    </w:p>
    <w:p>
      <w:pPr>
        <w:spacing w:after="0" w:line="2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Stock will be voted on your behalf as you direct. If not otherwise specified, the shares of Common Stock represented by the proxies will be voted in accordance with the recommendations of the Board of Directors. The Board of Directors recommends that you vote:</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FOR the election of Omid Farokhzad, M.D., Amir Nashat, Ph.D., and Aymeric Sallin as Class II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155" cy="102870"/>
                    </a:xfrm>
                    <a:prstGeom prst="rect">
                      <a:avLst/>
                    </a:prstGeom>
                    <a:noFill/>
                  </pic:spPr>
                </pic:pic>
              </a:graphicData>
            </a:graphic>
          </wp:anchor>
        </w:drawing>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FOR the ratification of the appointment of Ernst &amp; Young LLP as our independent registered public accounting firm for the fiscal year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155" cy="9144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If any other matter properly comes before the stockholders for a vote at the Annual Meeting, the proxy holders named on the Company’s proxy card will vote your shares in accordance with their best judgment.</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59"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b w:val="1"/>
          <w:bCs w:val="1"/>
          <w:color w:val="auto"/>
        </w:rPr>
        <w:t>Why you received this proxy statement</w:t>
      </w:r>
      <w:r>
        <w:rPr>
          <w:rFonts w:ascii="Arial" w:cs="Arial" w:eastAsia="Arial" w:hAnsi="Arial"/>
          <w:sz w:val="12"/>
          <w:szCs w:val="12"/>
          <w:color w:val="auto"/>
        </w:rPr>
        <w:t>. You are viewing or have received these proxy materials because Selecta’s Board of Directors is soliciting your proxy to vote your shares at the Annual Meeting. This proxy</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 includes information that we are required to provide to you under the rules of the Securities and Exchange Commission (“SEC”) and that is designed to assist you in voting your shares.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b w:val="1"/>
          <w:bCs w:val="1"/>
          <w:color w:val="auto"/>
        </w:rPr>
        <w:t>Notice of Internet Availability of Proxy Materials</w:t>
      </w:r>
      <w:r>
        <w:rPr>
          <w:rFonts w:ascii="Arial" w:cs="Arial" w:eastAsia="Arial" w:hAnsi="Arial"/>
          <w:sz w:val="12"/>
          <w:szCs w:val="12"/>
          <w:color w:val="auto"/>
        </w:rPr>
        <w:t>. As permitted by SEC rules, Selecta is making this proxy statement and its 2017 Annual Report available to its stockholders electronically via the Internet. On or</w:t>
      </w:r>
      <w:r>
        <w:rPr>
          <w:rFonts w:ascii="Arial" w:cs="Arial" w:eastAsia="Arial" w:hAnsi="Arial"/>
          <w:sz w:val="12"/>
          <w:szCs w:val="12"/>
          <w:b w:val="1"/>
          <w:bCs w:val="1"/>
          <w:color w:val="auto"/>
        </w:rPr>
        <w:t xml:space="preserve"> </w:t>
      </w:r>
      <w:r>
        <w:rPr>
          <w:rFonts w:ascii="Arial" w:cs="Arial" w:eastAsia="Arial" w:hAnsi="Arial"/>
          <w:sz w:val="12"/>
          <w:szCs w:val="12"/>
          <w:color w:val="auto"/>
        </w:rPr>
        <w:t>about April 25, 2018, we mailed to our stockholders a Notice of Internet Availability of Proxy Materials (the “Internet Notice”) containing instructions on how to access this proxy statement and our 2017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2017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Printed Copies of Our Proxy Materials. </w:t>
      </w:r>
      <w:r>
        <w:rPr>
          <w:rFonts w:ascii="Arial" w:cs="Arial" w:eastAsia="Arial" w:hAnsi="Arial"/>
          <w:sz w:val="12"/>
          <w:szCs w:val="12"/>
          <w:color w:val="auto"/>
        </w:rPr>
        <w:t>If you received printed copies of our proxy materials, then instructions regarding how you can vote are contained on the proxy card included in the materials.</w:t>
      </w:r>
    </w:p>
    <w:p>
      <w:pPr>
        <w:spacing w:after="0" w:line="15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b w:val="1"/>
          <w:bCs w:val="1"/>
          <w:color w:val="auto"/>
        </w:rPr>
        <w:t>Householding</w:t>
      </w:r>
      <w:r>
        <w:rPr>
          <w:rFonts w:ascii="Arial" w:cs="Arial" w:eastAsia="Arial" w:hAnsi="Arial"/>
          <w:sz w:val="12"/>
          <w:szCs w:val="12"/>
          <w:color w:val="auto"/>
        </w:rPr>
        <w:t>. The SEC’s rules permit us to deliver a single Internet Notice or set of proxy materials to one address shared by two or more of our stockholders. This delivery method is referred to as “householding”</w:t>
      </w:r>
      <w:r>
        <w:rPr>
          <w:rFonts w:ascii="Arial" w:cs="Arial" w:eastAsia="Arial" w:hAnsi="Arial"/>
          <w:sz w:val="12"/>
          <w:szCs w:val="12"/>
          <w:b w:val="1"/>
          <w:bCs w:val="1"/>
          <w:color w:val="auto"/>
        </w:rPr>
        <w:t xml:space="preserve"> </w:t>
      </w:r>
      <w:r>
        <w:rPr>
          <w:rFonts w:ascii="Arial" w:cs="Arial" w:eastAsia="Arial" w:hAnsi="Arial"/>
          <w:sz w:val="12"/>
          <w:szCs w:val="12"/>
          <w:color w:val="auto"/>
        </w:rPr>
        <w:t>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(866) 540-7095 or in writing at Broadridge, Householding Department, 51 Mercedes Way, Edgewood, New York 11717.</w:t>
      </w:r>
    </w:p>
    <w:p>
      <w:pPr>
        <w:spacing w:after="0" w:line="134"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If you are currently a stockholder sharing an address with another stockholder and received more than one copy of the Internet Notice, but wish to receive only one copy of future Internet Notices or proxy materials for your household, please contact Broadridge at the above phone number or address.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9"/>
          <w:szCs w:val="9"/>
          <w:color w:val="auto"/>
        </w:rPr>
        <w:t>2</w:t>
      </w:r>
    </w:p>
    <w:p>
      <w:pPr>
        <w:sectPr>
          <w:pgSz w:w="11900" w:h="16838" w:orient="portrait"/>
          <w:cols w:equalWidth="0" w:num="1">
            <w:col w:w="11460"/>
          </w:cols>
          <w:pgMar w:left="220" w:top="507" w:right="2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Questions and Answers about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Record Date for the Annual Meeting is April 20, 2018.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22,349,840 shares of Common Stock outstanding and entitled to vote at the Annual Meeting.</w:t>
      </w:r>
    </w:p>
    <w:p>
      <w:pPr>
        <w:spacing w:after="0" w:line="25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A record holder holds shares in his or her name. Shares held in “street name” means shares that are held in the name of a bank or broker on a person’s behalf.</w:t>
      </w:r>
    </w:p>
    <w:p>
      <w:pPr>
        <w:spacing w:after="0" w:line="26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electronically at the online Annual Meeting, unless you obtain a legal proxy from your bank or brokerage firm.</w:t>
      </w:r>
    </w:p>
    <w:p>
      <w:pPr>
        <w:spacing w:after="0" w:line="2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24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Who can attend the </w:t>
      </w:r>
      <w:r>
        <w:rPr>
          <w:rFonts w:ascii="Arial" w:cs="Arial" w:eastAsia="Arial" w:hAnsi="Arial"/>
          <w:sz w:val="8"/>
          <w:szCs w:val="8"/>
          <w:b w:val="1"/>
          <w:bCs w:val="1"/>
          <w:color w:val="auto"/>
        </w:rPr>
        <w:t>2018 Annual Meeting</w:t>
      </w:r>
      <w:r>
        <w:rPr>
          <w:rFonts w:ascii="Arial" w:cs="Arial" w:eastAsia="Arial" w:hAnsi="Arial"/>
          <w:sz w:val="9"/>
          <w:szCs w:val="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jc w:val="both"/>
        <w:ind w:right="360"/>
        <w:spacing w:after="0" w:line="256" w:lineRule="auto"/>
        <w:rPr>
          <w:sz w:val="20"/>
          <w:szCs w:val="20"/>
          <w:color w:val="auto"/>
        </w:rPr>
      </w:pPr>
      <w:r>
        <w:rPr>
          <w:rFonts w:ascii="Arial" w:cs="Arial" w:eastAsia="Arial" w:hAnsi="Arial"/>
          <w:sz w:val="12"/>
          <w:szCs w:val="12"/>
          <w:color w:val="auto"/>
        </w:rPr>
        <w:t xml:space="preserve">You may attend the online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Arial" w:cs="Arial" w:eastAsia="Arial" w:hAnsi="Arial"/>
          <w:sz w:val="12"/>
          <w:szCs w:val="12"/>
          <w:b w:val="1"/>
          <w:bCs w:val="1"/>
          <w:color w:val="auto"/>
        </w:rPr>
        <w:t>www.virtualshareholdermeeting/SELB</w:t>
      </w:r>
      <w:r>
        <w:rPr>
          <w:rFonts w:ascii="Arial" w:cs="Arial" w:eastAsia="Arial" w:hAnsi="Arial"/>
          <w:sz w:val="12"/>
          <w:szCs w:val="12"/>
          <w:color w:val="auto"/>
        </w:rPr>
        <w:t>. You also will be able to vote your shares electronically at the Annual Meeting if you are a stockholder of record or have a legal proxy from your bank or brokerage firm.</w:t>
      </w:r>
    </w:p>
    <w:p>
      <w:pPr>
        <w:spacing w:after="0" w:line="1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To participate in the Annual Meeting, you will need the 16-digit control number included in your Internet Notice, on your proxy card or on the instructions that accompanied your proxy materials. The meeting webcast will begin promptly at 9:00 a.m., Eastern Time. We encourage you to access the meeting prior to the start time. Online check-in will begin at 8:55 a.m., Eastern Time, and you should allow ample time for the check-in procedures.</w:t>
      </w:r>
    </w:p>
    <w:p>
      <w:pPr>
        <w:spacing w:after="0" w:line="21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WHY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right="440"/>
        <w:spacing w:after="0" w:line="256" w:lineRule="auto"/>
        <w:rPr>
          <w:sz w:val="20"/>
          <w:szCs w:val="20"/>
          <w:color w:val="auto"/>
        </w:rPr>
      </w:pPr>
      <w:r>
        <w:rPr>
          <w:rFonts w:ascii="Arial" w:cs="Arial" w:eastAsia="Arial" w:hAnsi="Arial"/>
          <w:sz w:val="12"/>
          <w:szCs w:val="12"/>
          <w:color w:val="auto"/>
        </w:rPr>
        <w:t xml:space="preserve">We are excited to embrace the latest technology to provide expanded access, improved communication and cost savings for our stockholders and the Company. Hosting a virtual meeting will enable increased stockholder attendance and participation since stockholders can participate from any location around the world. You will be able to attend the Annual Meeting online and submit your questions by visiting </w:t>
      </w:r>
      <w:r>
        <w:rPr>
          <w:rFonts w:ascii="Arial" w:cs="Arial" w:eastAsia="Arial" w:hAnsi="Arial"/>
          <w:sz w:val="12"/>
          <w:szCs w:val="12"/>
          <w:b w:val="1"/>
          <w:bCs w:val="1"/>
          <w:color w:val="auto"/>
        </w:rPr>
        <w:t>www.virtualshareholdermeeting/SELB</w:t>
      </w:r>
      <w:r>
        <w:rPr>
          <w:rFonts w:ascii="Arial" w:cs="Arial" w:eastAsia="Arial" w:hAnsi="Arial"/>
          <w:sz w:val="12"/>
          <w:szCs w:val="12"/>
          <w:color w:val="auto"/>
        </w:rPr>
        <w: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3</w:t>
      </w:r>
    </w:p>
    <w:p>
      <w:pPr>
        <w:sectPr>
          <w:pgSz w:w="11900" w:h="16838" w:orient="portrait"/>
          <w:cols w:equalWidth="0" w:num="1">
            <w:col w:w="11460"/>
          </w:cols>
          <w:pgMar w:left="220" w:top="818" w:right="21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You also will be able to vote your shares electronically at the Annual Meeting if you are a stockholder of record or have a legal proxy from your bank or brokerage firm.</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will have technicians ready to assist you with any technical difficulties you may have accessing the virtual meeting website. If you encounter any difficulties accessing the virtual meeting website during the check-in or meeting time, please call:</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1 855-449-0991 (Toll Free)</w:t>
      </w:r>
    </w:p>
    <w:p>
      <w:pPr>
        <w:spacing w:after="0" w:line="28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11" w:lineRule="exact"/>
        <w:rPr>
          <w:sz w:val="20"/>
          <w:szCs w:val="20"/>
          <w:color w:val="auto"/>
        </w:rPr>
      </w:pPr>
    </w:p>
    <w:p>
      <w:pPr>
        <w:ind w:right="240"/>
        <w:spacing w:after="0" w:line="324" w:lineRule="auto"/>
        <w:rPr>
          <w:sz w:val="20"/>
          <w:szCs w:val="20"/>
          <w:color w:val="auto"/>
        </w:rPr>
      </w:pPr>
      <w:r>
        <w:rPr>
          <w:rFonts w:ascii="Arial" w:cs="Arial" w:eastAsia="Arial" w:hAnsi="Arial"/>
          <w:sz w:val="12"/>
          <w:szCs w:val="12"/>
          <w:color w:val="auto"/>
        </w:rPr>
        <w:t>If a quorum is not present at the scheduled time of the Annual Meeting, (i) the Chairperson of the Annual Meeting or (ii) a majority in voting power of the stockholders entitled to vote at the Annual Meeting, present online or represented by proxy, may adjourn the Annual Meeting until a quorum is present or represented.</w:t>
      </w:r>
    </w:p>
    <w:p>
      <w:pPr>
        <w:spacing w:after="0" w:line="20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26376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9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We recommend that stockholders vote by proxy even if they plan to participate in the online Annual Meeting and vote electronically. If you are a stockholder of record, there are three ways to vote by proxy:</w:t>
      </w:r>
    </w:p>
    <w:p>
      <w:pPr>
        <w:spacing w:after="0" w:line="6"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Telephone - You can vote by telephone by calling 1-800-690-6903 and following the instructions on the proxy card;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Internet - You can vote over the Internet at www.virtualshareholdermeeting/SELB by following the instructions on the Internet Notice or proxy card;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Mail - You can vote by mail by signing, dating and mailing the proxy card, which you may have received by mail.</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 xml:space="preserve">Telephone and Internet voting facilities for stockholders of record will be available 24 hours a day and will close at 11:59 p.m., Eastern Time, on June 14, 2018. The Annual Meeting will be held entirely online to allow greater participation. Stockholders may participate in the Annual Meeting by visiting the following website: </w:t>
      </w:r>
      <w:r>
        <w:rPr>
          <w:rFonts w:ascii="Arial" w:cs="Arial" w:eastAsia="Arial" w:hAnsi="Arial"/>
          <w:sz w:val="12"/>
          <w:szCs w:val="12"/>
          <w:b w:val="1"/>
          <w:bCs w:val="1"/>
          <w:color w:val="auto"/>
        </w:rPr>
        <w:t>www.virtualshareholdermeeting/SELB</w:t>
      </w:r>
      <w:r>
        <w:rPr>
          <w:rFonts w:ascii="Arial" w:cs="Arial" w:eastAsia="Arial" w:hAnsi="Arial"/>
          <w:sz w:val="12"/>
          <w:szCs w:val="12"/>
          <w:color w:val="auto"/>
        </w:rPr>
        <w:t>. To participate in the Annual Meeting, you will need the 16-digit control number included in your Internet Notice, on your proxy card or on the instructions that accompanied your proxy materials.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electronically at the Annual Meeting, you should contact your bank or broker to obtain a legal proxy in order to vote.</w:t>
      </w:r>
    </w:p>
    <w:p>
      <w:pPr>
        <w:spacing w:after="0" w:line="23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Yes.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If you are a registered stockholder, you may revoke your proxy and change your vote:</w:t>
      </w:r>
    </w:p>
    <w:p>
      <w:pPr>
        <w:spacing w:after="0" w:line="6"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by submitting a duly executed proxy bearing a later date;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by granting a subsequent proxy through the Internet or telephone;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9"/>
          <w:szCs w:val="9"/>
          <w:color w:val="auto"/>
        </w:rPr>
        <w:t>4</w:t>
      </w:r>
    </w:p>
    <w:p>
      <w:pPr>
        <w:sectPr>
          <w:pgSz w:w="11900" w:h="16838" w:orient="portrait"/>
          <w:cols w:equalWidth="0" w:num="1">
            <w:col w:w="11460"/>
          </w:cols>
          <w:pgMar w:left="220" w:top="409" w:right="219" w:bottom="1440" w:gutter="0" w:footer="0" w:header="0"/>
        </w:sectPr>
      </w:pPr>
    </w:p>
    <w:bookmarkStart w:id="10" w:name="page11"/>
    <w:bookmarkEnd w:id="10"/>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by giving written notice of revocation to the Corporate Secretary of the Company prior to or at the Annual Meeting;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by voting electronically at the online Annual Meeting.</w:t>
      </w:r>
    </w:p>
    <w:p>
      <w:pPr>
        <w:spacing w:after="0" w:line="150" w:lineRule="exact"/>
        <w:rPr>
          <w:sz w:val="20"/>
          <w:szCs w:val="20"/>
          <w:color w:val="auto"/>
        </w:rPr>
      </w:pPr>
    </w:p>
    <w:p>
      <w:pPr>
        <w:ind w:right="200"/>
        <w:spacing w:after="0" w:line="262" w:lineRule="auto"/>
        <w:rPr>
          <w:sz w:val="20"/>
          <w:szCs w:val="20"/>
          <w:color w:val="auto"/>
        </w:rPr>
      </w:pPr>
      <w:r>
        <w:rPr>
          <w:rFonts w:ascii="Arial" w:cs="Arial" w:eastAsia="Arial" w:hAnsi="Arial"/>
          <w:sz w:val="12"/>
          <w:szCs w:val="12"/>
          <w:color w:val="auto"/>
        </w:rPr>
        <w:t>Your most recent proxy card or telephone or Internet proxy is the one that is counted. Your participation in the online Annual Meeting by itself will not revoke your proxy unless you give written notice of revocation to the Corporate Secretary before your proxy is voted or you vote electronically at the online Annual Meeting.</w:t>
      </w:r>
    </w:p>
    <w:p>
      <w:pPr>
        <w:spacing w:after="0" w:line="131"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If your shares are held in street name, you may change or revoke your voting instructions by following the specific directions provided to you by your bank or broker, or you may vote electronically at the online Annual Meeting by obtaining a legal proxy from your bank or broker and submitting the legal proxy along with your online vote.</w:t>
      </w:r>
    </w:p>
    <w:p>
      <w:pPr>
        <w:spacing w:after="0" w:line="22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A representative of Broadridge Financial Solutions, Inc., our inspector of election, will tabulate and certify the votes.</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right="160" w:firstLine="12"/>
        <w:spacing w:after="0" w:line="293" w:lineRule="auto"/>
        <w:rPr>
          <w:sz w:val="20"/>
          <w:szCs w:val="20"/>
          <w:color w:val="auto"/>
        </w:rPr>
      </w:pPr>
      <w:r>
        <w:rPr>
          <w:rFonts w:ascii="Arial" w:cs="Arial" w:eastAsia="Arial" w:hAnsi="Arial"/>
          <w:sz w:val="12"/>
          <w:szCs w:val="12"/>
          <w:color w:val="auto"/>
        </w:rPr>
        <w:t>If you submit a proxy but do not indicate any voting instructions, the persons named as proxies will vote in accordance with the recommendations of the Board of Directors. The Board of Directors’ recommendations are indicated on page 2 of this proxy statement, as well as with the description of each proposal in this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right="320" w:firstLine="12"/>
        <w:spacing w:after="0" w:line="293" w:lineRule="auto"/>
        <w:rPr>
          <w:sz w:val="20"/>
          <w:szCs w:val="20"/>
          <w:color w:val="auto"/>
        </w:rPr>
      </w:pPr>
      <w:r>
        <w:rPr>
          <w:rFonts w:ascii="Arial" w:cs="Arial" w:eastAsia="Arial" w:hAnsi="Arial"/>
          <w:sz w:val="12"/>
          <w:szCs w:val="12"/>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6376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20" w:type="dxa"/>
            <w:vAlign w:val="bottom"/>
            <w:shd w:val="clear" w:color="auto" w:fill="CECECE"/>
          </w:tcPr>
          <w:p>
            <w:pPr>
              <w:spacing w:after="0"/>
              <w:rPr>
                <w:sz w:val="12"/>
                <w:szCs w:val="12"/>
                <w:color w:val="auto"/>
              </w:rPr>
            </w:pPr>
          </w:p>
        </w:tc>
        <w:tc>
          <w:tcPr>
            <w:tcW w:w="4420" w:type="dxa"/>
            <w:vAlign w:val="bottom"/>
            <w:shd w:val="clear" w:color="auto" w:fill="CECECE"/>
          </w:tcPr>
          <w:p>
            <w:pPr>
              <w:spacing w:after="0"/>
              <w:rPr>
                <w:sz w:val="12"/>
                <w:szCs w:val="12"/>
                <w:color w:val="auto"/>
              </w:rPr>
            </w:pPr>
          </w:p>
        </w:tc>
        <w:tc>
          <w:tcPr>
            <w:tcW w:w="4840" w:type="dxa"/>
            <w:vAlign w:val="bottom"/>
            <w:shd w:val="clear" w:color="auto" w:fill="CECECE"/>
          </w:tcPr>
          <w:p>
            <w:pPr>
              <w:ind w:left="1880"/>
              <w:spacing w:after="0"/>
              <w:rPr>
                <w:sz w:val="20"/>
                <w:szCs w:val="20"/>
                <w:color w:val="auto"/>
              </w:rPr>
            </w:pPr>
            <w:r>
              <w:rPr>
                <w:rFonts w:ascii="Arial" w:cs="Arial" w:eastAsia="Arial" w:hAnsi="Arial"/>
                <w:sz w:val="12"/>
                <w:szCs w:val="12"/>
                <w:b w:val="1"/>
                <w:bCs w:val="1"/>
                <w:color w:val="auto"/>
              </w:rPr>
              <w:t>Effect of Votes Withheld/Abstentions and Broker</w:t>
            </w:r>
          </w:p>
        </w:tc>
      </w:tr>
      <w:tr>
        <w:trPr>
          <w:trHeight w:val="163"/>
        </w:trPr>
        <w:tc>
          <w:tcPr>
            <w:tcW w:w="2220" w:type="dxa"/>
            <w:vAlign w:val="bottom"/>
            <w:tcBorders>
              <w:bottom w:val="single" w:sz="8" w:color="auto"/>
            </w:tcBorders>
            <w:shd w:val="clear" w:color="auto" w:fill="CECECE"/>
          </w:tcPr>
          <w:p>
            <w:pPr>
              <w:ind w:left="20"/>
              <w:spacing w:after="0"/>
              <w:rPr>
                <w:sz w:val="20"/>
                <w:szCs w:val="20"/>
                <w:color w:val="auto"/>
              </w:rPr>
            </w:pPr>
            <w:r>
              <w:rPr>
                <w:rFonts w:ascii="Arial" w:cs="Arial" w:eastAsia="Arial" w:hAnsi="Arial"/>
                <w:sz w:val="12"/>
                <w:szCs w:val="12"/>
                <w:b w:val="1"/>
                <w:bCs w:val="1"/>
                <w:color w:val="auto"/>
              </w:rPr>
              <w:t>Proposal</w:t>
            </w:r>
          </w:p>
        </w:tc>
        <w:tc>
          <w:tcPr>
            <w:tcW w:w="4420" w:type="dxa"/>
            <w:vAlign w:val="bottom"/>
            <w:tcBorders>
              <w:bottom w:val="single" w:sz="8" w:color="auto"/>
            </w:tcBorders>
            <w:shd w:val="clear" w:color="auto" w:fill="CECECE"/>
          </w:tcPr>
          <w:p>
            <w:pPr>
              <w:ind w:left="1700"/>
              <w:spacing w:after="0"/>
              <w:rPr>
                <w:sz w:val="20"/>
                <w:szCs w:val="20"/>
                <w:color w:val="auto"/>
              </w:rPr>
            </w:pPr>
            <w:r>
              <w:rPr>
                <w:rFonts w:ascii="Arial" w:cs="Arial" w:eastAsia="Arial" w:hAnsi="Arial"/>
                <w:sz w:val="12"/>
                <w:szCs w:val="12"/>
                <w:b w:val="1"/>
                <w:bCs w:val="1"/>
                <w:color w:val="auto"/>
              </w:rPr>
              <w:t>Votes required</w:t>
            </w:r>
          </w:p>
        </w:tc>
        <w:tc>
          <w:tcPr>
            <w:tcW w:w="4840" w:type="dxa"/>
            <w:vAlign w:val="bottom"/>
            <w:tcBorders>
              <w:bottom w:val="single" w:sz="8" w:color="auto"/>
            </w:tcBorders>
            <w:shd w:val="clear" w:color="auto" w:fill="CECECE"/>
          </w:tcPr>
          <w:p>
            <w:pPr>
              <w:ind w:left="1880"/>
              <w:spacing w:after="0"/>
              <w:rPr>
                <w:sz w:val="20"/>
                <w:szCs w:val="20"/>
                <w:color w:val="auto"/>
              </w:rPr>
            </w:pPr>
            <w:r>
              <w:rPr>
                <w:rFonts w:ascii="Arial" w:cs="Arial" w:eastAsia="Arial" w:hAnsi="Arial"/>
                <w:sz w:val="12"/>
                <w:szCs w:val="12"/>
                <w:b w:val="1"/>
                <w:bCs w:val="1"/>
                <w:color w:val="auto"/>
              </w:rPr>
              <w:t>Non-Votes</w:t>
            </w:r>
          </w:p>
        </w:tc>
      </w:tr>
    </w:tbl>
    <w:p>
      <w:pPr>
        <w:spacing w:after="0" w:line="13" w:lineRule="exact"/>
        <w:rPr>
          <w:sz w:val="20"/>
          <w:szCs w:val="20"/>
          <w:color w:val="auto"/>
        </w:rPr>
      </w:pPr>
    </w:p>
    <w:p>
      <w:pPr>
        <w:sectPr>
          <w:pgSz w:w="11900" w:h="16838" w:orient="portrait"/>
          <w:cols w:equalWidth="0" w:num="1">
            <w:col w:w="11480"/>
          </w:cols>
          <w:pgMar w:left="220" w:top="409" w:right="199" w:bottom="1440" w:gutter="0" w:footer="0" w:header="0"/>
        </w:sectPr>
      </w:pPr>
    </w:p>
    <w:p>
      <w:pPr>
        <w:ind w:left="20"/>
        <w:spacing w:after="0"/>
        <w:tabs>
          <w:tab w:leader="none" w:pos="3900" w:val="left"/>
        </w:tabs>
        <w:rPr>
          <w:sz w:val="20"/>
          <w:szCs w:val="20"/>
          <w:color w:val="auto"/>
        </w:rPr>
      </w:pP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9"/>
          <w:szCs w:val="9"/>
          <w:color w:val="auto"/>
        </w:rPr>
        <w:t>The plurality of the votes cast. This means that the three nominees receiving the highest number of affirmative</w:t>
      </w:r>
    </w:p>
    <w:p>
      <w:pPr>
        <w:ind w:left="3920"/>
        <w:spacing w:after="0"/>
        <w:rPr>
          <w:sz w:val="20"/>
          <w:szCs w:val="20"/>
          <w:color w:val="auto"/>
        </w:rPr>
      </w:pPr>
      <w:r>
        <w:rPr>
          <w:rFonts w:ascii="Arial" w:cs="Arial" w:eastAsia="Arial" w:hAnsi="Arial"/>
          <w:sz w:val="9"/>
          <w:szCs w:val="9"/>
          <w:color w:val="auto"/>
        </w:rPr>
        <w:t>“FOR” votes will be elected as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92340" cy="211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211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Votes withheld and broker non-votes will have no effect.</w:t>
      </w:r>
    </w:p>
    <w:p>
      <w:pPr>
        <w:spacing w:after="0" w:line="241" w:lineRule="exact"/>
        <w:rPr>
          <w:sz w:val="20"/>
          <w:szCs w:val="20"/>
          <w:color w:val="auto"/>
        </w:rPr>
      </w:pPr>
    </w:p>
    <w:p>
      <w:pPr>
        <w:sectPr>
          <w:pgSz w:w="11900" w:h="16838" w:orient="portrait"/>
          <w:cols w:equalWidth="0" w:num="2">
            <w:col w:w="8300" w:space="220"/>
            <w:col w:w="2960"/>
          </w:cols>
          <w:pgMar w:left="220" w:top="409" w:right="199" w:bottom="1440" w:gutter="0" w:footer="0" w:header="0"/>
          <w:type w:val="continuous"/>
        </w:sectPr>
      </w:pPr>
    </w:p>
    <w:p>
      <w:pPr>
        <w:ind w:left="20"/>
        <w:spacing w:after="0"/>
        <w:tabs>
          <w:tab w:leader="none" w:pos="3900" w:val="left"/>
        </w:tabs>
        <w:rPr>
          <w:sz w:val="20"/>
          <w:szCs w:val="20"/>
          <w:color w:val="auto"/>
        </w:rPr>
      </w:pPr>
      <w:r>
        <w:rPr>
          <w:rFonts w:ascii="Arial" w:cs="Arial" w:eastAsia="Arial" w:hAnsi="Arial"/>
          <w:sz w:val="9"/>
          <w:szCs w:val="9"/>
          <w:color w:val="auto"/>
        </w:rPr>
        <w:t>Proposal 2: Ratification of Appointment of Independent Registered Public Accounting Firm</w:t>
      </w:r>
      <w:r>
        <w:rPr>
          <w:sz w:val="20"/>
          <w:szCs w:val="20"/>
          <w:color w:val="auto"/>
        </w:rPr>
        <w:tab/>
      </w:r>
      <w:r>
        <w:rPr>
          <w:rFonts w:ascii="Arial" w:cs="Arial" w:eastAsia="Arial" w:hAnsi="Arial"/>
          <w:sz w:val="8"/>
          <w:szCs w:val="8"/>
          <w:color w:val="auto"/>
        </w:rPr>
        <w:t>The affirmative vote of the holders of a majority in voting power of the votes cast affirmatively or negatively.</w:t>
      </w:r>
    </w:p>
    <w:p>
      <w:pPr>
        <w:spacing w:after="0" w:line="20" w:lineRule="exact"/>
        <w:rPr>
          <w:sz w:val="20"/>
          <w:szCs w:val="20"/>
          <w:color w:val="auto"/>
        </w:rPr>
      </w:pPr>
      <w:r>
        <w:rPr>
          <w:sz w:val="20"/>
          <w:szCs w:val="20"/>
          <w:color w:val="auto"/>
        </w:rPr>
        <w:br w:type="column"/>
      </w:r>
    </w:p>
    <w:p>
      <w:pPr>
        <w:ind w:right="140"/>
        <w:spacing w:after="0" w:line="239" w:lineRule="auto"/>
        <w:rPr>
          <w:sz w:val="20"/>
          <w:szCs w:val="20"/>
          <w:color w:val="auto"/>
        </w:rPr>
      </w:pPr>
      <w:r>
        <w:rPr>
          <w:rFonts w:ascii="Arial" w:cs="Arial" w:eastAsia="Arial" w:hAnsi="Arial"/>
          <w:sz w:val="9"/>
          <w:szCs w:val="9"/>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2">
            <w:col w:w="8160" w:space="360"/>
            <w:col w:w="2960"/>
          </w:cols>
          <w:pgMar w:left="220" w:top="409" w:right="19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9"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A “vote withheld,” in the case of the proposal regarding the election of directors, or an “abstention,” in the case of the proposal regarding the ratification of the appointment of Ernst &amp; Young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Ernst &amp; Young LLP.</w:t>
      </w:r>
    </w:p>
    <w:p>
      <w:pPr>
        <w:spacing w:after="0" w:line="12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9" w:lineRule="exact"/>
        <w:rPr>
          <w:sz w:val="20"/>
          <w:szCs w:val="20"/>
          <w:color w:val="auto"/>
        </w:rPr>
      </w:pPr>
    </w:p>
    <w:p>
      <w:pPr>
        <w:ind w:right="220"/>
        <w:spacing w:after="0" w:line="262" w:lineRule="auto"/>
        <w:rPr>
          <w:sz w:val="20"/>
          <w:szCs w:val="20"/>
          <w:color w:val="auto"/>
        </w:rPr>
      </w:pPr>
      <w:r>
        <w:rPr>
          <w:rFonts w:ascii="Arial" w:cs="Arial" w:eastAsia="Arial" w:hAnsi="Arial"/>
          <w:sz w:val="12"/>
          <w:szCs w:val="12"/>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5</w:t>
      </w:r>
    </w:p>
    <w:p>
      <w:pPr>
        <w:sectPr>
          <w:pgSz w:w="11900" w:h="16838" w:orient="portrait"/>
          <w:cols w:equalWidth="0" w:num="1">
            <w:col w:w="11480"/>
          </w:cols>
          <w:pgMar w:left="220" w:top="409" w:right="199" w:bottom="1440" w:gutter="0" w:footer="0" w:header="0"/>
          <w:type w:val="continuous"/>
        </w:sectPr>
      </w:pPr>
    </w:p>
    <w:bookmarkStart w:id="11" w:name="page12"/>
    <w:bookmarkEnd w:id="11"/>
    <w:p>
      <w:pPr>
        <w:spacing w:after="0" w:line="256" w:lineRule="auto"/>
        <w:rPr>
          <w:sz w:val="20"/>
          <w:szCs w:val="20"/>
          <w:color w:val="auto"/>
        </w:rPr>
      </w:pPr>
      <w:r>
        <w:rPr>
          <w:rFonts w:ascii="Arial" w:cs="Arial" w:eastAsia="Arial" w:hAnsi="Arial"/>
          <w:sz w:val="12"/>
          <w:szCs w:val="12"/>
          <w:color w:val="auto"/>
        </w:rPr>
        <w:t>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12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Where can I find the voting results of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9"/>
          <w:szCs w:val="9"/>
          <w:color w:val="auto"/>
        </w:rPr>
        <w:t>6</w:t>
      </w:r>
    </w:p>
    <w:p>
      <w:pPr>
        <w:sectPr>
          <w:pgSz w:w="11900" w:h="16838" w:orient="portrait"/>
          <w:cols w:equalWidth="0" w:num="1">
            <w:col w:w="11460"/>
          </w:cols>
          <w:pgMar w:left="220" w:top="409" w:right="219" w:bottom="1440" w:gutter="0" w:footer="0" w:header="0"/>
        </w:sectPr>
      </w:pPr>
    </w:p>
    <w:bookmarkStart w:id="12" w:name="page13"/>
    <w:bookmarkEnd w:id="12"/>
    <w:p>
      <w:pPr>
        <w:spacing w:after="0"/>
        <w:rPr>
          <w:sz w:val="20"/>
          <w:szCs w:val="20"/>
          <w:color w:val="auto"/>
        </w:rPr>
      </w:pPr>
      <w:r>
        <w:rPr>
          <w:rFonts w:ascii="Arial" w:cs="Arial" w:eastAsia="Arial" w:hAnsi="Arial"/>
          <w:sz w:val="8"/>
          <w:szCs w:val="8"/>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PROPOSALS TO BE VOTED ON - PROPOSAL 1</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26376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309" w:lineRule="auto"/>
        <w:rPr>
          <w:sz w:val="20"/>
          <w:szCs w:val="20"/>
          <w:color w:val="auto"/>
        </w:rPr>
      </w:pPr>
      <w:r>
        <w:rPr>
          <w:rFonts w:ascii="Arial" w:cs="Arial" w:eastAsia="Arial" w:hAnsi="Arial"/>
          <w:sz w:val="12"/>
          <w:szCs w:val="12"/>
          <w:color w:val="auto"/>
        </w:rPr>
        <w:t>At the Annual Meeting, three (3) Class II Directors are to be elected to hold office until the Annual Meeting of Stockholders to be held in 2021 and until such director’s successor is elected and qualified or until such director’s earlier death, resignation or removal.</w:t>
      </w:r>
    </w:p>
    <w:p>
      <w:pPr>
        <w:spacing w:after="0" w:line="113"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We currently have eight (8) directors on our Board, including three (3) Class II Directors. Our current Class II Directors are Omid Farokhzad, M.D., who has served on our Board since 2007, Amir Nashat, Ph.D., who has served on our Board since 2008, and Aymeric Sallin, who has served on our Board since 2008. All three members have been nominated for re-election as a Class II Director at the Annual Meeting.</w:t>
      </w:r>
    </w:p>
    <w:p>
      <w:pPr>
        <w:spacing w:after="0" w:line="131" w:lineRule="exact"/>
        <w:rPr>
          <w:sz w:val="20"/>
          <w:szCs w:val="20"/>
          <w:color w:val="auto"/>
        </w:rPr>
      </w:pPr>
    </w:p>
    <w:p>
      <w:pPr>
        <w:ind w:right="240"/>
        <w:spacing w:after="0" w:line="262" w:lineRule="auto"/>
        <w:rPr>
          <w:sz w:val="20"/>
          <w:szCs w:val="20"/>
          <w:color w:val="auto"/>
        </w:rPr>
      </w:pPr>
      <w:r>
        <w:rPr>
          <w:rFonts w:ascii="Arial" w:cs="Arial" w:eastAsia="Arial" w:hAnsi="Arial"/>
          <w:sz w:val="12"/>
          <w:szCs w:val="12"/>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131" w:lineRule="exact"/>
        <w:rPr>
          <w:sz w:val="20"/>
          <w:szCs w:val="20"/>
          <w:color w:val="auto"/>
        </w:rPr>
      </w:pPr>
    </w:p>
    <w:p>
      <w:pPr>
        <w:ind w:right="80"/>
        <w:spacing w:after="0" w:line="252" w:lineRule="auto"/>
        <w:rPr>
          <w:sz w:val="20"/>
          <w:szCs w:val="20"/>
          <w:color w:val="auto"/>
        </w:rPr>
      </w:pPr>
      <w:r>
        <w:rPr>
          <w:rFonts w:ascii="Arial" w:cs="Arial" w:eastAsia="Arial" w:hAnsi="Arial"/>
          <w:sz w:val="12"/>
          <w:szCs w:val="12"/>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expires at the 2020 Annual Meeting of Stockholders and whose subsequent term will expire at the 2023 Annual Meeting of Stockholders; Class II, whose current term expires at the 2018 Annual Meeting of Stockholders and whose new term will expire at the 2021 Annual Meeting of Stockholders; and Class III, whose term will expire at the 2019 Annual Meeting of Stockholders and whose subsequent term will expire at the 2022 Annual Meeting of Stockholders. The current Class I Directors are Timothy Springer, Ph.D. and Patrick Zenner; the current Class II Directors are Omid Farokhzad, M.D., Amir Nashat, Ph.D. and Aymeric Sallin; and the current Class III Directors are Timothy Barabe, Werner Cautreels, Ph.D., and Peter Barton Hutt.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There are no family relationships among any of our executive officers or directors.</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2"/>
          <w:szCs w:val="12"/>
          <w:color w:val="auto"/>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9"/>
          <w:szCs w:val="9"/>
          <w:color w:val="auto"/>
        </w:rPr>
        <w:t>7</w:t>
      </w:r>
    </w:p>
    <w:p>
      <w:pPr>
        <w:sectPr>
          <w:pgSz w:w="11900" w:h="16838" w:orient="portrait"/>
          <w:cols w:equalWidth="0" w:num="1">
            <w:col w:w="11400"/>
          </w:cols>
          <w:pgMar w:left="220" w:top="784" w:right="279" w:bottom="1440" w:gutter="0" w:footer="0" w:header="0"/>
        </w:sectPr>
      </w:pPr>
    </w:p>
    <w:bookmarkStart w:id="13" w:name="page14"/>
    <w:bookmarkEnd w:id="13"/>
    <w:p>
      <w:pPr>
        <w:spacing w:after="0"/>
        <w:rPr>
          <w:sz w:val="20"/>
          <w:szCs w:val="20"/>
          <w:color w:val="auto"/>
        </w:rPr>
      </w:pPr>
      <w:r>
        <w:rPr>
          <w:rFonts w:ascii="Arial" w:cs="Arial" w:eastAsia="Arial" w:hAnsi="Arial"/>
          <w:sz w:val="9"/>
          <w:szCs w:val="9"/>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2"/>
          <w:szCs w:val="12"/>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26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63" w:lineRule="exact"/>
        <w:rPr>
          <w:sz w:val="20"/>
          <w:szCs w:val="20"/>
          <w:color w:val="auto"/>
        </w:rPr>
      </w:pPr>
    </w:p>
    <w:p>
      <w:pPr>
        <w:ind w:left="700" w:hanging="483"/>
        <w:spacing w:after="0"/>
        <w:tabs>
          <w:tab w:leader="none" w:pos="700" w:val="left"/>
        </w:tabs>
        <w:numPr>
          <w:ilvl w:val="0"/>
          <w:numId w:val="9"/>
        </w:numPr>
        <w:rPr>
          <w:rFonts w:ascii="Arial" w:cs="Arial" w:eastAsia="Arial" w:hAnsi="Arial"/>
          <w:sz w:val="34"/>
          <w:szCs w:val="34"/>
          <w:color w:val="auto"/>
        </w:rPr>
      </w:pPr>
      <w:r>
        <w:rPr>
          <w:rFonts w:ascii="Arial" w:cs="Arial" w:eastAsia="Arial" w:hAnsi="Arial"/>
          <w:sz w:val="12"/>
          <w:szCs w:val="12"/>
          <w:color w:val="auto"/>
        </w:rPr>
        <w:t>The Board of Directors unanimously recommends a vote FOR the election of the below Class II Director nominees.</w:t>
      </w:r>
    </w:p>
    <w:p>
      <w:pPr>
        <w:spacing w:after="0" w:line="33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NOMINEES FOR CLASS 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The nominees for election to the Board of Directors as Class 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Age</w:t>
            </w:r>
          </w:p>
        </w:tc>
        <w:tc>
          <w:tcPr>
            <w:tcW w:w="100" w:type="dxa"/>
            <w:vAlign w:val="bottom"/>
            <w:tcBorders>
              <w:bottom w:val="single" w:sz="8" w:color="CFF0FC"/>
            </w:tcBorders>
          </w:tcPr>
          <w:p>
            <w:pPr>
              <w:spacing w:after="0"/>
              <w:rPr>
                <w:sz w:val="10"/>
                <w:szCs w:val="10"/>
                <w:color w:val="auto"/>
              </w:rPr>
            </w:pPr>
          </w:p>
        </w:tc>
        <w:tc>
          <w:tcPr>
            <w:tcW w:w="2700" w:type="dxa"/>
            <w:vAlign w:val="bottom"/>
            <w:tcBorders>
              <w:bottom w:val="single" w:sz="8" w:color="auto"/>
            </w:tcBorders>
          </w:tcPr>
          <w:p>
            <w:pPr>
              <w:jc w:val="center"/>
              <w:ind w:left="475"/>
              <w:spacing w:after="0"/>
              <w:rPr>
                <w:sz w:val="20"/>
                <w:szCs w:val="20"/>
                <w:color w:val="auto"/>
              </w:rPr>
            </w:pPr>
            <w:r>
              <w:rPr>
                <w:rFonts w:ascii="Arial" w:cs="Arial" w:eastAsia="Arial" w:hAnsi="Arial"/>
                <w:sz w:val="9"/>
                <w:szCs w:val="9"/>
                <w:b w:val="1"/>
                <w:bCs w:val="1"/>
                <w:color w:val="auto"/>
              </w:rPr>
              <w:t>Served as a Director Since</w:t>
            </w:r>
          </w:p>
        </w:tc>
        <w:tc>
          <w:tcPr>
            <w:tcW w:w="4420" w:type="dxa"/>
            <w:vAlign w:val="bottom"/>
            <w:tcBorders>
              <w:bottom w:val="single" w:sz="8" w:color="auto"/>
            </w:tcBorders>
          </w:tcPr>
          <w:p>
            <w:pPr>
              <w:ind w:left="540"/>
              <w:spacing w:after="0"/>
              <w:rPr>
                <w:sz w:val="20"/>
                <w:szCs w:val="20"/>
                <w:color w:val="auto"/>
              </w:rPr>
            </w:pPr>
            <w:r>
              <w:rPr>
                <w:rFonts w:ascii="Arial" w:cs="Arial" w:eastAsia="Arial" w:hAnsi="Arial"/>
                <w:sz w:val="9"/>
                <w:szCs w:val="9"/>
                <w:b w:val="1"/>
                <w:bCs w:val="1"/>
                <w:color w:val="auto"/>
              </w:rPr>
              <w:t>Position(s) with Selecta</w:t>
            </w:r>
          </w:p>
        </w:tc>
      </w:tr>
      <w:tr>
        <w:trPr>
          <w:trHeight w:val="145"/>
        </w:trPr>
        <w:tc>
          <w:tcPr>
            <w:tcW w:w="3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9"/>
                <w:szCs w:val="9"/>
                <w:color w:val="auto"/>
              </w:rPr>
              <w:t>Omid Farokhzad, M.D.</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9"/>
                <w:szCs w:val="9"/>
                <w:color w:val="auto"/>
                <w:w w:val="99"/>
              </w:rPr>
              <w:t>49</w:t>
            </w:r>
          </w:p>
        </w:tc>
        <w:tc>
          <w:tcPr>
            <w:tcW w:w="100" w:type="dxa"/>
            <w:vAlign w:val="bottom"/>
            <w:tcBorders>
              <w:bottom w:val="single" w:sz="8" w:color="CFF0FC"/>
            </w:tcBorders>
            <w:shd w:val="clear" w:color="auto" w:fill="CFF0FC"/>
          </w:tcPr>
          <w:p>
            <w:pPr>
              <w:spacing w:after="0"/>
              <w:rPr>
                <w:sz w:val="12"/>
                <w:szCs w:val="12"/>
                <w:color w:val="auto"/>
              </w:rPr>
            </w:pPr>
          </w:p>
        </w:tc>
        <w:tc>
          <w:tcPr>
            <w:tcW w:w="2700" w:type="dxa"/>
            <w:vAlign w:val="bottom"/>
            <w:tcBorders>
              <w:bottom w:val="single" w:sz="8" w:color="CFF0FC"/>
            </w:tcBorders>
            <w:shd w:val="clear" w:color="auto" w:fill="CFF0FC"/>
          </w:tcPr>
          <w:p>
            <w:pPr>
              <w:jc w:val="center"/>
              <w:ind w:left="455"/>
              <w:spacing w:after="0"/>
              <w:rPr>
                <w:sz w:val="20"/>
                <w:szCs w:val="20"/>
                <w:color w:val="auto"/>
              </w:rPr>
            </w:pPr>
            <w:r>
              <w:rPr>
                <w:rFonts w:ascii="Arial" w:cs="Arial" w:eastAsia="Arial" w:hAnsi="Arial"/>
                <w:sz w:val="9"/>
                <w:szCs w:val="9"/>
                <w:color w:val="auto"/>
                <w:w w:val="99"/>
              </w:rPr>
              <w:t>2007</w:t>
            </w:r>
          </w:p>
        </w:tc>
        <w:tc>
          <w:tcPr>
            <w:tcW w:w="44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9"/>
                <w:szCs w:val="9"/>
                <w:color w:val="auto"/>
              </w:rPr>
              <w:t>Chairman of the Board</w:t>
            </w:r>
          </w:p>
        </w:tc>
      </w:tr>
      <w:tr>
        <w:trPr>
          <w:trHeight w:val="125"/>
        </w:trPr>
        <w:tc>
          <w:tcPr>
            <w:tcW w:w="3340" w:type="dxa"/>
            <w:vAlign w:val="bottom"/>
            <w:gridSpan w:val="2"/>
          </w:tcPr>
          <w:p>
            <w:pPr>
              <w:ind w:left="20"/>
              <w:spacing w:after="0"/>
              <w:rPr>
                <w:sz w:val="20"/>
                <w:szCs w:val="20"/>
                <w:color w:val="auto"/>
              </w:rPr>
            </w:pPr>
            <w:r>
              <w:rPr>
                <w:rFonts w:ascii="Arial" w:cs="Arial" w:eastAsia="Arial" w:hAnsi="Arial"/>
                <w:sz w:val="9"/>
                <w:szCs w:val="9"/>
                <w:color w:val="auto"/>
              </w:rPr>
              <w:t>Amir Nashat, Ph.D.</w:t>
            </w:r>
          </w:p>
        </w:tc>
        <w:tc>
          <w:tcPr>
            <w:tcW w:w="920" w:type="dxa"/>
            <w:vAlign w:val="bottom"/>
          </w:tcPr>
          <w:p>
            <w:pPr>
              <w:jc w:val="center"/>
              <w:spacing w:after="0"/>
              <w:rPr>
                <w:sz w:val="20"/>
                <w:szCs w:val="20"/>
                <w:color w:val="auto"/>
              </w:rPr>
            </w:pPr>
            <w:r>
              <w:rPr>
                <w:rFonts w:ascii="Arial" w:cs="Arial" w:eastAsia="Arial" w:hAnsi="Arial"/>
                <w:sz w:val="9"/>
                <w:szCs w:val="9"/>
                <w:color w:val="auto"/>
                <w:w w:val="99"/>
              </w:rPr>
              <w:t>45</w:t>
            </w:r>
          </w:p>
        </w:tc>
        <w:tc>
          <w:tcPr>
            <w:tcW w:w="100" w:type="dxa"/>
            <w:vAlign w:val="bottom"/>
          </w:tcPr>
          <w:p>
            <w:pPr>
              <w:spacing w:after="0"/>
              <w:rPr>
                <w:sz w:val="10"/>
                <w:szCs w:val="10"/>
                <w:color w:val="auto"/>
              </w:rPr>
            </w:pPr>
          </w:p>
        </w:tc>
        <w:tc>
          <w:tcPr>
            <w:tcW w:w="2700" w:type="dxa"/>
            <w:vAlign w:val="bottom"/>
          </w:tcPr>
          <w:p>
            <w:pPr>
              <w:jc w:val="center"/>
              <w:ind w:left="455"/>
              <w:spacing w:after="0"/>
              <w:rPr>
                <w:sz w:val="20"/>
                <w:szCs w:val="20"/>
                <w:color w:val="auto"/>
              </w:rPr>
            </w:pPr>
            <w:r>
              <w:rPr>
                <w:rFonts w:ascii="Arial" w:cs="Arial" w:eastAsia="Arial" w:hAnsi="Arial"/>
                <w:sz w:val="9"/>
                <w:szCs w:val="9"/>
                <w:color w:val="auto"/>
                <w:w w:val="99"/>
              </w:rPr>
              <w:t>2008</w:t>
            </w:r>
          </w:p>
        </w:tc>
        <w:tc>
          <w:tcPr>
            <w:tcW w:w="4420" w:type="dxa"/>
            <w:vAlign w:val="bottom"/>
          </w:tcPr>
          <w:p>
            <w:pPr>
              <w:ind w:left="540"/>
              <w:spacing w:after="0"/>
              <w:rPr>
                <w:sz w:val="20"/>
                <w:szCs w:val="20"/>
                <w:color w:val="auto"/>
              </w:rPr>
            </w:pPr>
            <w:r>
              <w:rPr>
                <w:rFonts w:ascii="Arial" w:cs="Arial" w:eastAsia="Arial" w:hAnsi="Arial"/>
                <w:sz w:val="9"/>
                <w:szCs w:val="9"/>
                <w:color w:val="auto"/>
              </w:rPr>
              <w:t>Director</w:t>
            </w:r>
          </w:p>
        </w:tc>
      </w:tr>
      <w:tr>
        <w:trPr>
          <w:trHeight w:val="55"/>
        </w:trPr>
        <w:tc>
          <w:tcPr>
            <w:tcW w:w="3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420" w:type="dxa"/>
            <w:vAlign w:val="bottom"/>
          </w:tcPr>
          <w:p>
            <w:pPr>
              <w:spacing w:after="0"/>
              <w:rPr>
                <w:sz w:val="4"/>
                <w:szCs w:val="4"/>
                <w:color w:val="auto"/>
              </w:rPr>
            </w:pPr>
          </w:p>
        </w:tc>
      </w:tr>
      <w:tr>
        <w:trPr>
          <w:trHeight w:val="125"/>
        </w:trPr>
        <w:tc>
          <w:tcPr>
            <w:tcW w:w="33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Aymeric Sallin</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99"/>
              </w:rPr>
              <w:t>44</w:t>
            </w:r>
          </w:p>
        </w:tc>
        <w:tc>
          <w:tcPr>
            <w:tcW w:w="100" w:type="dxa"/>
            <w:vAlign w:val="bottom"/>
            <w:shd w:val="clear" w:color="auto" w:fill="CFF0FC"/>
          </w:tcPr>
          <w:p>
            <w:pPr>
              <w:spacing w:after="0"/>
              <w:rPr>
                <w:sz w:val="10"/>
                <w:szCs w:val="10"/>
                <w:color w:val="auto"/>
              </w:rPr>
            </w:pPr>
          </w:p>
        </w:tc>
        <w:tc>
          <w:tcPr>
            <w:tcW w:w="2700" w:type="dxa"/>
            <w:vAlign w:val="bottom"/>
            <w:shd w:val="clear" w:color="auto" w:fill="CFF0FC"/>
          </w:tcPr>
          <w:p>
            <w:pPr>
              <w:jc w:val="center"/>
              <w:ind w:left="455"/>
              <w:spacing w:after="0"/>
              <w:rPr>
                <w:sz w:val="20"/>
                <w:szCs w:val="20"/>
                <w:color w:val="auto"/>
              </w:rPr>
            </w:pPr>
            <w:r>
              <w:rPr>
                <w:rFonts w:ascii="Arial" w:cs="Arial" w:eastAsia="Arial" w:hAnsi="Arial"/>
                <w:sz w:val="9"/>
                <w:szCs w:val="9"/>
                <w:color w:val="auto"/>
                <w:w w:val="99"/>
              </w:rPr>
              <w:t>2008</w:t>
            </w:r>
          </w:p>
        </w:tc>
        <w:tc>
          <w:tcPr>
            <w:tcW w:w="4420" w:type="dxa"/>
            <w:vAlign w:val="bottom"/>
            <w:shd w:val="clear" w:color="auto" w:fill="CFF0FC"/>
          </w:tcPr>
          <w:p>
            <w:pPr>
              <w:ind w:left="540"/>
              <w:spacing w:after="0"/>
              <w:rPr>
                <w:sz w:val="20"/>
                <w:szCs w:val="20"/>
                <w:color w:val="auto"/>
              </w:rPr>
            </w:pPr>
            <w:r>
              <w:rPr>
                <w:rFonts w:ascii="Arial" w:cs="Arial" w:eastAsia="Arial" w:hAnsi="Arial"/>
                <w:sz w:val="9"/>
                <w:szCs w:val="9"/>
                <w:color w:val="auto"/>
              </w:rPr>
              <w:t>Director</w:t>
            </w:r>
          </w:p>
        </w:tc>
      </w:tr>
      <w:tr>
        <w:trPr>
          <w:trHeight w:val="55"/>
        </w:trPr>
        <w:tc>
          <w:tcPr>
            <w:tcW w:w="32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9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700" w:type="dxa"/>
            <w:vAlign w:val="bottom"/>
            <w:shd w:val="clear" w:color="auto" w:fill="CFF0FC"/>
          </w:tcPr>
          <w:p>
            <w:pPr>
              <w:spacing w:after="0"/>
              <w:rPr>
                <w:sz w:val="4"/>
                <w:szCs w:val="4"/>
                <w:color w:val="auto"/>
              </w:rPr>
            </w:pPr>
          </w:p>
        </w:tc>
        <w:tc>
          <w:tcPr>
            <w:tcW w:w="4420" w:type="dxa"/>
            <w:vAlign w:val="bottom"/>
            <w:shd w:val="clear" w:color="auto" w:fill="CFF0FC"/>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principal occupations and business experience, for at least the past five years, of each Class II nominee for election at the 2018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8055" cy="125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OMID FAROKHZAD, M.D.</w:t>
      </w:r>
      <w:r>
        <w:rPr>
          <w:sz w:val="20"/>
          <w:szCs w:val="20"/>
          <w:color w:val="auto"/>
        </w:rPr>
        <w:tab/>
      </w:r>
      <w:r>
        <w:rPr>
          <w:rFonts w:ascii="Arial" w:cs="Arial" w:eastAsia="Arial" w:hAnsi="Arial"/>
          <w:sz w:val="9"/>
          <w:szCs w:val="9"/>
          <w:i w:val="1"/>
          <w:iCs w:val="1"/>
          <w:color w:val="auto"/>
        </w:rPr>
        <w:t>Age 49</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1"/>
          <w:szCs w:val="11"/>
          <w:color w:val="auto"/>
        </w:rPr>
        <w:t>Omid Farokhzad, M.D., is one of our co-founders and has served as a member of our Board of Directors since 2007 and Chairman of the Board since 2018. Dr. Farokhzad has served as the Chief Executive Officer and founder of Seer Biosciences, a biotechnology company, since 2018. Previously, he was a Professor at Harvard Medical School, or HMS, and a physician-scientist at Brigham and Women’s Hospital, or BWH, where he established and directed the BWH Center of Nanomedicine. He currently maintains an unpaid faculty position at HMS and BWH. Prior to joining the HMS faculty, Dr. Farokhzad completed his postgraduate clinical and postdoctoral research trainings, respectively, at BWH/HMS and MIT. In 2016, he was among the recipients of the Ellis Island Medal of Honor, and in 2014, the Golden Door Award from the International Institute of New England, for his scientific, societal, and economic contributions to America as an immigrant. Dr. Farokhzad was elected to the College of the Fellows of the American Institute of Medical and Biological Engineering. He is the recipient of the 2013 RUSNANOPRIZE, and was named an Ernst &amp; Young 2012 New England Entrepreneur of the Year. Dr. Farokhzad has been directly involved in the launch and development of four biotechnology companies and, on occasion, has assumed additional roles in support of management. Dr. Farokhzad currently serves on the Board of Directors of Seer Biosciences, Tarveda Therapeutics and Placon Therapeutics.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7298055" cy="12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32"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AMIR NASHAT, PH.D.</w:t>
      </w:r>
      <w:r>
        <w:rPr>
          <w:sz w:val="20"/>
          <w:szCs w:val="20"/>
          <w:color w:val="auto"/>
        </w:rPr>
        <w:tab/>
      </w:r>
      <w:r>
        <w:rPr>
          <w:rFonts w:ascii="Arial" w:cs="Arial" w:eastAsia="Arial" w:hAnsi="Arial"/>
          <w:sz w:val="9"/>
          <w:szCs w:val="9"/>
          <w:i w:val="1"/>
          <w:iCs w:val="1"/>
          <w:color w:val="auto"/>
        </w:rPr>
        <w:t>Age 45</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Amir Nashat, Ph.D., has served as a member of our Board of Directors since 2008. Dr. Nashat has been a Partner at Polaris Partners, a venture capital firm, since 2009 and focuses on investments in the life sciences. He currently serves on the board of directors of Fate Therapeutics, Inc., aTyr Pharma, Inc., Syros Pharmaceuticals and several private companies. Dr. Nashat has also served as a director of Receptos, Inc., BIND Therapeutics, Inc., as well as Adnexus Therapeutics, Inc. (acquired by Bristol-Myers Squibb Company) and other private companies. Dr. Nashat completed his Ph.D. as a Hertz Fellow in Chemical Engineering at MIT with a minor in biology. Dr. Nashat earned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9"/>
          <w:szCs w:val="9"/>
          <w:color w:val="auto"/>
        </w:rPr>
        <w:t>8</w:t>
      </w:r>
    </w:p>
    <w:p>
      <w:pPr>
        <w:sectPr>
          <w:pgSz w:w="11900" w:h="16838" w:orient="portrait"/>
          <w:cols w:equalWidth="0" w:num="1">
            <w:col w:w="11480"/>
          </w:cols>
          <w:pgMar w:left="220" w:top="417" w:right="199" w:bottom="1440" w:gutter="0" w:footer="0" w:header="0"/>
        </w:sectPr>
      </w:pPr>
    </w:p>
    <w:bookmarkStart w:id="14" w:name="page15"/>
    <w:bookmarkEnd w:id="14"/>
    <w:p>
      <w:pPr>
        <w:ind w:right="20"/>
        <w:spacing w:after="0" w:line="262" w:lineRule="auto"/>
        <w:rPr>
          <w:sz w:val="20"/>
          <w:szCs w:val="20"/>
          <w:color w:val="auto"/>
        </w:rPr>
      </w:pPr>
      <w:r>
        <w:rPr>
          <w:rFonts w:ascii="Arial" w:cs="Arial" w:eastAsia="Arial" w:hAnsi="Arial"/>
          <w:sz w:val="12"/>
          <w:szCs w:val="12"/>
          <w:color w:val="auto"/>
        </w:rPr>
        <w:t>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298055" cy="125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63"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AYMERIC SALLIN</w:t>
      </w:r>
      <w:r>
        <w:rPr>
          <w:sz w:val="20"/>
          <w:szCs w:val="20"/>
          <w:color w:val="auto"/>
        </w:rPr>
        <w:tab/>
      </w:r>
      <w:r>
        <w:rPr>
          <w:rFonts w:ascii="Arial" w:cs="Arial" w:eastAsia="Arial" w:hAnsi="Arial"/>
          <w:sz w:val="9"/>
          <w:szCs w:val="9"/>
          <w:i w:val="1"/>
          <w:iCs w:val="1"/>
          <w:color w:val="auto"/>
        </w:rPr>
        <w:t>Age 44</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Aymeric Sallin has served as a member of our Board of Directors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Mr. Sallin has worked to generate and close investments of hundreds of millions of dollars into several of NanoDimension’s portfolio companies. He currently serves as a board member of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CONTINUING MEMBERS OF 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CLASS I DIRECTORS (TERMS TO EXPIRE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The current members of the Board of Directors who are Class I Directors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Name</w:t>
            </w:r>
          </w:p>
        </w:tc>
        <w:tc>
          <w:tcPr>
            <w:tcW w:w="12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Age</w:t>
            </w:r>
          </w:p>
        </w:tc>
        <w:tc>
          <w:tcPr>
            <w:tcW w:w="120" w:type="dxa"/>
            <w:vAlign w:val="bottom"/>
            <w:tcBorders>
              <w:bottom w:val="single" w:sz="8" w:color="CCEEFF"/>
            </w:tcBorders>
          </w:tcPr>
          <w:p>
            <w:pPr>
              <w:spacing w:after="0"/>
              <w:rPr>
                <w:sz w:val="10"/>
                <w:szCs w:val="10"/>
                <w:color w:val="auto"/>
              </w:rPr>
            </w:pPr>
          </w:p>
        </w:tc>
        <w:tc>
          <w:tcPr>
            <w:tcW w:w="2680" w:type="dxa"/>
            <w:vAlign w:val="bottom"/>
            <w:tcBorders>
              <w:bottom w:val="single" w:sz="8" w:color="auto"/>
            </w:tcBorders>
          </w:tcPr>
          <w:p>
            <w:pPr>
              <w:jc w:val="center"/>
              <w:ind w:left="498"/>
              <w:spacing w:after="0"/>
              <w:rPr>
                <w:sz w:val="20"/>
                <w:szCs w:val="20"/>
                <w:color w:val="auto"/>
              </w:rPr>
            </w:pPr>
            <w:r>
              <w:rPr>
                <w:rFonts w:ascii="Arial" w:cs="Arial" w:eastAsia="Arial" w:hAnsi="Arial"/>
                <w:sz w:val="8"/>
                <w:szCs w:val="8"/>
                <w:b w:val="1"/>
                <w:bCs w:val="1"/>
                <w:color w:val="auto"/>
              </w:rPr>
              <w:t>Served as a Director Since</w:t>
            </w:r>
          </w:p>
        </w:tc>
        <w:tc>
          <w:tcPr>
            <w:tcW w:w="4320" w:type="dxa"/>
            <w:vAlign w:val="bottom"/>
            <w:tcBorders>
              <w:bottom w:val="single" w:sz="8" w:color="auto"/>
            </w:tcBorders>
          </w:tcPr>
          <w:p>
            <w:pPr>
              <w:ind w:left="560"/>
              <w:spacing w:after="0"/>
              <w:rPr>
                <w:sz w:val="20"/>
                <w:szCs w:val="20"/>
                <w:color w:val="auto"/>
              </w:rPr>
            </w:pPr>
            <w:r>
              <w:rPr>
                <w:rFonts w:ascii="Arial" w:cs="Arial" w:eastAsia="Arial" w:hAnsi="Arial"/>
                <w:sz w:val="8"/>
                <w:szCs w:val="8"/>
                <w:b w:val="1"/>
                <w:bCs w:val="1"/>
                <w:color w:val="auto"/>
              </w:rPr>
              <w:t>Position(s) with Selecta</w:t>
            </w:r>
          </w:p>
        </w:tc>
      </w:tr>
      <w:tr>
        <w:trPr>
          <w:trHeight w:val="16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Timothy A. Springer, Ph.D.</w:t>
            </w:r>
          </w:p>
        </w:tc>
        <w:tc>
          <w:tcPr>
            <w:tcW w:w="920" w:type="dxa"/>
            <w:vAlign w:val="bottom"/>
            <w:shd w:val="clear" w:color="auto" w:fill="CCEEFF"/>
          </w:tcPr>
          <w:p>
            <w:pPr>
              <w:jc w:val="center"/>
              <w:spacing w:after="0"/>
              <w:rPr>
                <w:sz w:val="20"/>
                <w:szCs w:val="20"/>
                <w:color w:val="auto"/>
              </w:rPr>
            </w:pPr>
            <w:r>
              <w:rPr>
                <w:rFonts w:ascii="Arial" w:cs="Arial" w:eastAsia="Arial" w:hAnsi="Arial"/>
                <w:sz w:val="8"/>
                <w:szCs w:val="8"/>
                <w:color w:val="auto"/>
              </w:rPr>
              <w:t>70</w:t>
            </w:r>
          </w:p>
        </w:tc>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jc w:val="center"/>
              <w:ind w:left="498"/>
              <w:spacing w:after="0"/>
              <w:rPr>
                <w:sz w:val="20"/>
                <w:szCs w:val="20"/>
                <w:color w:val="auto"/>
              </w:rPr>
            </w:pPr>
            <w:r>
              <w:rPr>
                <w:rFonts w:ascii="Arial" w:cs="Arial" w:eastAsia="Arial" w:hAnsi="Arial"/>
                <w:sz w:val="8"/>
                <w:szCs w:val="8"/>
                <w:color w:val="auto"/>
              </w:rPr>
              <w:t>2016</w:t>
            </w:r>
          </w:p>
        </w:tc>
        <w:tc>
          <w:tcPr>
            <w:tcW w:w="4320" w:type="dxa"/>
            <w:vAlign w:val="bottom"/>
            <w:shd w:val="clear" w:color="auto" w:fill="CCEEFF"/>
          </w:tcPr>
          <w:p>
            <w:pPr>
              <w:ind w:left="560"/>
              <w:spacing w:after="0"/>
              <w:rPr>
                <w:sz w:val="20"/>
                <w:szCs w:val="20"/>
                <w:color w:val="auto"/>
              </w:rPr>
            </w:pPr>
            <w:r>
              <w:rPr>
                <w:rFonts w:ascii="Arial" w:cs="Arial" w:eastAsia="Arial" w:hAnsi="Arial"/>
                <w:sz w:val="8"/>
                <w:szCs w:val="8"/>
                <w:color w:val="auto"/>
              </w:rPr>
              <w:t>Director</w:t>
            </w:r>
          </w:p>
        </w:tc>
      </w:tr>
      <w:tr>
        <w:trPr>
          <w:trHeight w:val="168"/>
        </w:trPr>
        <w:tc>
          <w:tcPr>
            <w:tcW w:w="3440" w:type="dxa"/>
            <w:vAlign w:val="bottom"/>
            <w:gridSpan w:val="2"/>
          </w:tcPr>
          <w:p>
            <w:pPr>
              <w:ind w:left="20"/>
              <w:spacing w:after="0"/>
              <w:rPr>
                <w:sz w:val="20"/>
                <w:szCs w:val="20"/>
                <w:color w:val="auto"/>
              </w:rPr>
            </w:pPr>
            <w:r>
              <w:rPr>
                <w:rFonts w:ascii="Arial" w:cs="Arial" w:eastAsia="Arial" w:hAnsi="Arial"/>
                <w:sz w:val="8"/>
                <w:szCs w:val="8"/>
                <w:color w:val="auto"/>
              </w:rPr>
              <w:t>Patrick Zenner</w:t>
            </w:r>
          </w:p>
        </w:tc>
        <w:tc>
          <w:tcPr>
            <w:tcW w:w="920" w:type="dxa"/>
            <w:vAlign w:val="bottom"/>
          </w:tcPr>
          <w:p>
            <w:pPr>
              <w:jc w:val="center"/>
              <w:spacing w:after="0"/>
              <w:rPr>
                <w:sz w:val="20"/>
                <w:szCs w:val="20"/>
                <w:color w:val="auto"/>
              </w:rPr>
            </w:pPr>
            <w:r>
              <w:rPr>
                <w:rFonts w:ascii="Arial" w:cs="Arial" w:eastAsia="Arial" w:hAnsi="Arial"/>
                <w:sz w:val="8"/>
                <w:szCs w:val="8"/>
                <w:color w:val="auto"/>
              </w:rPr>
              <w:t>71</w:t>
            </w:r>
          </w:p>
        </w:tc>
        <w:tc>
          <w:tcPr>
            <w:tcW w:w="120" w:type="dxa"/>
            <w:vAlign w:val="bottom"/>
          </w:tcPr>
          <w:p>
            <w:pPr>
              <w:spacing w:after="0"/>
              <w:rPr>
                <w:sz w:val="14"/>
                <w:szCs w:val="14"/>
                <w:color w:val="auto"/>
              </w:rPr>
            </w:pPr>
          </w:p>
        </w:tc>
        <w:tc>
          <w:tcPr>
            <w:tcW w:w="2680" w:type="dxa"/>
            <w:vAlign w:val="bottom"/>
          </w:tcPr>
          <w:p>
            <w:pPr>
              <w:jc w:val="center"/>
              <w:ind w:left="498"/>
              <w:spacing w:after="0"/>
              <w:rPr>
                <w:sz w:val="20"/>
                <w:szCs w:val="20"/>
                <w:color w:val="auto"/>
              </w:rPr>
            </w:pPr>
            <w:r>
              <w:rPr>
                <w:rFonts w:ascii="Arial" w:cs="Arial" w:eastAsia="Arial" w:hAnsi="Arial"/>
                <w:sz w:val="8"/>
                <w:szCs w:val="8"/>
                <w:color w:val="auto"/>
              </w:rPr>
              <w:t>2017</w:t>
            </w:r>
          </w:p>
        </w:tc>
        <w:tc>
          <w:tcPr>
            <w:tcW w:w="4320" w:type="dxa"/>
            <w:vAlign w:val="bottom"/>
          </w:tcPr>
          <w:p>
            <w:pPr>
              <w:ind w:left="560"/>
              <w:spacing w:after="0"/>
              <w:rPr>
                <w:sz w:val="20"/>
                <w:szCs w:val="20"/>
                <w:color w:val="auto"/>
              </w:rPr>
            </w:pPr>
            <w:r>
              <w:rPr>
                <w:rFonts w:ascii="Arial" w:cs="Arial" w:eastAsia="Arial" w:hAnsi="Arial"/>
                <w:sz w:val="8"/>
                <w:szCs w:val="8"/>
                <w:color w:val="auto"/>
              </w:rPr>
              <w:t>Director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8055" cy="125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TIMOTHY A. SPRINGER, PH.D.</w:t>
      </w:r>
      <w:r>
        <w:rPr>
          <w:sz w:val="20"/>
          <w:szCs w:val="20"/>
          <w:color w:val="auto"/>
        </w:rPr>
        <w:tab/>
      </w:r>
      <w:r>
        <w:rPr>
          <w:rFonts w:ascii="Arial" w:cs="Arial" w:eastAsia="Arial" w:hAnsi="Arial"/>
          <w:sz w:val="8"/>
          <w:szCs w:val="8"/>
          <w:i w:val="1"/>
          <w:iCs w:val="1"/>
          <w:color w:val="auto"/>
        </w:rPr>
        <w:t>Age 70</w:t>
      </w:r>
    </w:p>
    <w:p>
      <w:pPr>
        <w:spacing w:after="0" w:line="141"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Timothy A. Springer, Ph.D., has served as a member of our Board of Directors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98055" cy="12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71"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PATRICK ZENNER</w:t>
      </w:r>
      <w:r>
        <w:rPr>
          <w:sz w:val="20"/>
          <w:szCs w:val="20"/>
          <w:color w:val="auto"/>
        </w:rPr>
        <w:tab/>
      </w:r>
      <w:r>
        <w:rPr>
          <w:rFonts w:ascii="Arial" w:cs="Arial" w:eastAsia="Arial" w:hAnsi="Arial"/>
          <w:sz w:val="9"/>
          <w:szCs w:val="9"/>
          <w:i w:val="1"/>
          <w:iCs w:val="1"/>
          <w:color w:val="auto"/>
        </w:rPr>
        <w:t>Age 71</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Patrick Zenner has served as a member of our Board of Directors since June 2017. Mr. Zenner retired in 2001 from the position of President and Chief Executive Officer of Hoffmann-La Roche Inc., North America, a pharmaceutical company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9"/>
          <w:szCs w:val="9"/>
          <w:color w:val="auto"/>
        </w:rPr>
        <w:t>9</w:t>
      </w:r>
    </w:p>
    <w:p>
      <w:pPr>
        <w:sectPr>
          <w:pgSz w:w="11900" w:h="16838" w:orient="portrait"/>
          <w:cols w:equalWidth="0" w:num="1">
            <w:col w:w="11480"/>
          </w:cols>
          <w:pgMar w:left="220" w:top="409" w:right="199" w:bottom="1440" w:gutter="0" w:footer="0" w:header="0"/>
        </w:sectPr>
      </w:pPr>
    </w:p>
    <w:bookmarkStart w:id="15" w:name="page16"/>
    <w:bookmarkEnd w:id="15"/>
    <w:p>
      <w:pPr>
        <w:ind w:right="20"/>
        <w:spacing w:after="0" w:line="254" w:lineRule="auto"/>
        <w:rPr>
          <w:sz w:val="20"/>
          <w:szCs w:val="20"/>
          <w:color w:val="auto"/>
        </w:rPr>
      </w:pPr>
      <w:r>
        <w:rPr>
          <w:rFonts w:ascii="Arial" w:cs="Arial" w:eastAsia="Arial" w:hAnsi="Arial"/>
          <w:sz w:val="12"/>
          <w:szCs w:val="12"/>
          <w:color w:val="auto"/>
        </w:rPr>
        <w:t>of both ArQule, Inc. and West Pharmaceutical Services,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CLASS III DIRECTORS (TERMS TO EXPIRE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The current members of the Board of Directors who are Class III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Age</w:t>
            </w:r>
          </w:p>
        </w:tc>
        <w:tc>
          <w:tcPr>
            <w:tcW w:w="100" w:type="dxa"/>
            <w:vAlign w:val="bottom"/>
            <w:tcBorders>
              <w:bottom w:val="single" w:sz="8" w:color="CFF0FC"/>
            </w:tcBorders>
          </w:tcPr>
          <w:p>
            <w:pPr>
              <w:spacing w:after="0"/>
              <w:rPr>
                <w:sz w:val="10"/>
                <w:szCs w:val="10"/>
                <w:color w:val="auto"/>
              </w:rPr>
            </w:pPr>
          </w:p>
        </w:tc>
        <w:tc>
          <w:tcPr>
            <w:tcW w:w="2020" w:type="dxa"/>
            <w:vAlign w:val="bottom"/>
            <w:tcBorders>
              <w:bottom w:val="single" w:sz="8" w:color="auto"/>
            </w:tcBorders>
          </w:tcPr>
          <w:p>
            <w:pPr>
              <w:jc w:val="center"/>
              <w:ind w:left="235"/>
              <w:spacing w:after="0"/>
              <w:rPr>
                <w:sz w:val="20"/>
                <w:szCs w:val="20"/>
                <w:color w:val="auto"/>
              </w:rPr>
            </w:pPr>
            <w:r>
              <w:rPr>
                <w:rFonts w:ascii="Arial" w:cs="Arial" w:eastAsia="Arial" w:hAnsi="Arial"/>
                <w:sz w:val="9"/>
                <w:szCs w:val="9"/>
                <w:b w:val="1"/>
                <w:bCs w:val="1"/>
                <w:color w:val="auto"/>
              </w:rPr>
              <w:t>Served as a Director Since</w:t>
            </w:r>
          </w:p>
        </w:tc>
        <w:tc>
          <w:tcPr>
            <w:tcW w:w="4180" w:type="dxa"/>
            <w:vAlign w:val="bottom"/>
            <w:tcBorders>
              <w:bottom w:val="single" w:sz="8" w:color="auto"/>
            </w:tcBorders>
          </w:tcPr>
          <w:p>
            <w:pPr>
              <w:ind w:left="300"/>
              <w:spacing w:after="0"/>
              <w:rPr>
                <w:sz w:val="20"/>
                <w:szCs w:val="20"/>
                <w:color w:val="auto"/>
              </w:rPr>
            </w:pPr>
            <w:r>
              <w:rPr>
                <w:rFonts w:ascii="Arial" w:cs="Arial" w:eastAsia="Arial" w:hAnsi="Arial"/>
                <w:sz w:val="9"/>
                <w:szCs w:val="9"/>
                <w:b w:val="1"/>
                <w:bCs w:val="1"/>
                <w:color w:val="auto"/>
              </w:rPr>
              <w:t>Position(s) with Selecta</w:t>
            </w:r>
          </w:p>
        </w:tc>
      </w:tr>
      <w:tr>
        <w:trPr>
          <w:trHeight w:val="145"/>
        </w:trPr>
        <w:tc>
          <w:tcPr>
            <w:tcW w:w="4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9"/>
                <w:szCs w:val="9"/>
                <w:color w:val="auto"/>
              </w:rPr>
              <w:t>Timothy C. Barabe</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9"/>
                <w:szCs w:val="9"/>
                <w:color w:val="auto"/>
                <w:w w:val="99"/>
              </w:rPr>
              <w:t>65</w:t>
            </w:r>
          </w:p>
        </w:tc>
        <w:tc>
          <w:tcPr>
            <w:tcW w:w="10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CFF0FC"/>
            </w:tcBorders>
            <w:shd w:val="clear" w:color="auto" w:fill="CFF0FC"/>
          </w:tcPr>
          <w:p>
            <w:pPr>
              <w:jc w:val="center"/>
              <w:ind w:left="215"/>
              <w:spacing w:after="0"/>
              <w:rPr>
                <w:sz w:val="20"/>
                <w:szCs w:val="20"/>
                <w:color w:val="auto"/>
              </w:rPr>
            </w:pPr>
            <w:r>
              <w:rPr>
                <w:rFonts w:ascii="Arial" w:cs="Arial" w:eastAsia="Arial" w:hAnsi="Arial"/>
                <w:sz w:val="9"/>
                <w:szCs w:val="9"/>
                <w:color w:val="auto"/>
                <w:w w:val="99"/>
              </w:rPr>
              <w:t>2016</w:t>
            </w:r>
          </w:p>
        </w:tc>
        <w:tc>
          <w:tcPr>
            <w:tcW w:w="4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9"/>
                <w:szCs w:val="9"/>
                <w:color w:val="auto"/>
              </w:rPr>
              <w:t>Director</w:t>
            </w:r>
          </w:p>
        </w:tc>
      </w:tr>
      <w:tr>
        <w:trPr>
          <w:trHeight w:val="125"/>
        </w:trPr>
        <w:tc>
          <w:tcPr>
            <w:tcW w:w="4260" w:type="dxa"/>
            <w:vAlign w:val="bottom"/>
            <w:gridSpan w:val="2"/>
          </w:tcPr>
          <w:p>
            <w:pPr>
              <w:ind w:left="20"/>
              <w:spacing w:after="0"/>
              <w:rPr>
                <w:sz w:val="20"/>
                <w:szCs w:val="20"/>
                <w:color w:val="auto"/>
              </w:rPr>
            </w:pPr>
            <w:r>
              <w:rPr>
                <w:rFonts w:ascii="Arial" w:cs="Arial" w:eastAsia="Arial" w:hAnsi="Arial"/>
                <w:sz w:val="9"/>
                <w:szCs w:val="9"/>
                <w:color w:val="auto"/>
              </w:rPr>
              <w:t>Werner Cautreels, Ph.D.</w:t>
            </w:r>
          </w:p>
        </w:tc>
        <w:tc>
          <w:tcPr>
            <w:tcW w:w="920" w:type="dxa"/>
            <w:vAlign w:val="bottom"/>
          </w:tcPr>
          <w:p>
            <w:pPr>
              <w:jc w:val="center"/>
              <w:spacing w:after="0"/>
              <w:rPr>
                <w:sz w:val="20"/>
                <w:szCs w:val="20"/>
                <w:color w:val="auto"/>
              </w:rPr>
            </w:pPr>
            <w:r>
              <w:rPr>
                <w:rFonts w:ascii="Arial" w:cs="Arial" w:eastAsia="Arial" w:hAnsi="Arial"/>
                <w:sz w:val="9"/>
                <w:szCs w:val="9"/>
                <w:color w:val="auto"/>
                <w:w w:val="99"/>
              </w:rPr>
              <w:t>65</w:t>
            </w:r>
          </w:p>
        </w:tc>
        <w:tc>
          <w:tcPr>
            <w:tcW w:w="100" w:type="dxa"/>
            <w:vAlign w:val="bottom"/>
          </w:tcPr>
          <w:p>
            <w:pPr>
              <w:spacing w:after="0"/>
              <w:rPr>
                <w:sz w:val="10"/>
                <w:szCs w:val="10"/>
                <w:color w:val="auto"/>
              </w:rPr>
            </w:pPr>
          </w:p>
        </w:tc>
        <w:tc>
          <w:tcPr>
            <w:tcW w:w="2020" w:type="dxa"/>
            <w:vAlign w:val="bottom"/>
          </w:tcPr>
          <w:p>
            <w:pPr>
              <w:jc w:val="center"/>
              <w:ind w:left="215"/>
              <w:spacing w:after="0"/>
              <w:rPr>
                <w:sz w:val="20"/>
                <w:szCs w:val="20"/>
                <w:color w:val="auto"/>
              </w:rPr>
            </w:pPr>
            <w:r>
              <w:rPr>
                <w:rFonts w:ascii="Arial" w:cs="Arial" w:eastAsia="Arial" w:hAnsi="Arial"/>
                <w:sz w:val="9"/>
                <w:szCs w:val="9"/>
                <w:color w:val="auto"/>
                <w:w w:val="99"/>
              </w:rPr>
              <w:t>2010</w:t>
            </w:r>
          </w:p>
        </w:tc>
        <w:tc>
          <w:tcPr>
            <w:tcW w:w="4180" w:type="dxa"/>
            <w:vAlign w:val="bottom"/>
          </w:tcPr>
          <w:p>
            <w:pPr>
              <w:ind w:left="300"/>
              <w:spacing w:after="0"/>
              <w:rPr>
                <w:sz w:val="20"/>
                <w:szCs w:val="20"/>
                <w:color w:val="auto"/>
              </w:rPr>
            </w:pPr>
            <w:r>
              <w:rPr>
                <w:rFonts w:ascii="Arial" w:cs="Arial" w:eastAsia="Arial" w:hAnsi="Arial"/>
                <w:sz w:val="9"/>
                <w:szCs w:val="9"/>
                <w:color w:val="auto"/>
              </w:rPr>
              <w:t>President and Chief Executive Officer</w:t>
            </w:r>
          </w:p>
        </w:tc>
      </w:tr>
      <w:tr>
        <w:trPr>
          <w:trHeight w:val="55"/>
        </w:trPr>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180" w:type="dxa"/>
            <w:vAlign w:val="bottom"/>
          </w:tcPr>
          <w:p>
            <w:pPr>
              <w:spacing w:after="0"/>
              <w:rPr>
                <w:sz w:val="4"/>
                <w:szCs w:val="4"/>
                <w:color w:val="auto"/>
              </w:rPr>
            </w:pPr>
          </w:p>
        </w:tc>
      </w:tr>
      <w:tr>
        <w:trPr>
          <w:trHeight w:val="125"/>
        </w:trPr>
        <w:tc>
          <w:tcPr>
            <w:tcW w:w="426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Peter Barton Hutt, LL.B., LL.M.</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99"/>
              </w:rPr>
              <w:t>83</w:t>
            </w:r>
          </w:p>
        </w:tc>
        <w:tc>
          <w:tcPr>
            <w:tcW w:w="100" w:type="dxa"/>
            <w:vAlign w:val="bottom"/>
            <w:shd w:val="clear" w:color="auto" w:fill="CFF0FC"/>
          </w:tcPr>
          <w:p>
            <w:pPr>
              <w:spacing w:after="0"/>
              <w:rPr>
                <w:sz w:val="10"/>
                <w:szCs w:val="10"/>
                <w:color w:val="auto"/>
              </w:rPr>
            </w:pPr>
          </w:p>
        </w:tc>
        <w:tc>
          <w:tcPr>
            <w:tcW w:w="2020" w:type="dxa"/>
            <w:vAlign w:val="bottom"/>
            <w:shd w:val="clear" w:color="auto" w:fill="CFF0FC"/>
          </w:tcPr>
          <w:p>
            <w:pPr>
              <w:jc w:val="center"/>
              <w:ind w:left="215"/>
              <w:spacing w:after="0"/>
              <w:rPr>
                <w:sz w:val="20"/>
                <w:szCs w:val="20"/>
                <w:color w:val="auto"/>
              </w:rPr>
            </w:pPr>
            <w:r>
              <w:rPr>
                <w:rFonts w:ascii="Arial" w:cs="Arial" w:eastAsia="Arial" w:hAnsi="Arial"/>
                <w:sz w:val="9"/>
                <w:szCs w:val="9"/>
                <w:color w:val="auto"/>
                <w:w w:val="99"/>
              </w:rPr>
              <w:t>2010</w:t>
            </w:r>
          </w:p>
        </w:tc>
        <w:tc>
          <w:tcPr>
            <w:tcW w:w="4180" w:type="dxa"/>
            <w:vAlign w:val="bottom"/>
            <w:shd w:val="clear" w:color="auto" w:fill="CFF0FC"/>
          </w:tcPr>
          <w:p>
            <w:pPr>
              <w:ind w:left="300"/>
              <w:spacing w:after="0"/>
              <w:rPr>
                <w:sz w:val="20"/>
                <w:szCs w:val="20"/>
                <w:color w:val="auto"/>
              </w:rPr>
            </w:pPr>
            <w:r>
              <w:rPr>
                <w:rFonts w:ascii="Arial" w:cs="Arial" w:eastAsia="Arial" w:hAnsi="Arial"/>
                <w:sz w:val="9"/>
                <w:szCs w:val="9"/>
                <w:color w:val="auto"/>
              </w:rPr>
              <w:t>Director</w:t>
            </w:r>
          </w:p>
        </w:tc>
      </w:tr>
      <w:tr>
        <w:trPr>
          <w:trHeight w:val="55"/>
        </w:trPr>
        <w:tc>
          <w:tcPr>
            <w:tcW w:w="41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9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020" w:type="dxa"/>
            <w:vAlign w:val="bottom"/>
            <w:shd w:val="clear" w:color="auto" w:fill="CFF0FC"/>
          </w:tcPr>
          <w:p>
            <w:pPr>
              <w:spacing w:after="0"/>
              <w:rPr>
                <w:sz w:val="4"/>
                <w:szCs w:val="4"/>
                <w:color w:val="auto"/>
              </w:rPr>
            </w:pPr>
          </w:p>
        </w:tc>
        <w:tc>
          <w:tcPr>
            <w:tcW w:w="4180" w:type="dxa"/>
            <w:vAlign w:val="bottom"/>
            <w:shd w:val="clear" w:color="auto" w:fill="CFF0FC"/>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8055" cy="125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TIMOTHY C. BARABE</w:t>
      </w:r>
      <w:r>
        <w:rPr>
          <w:sz w:val="20"/>
          <w:szCs w:val="20"/>
          <w:color w:val="auto"/>
        </w:rPr>
        <w:tab/>
      </w:r>
      <w:r>
        <w:rPr>
          <w:rFonts w:ascii="Arial" w:cs="Arial" w:eastAsia="Arial" w:hAnsi="Arial"/>
          <w:sz w:val="9"/>
          <w:szCs w:val="9"/>
          <w:i w:val="1"/>
          <w:iCs w:val="1"/>
          <w:color w:val="auto"/>
        </w:rPr>
        <w:t>Age 65</w:t>
      </w:r>
    </w:p>
    <w:p>
      <w:pPr>
        <w:spacing w:after="0" w:line="177"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Timothy C. Barabe joined our Board of Directors in July 2016. Mr. Barabe also serves on the boards of ArQule, Inc., Veeva Systems Inc., and Vigilant Biosciences, Inc., a private company. From 2014 to 2017, Mr. Barabe served on the board of directors of Opexa Therapeutics, Inc. Mr. Barabe retired in June 2013 from his position as Executive Vice President and Chief Financial Officer of Affymetrix, Inc., a biotechnology company.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98055" cy="125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71" w:lineRule="exact"/>
        <w:rPr>
          <w:sz w:val="20"/>
          <w:szCs w:val="20"/>
          <w:color w:val="auto"/>
        </w:rPr>
      </w:pPr>
    </w:p>
    <w:p>
      <w:pPr>
        <w:ind w:left="480"/>
        <w:spacing w:after="0"/>
        <w:tabs>
          <w:tab w:leader="none" w:pos="10940" w:val="left"/>
          <w:tab w:leader="none" w:pos="11240" w:val="left"/>
        </w:tabs>
        <w:rPr>
          <w:sz w:val="20"/>
          <w:szCs w:val="20"/>
          <w:color w:val="auto"/>
        </w:rPr>
      </w:pPr>
      <w:r>
        <w:rPr>
          <w:rFonts w:ascii="Arial" w:cs="Arial" w:eastAsia="Arial" w:hAnsi="Arial"/>
          <w:sz w:val="9"/>
          <w:szCs w:val="9"/>
          <w:b w:val="1"/>
          <w:bCs w:val="1"/>
          <w:color w:val="auto"/>
        </w:rPr>
        <w:t>WERNER CAUTREELS, PH.D.</w:t>
      </w:r>
      <w:r>
        <w:rPr>
          <w:sz w:val="20"/>
          <w:szCs w:val="20"/>
          <w:color w:val="auto"/>
        </w:rPr>
        <w:tab/>
      </w:r>
      <w:r>
        <w:rPr>
          <w:rFonts w:ascii="Arial" w:cs="Arial" w:eastAsia="Arial" w:hAnsi="Arial"/>
          <w:sz w:val="9"/>
          <w:szCs w:val="9"/>
          <w:i w:val="1"/>
          <w:iCs w:val="1"/>
          <w:color w:val="auto"/>
        </w:rPr>
        <w:t>Age</w:t>
      </w:r>
      <w:r>
        <w:rPr>
          <w:sz w:val="20"/>
          <w:szCs w:val="20"/>
          <w:color w:val="auto"/>
        </w:rPr>
        <w:tab/>
      </w:r>
      <w:r>
        <w:rPr>
          <w:rFonts w:ascii="Arial" w:cs="Arial" w:eastAsia="Arial" w:hAnsi="Arial"/>
          <w:sz w:val="8"/>
          <w:szCs w:val="8"/>
          <w:i w:val="1"/>
          <w:iCs w:val="1"/>
          <w:color w:val="auto"/>
        </w:rPr>
        <w:t>65</w:t>
      </w:r>
    </w:p>
    <w:p>
      <w:pPr>
        <w:spacing w:after="0" w:line="177"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Werner Cautreels, Ph.D., has served as our President, Chief Executive Officer and member of our Board of Directors since July 2010. Prior to joining Selecta, Dr. Cautreels was Chief Executive Officer of Solvay Pharmaceuticals, the pharmaceuticals division of the Solvay Group, in Brussels, Belgium, from 2005 until Solvay Pharmaceuticals was acquired by Abbott Laboratories in February 2010. Before becoming the Chief Executive Officer of Solvay Pharmaceuticals, Dr. Cautreels was their Global Head of R&amp;D from 1998. Prior to joining Solvay, he was with Nycomed-Amersham and spent 15 years at Sanofi, Sterling-Winthrop serving in a variety of R&amp;D management positions in Europe and in the United States. Dr. Cautreels is a director of Galapagos NV, in Mechelen, Belgium. He also previously held director positions at Seres Therapeutics, Inc., Innogenetics NV and ArQule, Inc. Additionally, Dr. Cautreels was previously the President of the Belgian-Luxemburg Chamber of Commerce for Russia and Belarus. Dr. Cautreels received his Ph.D. in Chemistry, specializing in Mass Spectrometry, from the University of Antwerp (Antwerp, Belgium), and his financial and business training from the Advanced Management Program at Harvard Business School. Dr. Cautreels’ extensive knowledge of our business and experience as a senior pharmaceutical executive and board member to numerous companies in the biotechnology industry contributed to our Board of Directors’ conclusion that he should serve as a director of our company.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9"/>
          <w:szCs w:val="9"/>
          <w:color w:val="auto"/>
        </w:rPr>
        <w:t>10</w:t>
      </w:r>
    </w:p>
    <w:p>
      <w:pPr>
        <w:sectPr>
          <w:pgSz w:w="11900" w:h="16838" w:orient="portrait"/>
          <w:cols w:equalWidth="0" w:num="1">
            <w:col w:w="11480"/>
          </w:cols>
          <w:pgMar w:left="220" w:top="409" w:right="199" w:bottom="1440" w:gutter="0" w:footer="0" w:header="0"/>
        </w:sectPr>
      </w:pPr>
    </w:p>
    <w:bookmarkStart w:id="16" w:name="page17"/>
    <w:bookmarkEnd w:id="16"/>
    <w:p>
      <w:pPr>
        <w:ind w:left="480"/>
        <w:spacing w:after="0"/>
        <w:tabs>
          <w:tab w:leader="none" w:pos="10940" w:val="left"/>
        </w:tabs>
        <w:rPr>
          <w:sz w:val="20"/>
          <w:szCs w:val="20"/>
          <w:color w:val="auto"/>
        </w:rPr>
      </w:pPr>
      <w:r>
        <w:rPr>
          <w:rFonts w:ascii="Arial" w:cs="Arial" w:eastAsia="Arial" w:hAnsi="Arial"/>
          <w:sz w:val="9"/>
          <w:szCs w:val="9"/>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98055" cy="125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055" cy="125730"/>
                    </a:xfrm>
                    <a:prstGeom prst="rect">
                      <a:avLst/>
                    </a:prstGeom>
                    <a:noFill/>
                  </pic:spPr>
                </pic:pic>
              </a:graphicData>
            </a:graphic>
          </wp:anchor>
        </w:drawing>
        <w:t>PETER BARTON HUTT, LL.B., LL.M.</w:t>
      </w:r>
      <w:r>
        <w:rPr>
          <w:sz w:val="20"/>
          <w:szCs w:val="20"/>
          <w:color w:val="auto"/>
        </w:rPr>
        <w:tab/>
      </w:r>
      <w:r>
        <w:rPr>
          <w:rFonts w:ascii="Arial" w:cs="Arial" w:eastAsia="Arial" w:hAnsi="Arial"/>
          <w:sz w:val="9"/>
          <w:szCs w:val="9"/>
          <w:i w:val="1"/>
          <w:iCs w:val="1"/>
          <w:color w:val="auto"/>
        </w:rPr>
        <w:t>Age 83</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Peter Barton Hutt, LL.B., LL.M. has served as a member of our Board of Directors since 2010. Mr. Hutt is a senior counsel in the Washington, D.C. law firm of Covington &amp; Burling specializing in food and drug law.</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Mr. Hutt began his law practice with the firm in 1960 and, except for his four years in the government, has continued at the firm ever since. Mr. Hutt served as Chief Counsel for the FDA during 1971 to 1975. Since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1994 he has taught a course on Food and Drug Law at Harvard Law School. Mr. Hutt serves on the board of directors of Immunomedics, Inc., Concert Pharmaceuticals, Inc., Flex Pharma, Inc. and Q</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Therapeutics, Inc. From 2013 to 2017, Mr. Hutt served on the board of directors of Seres Therapeutics, Inc., from 2005 to 2017 he served on the board of directors of Xoma Corp., from 2008 to 2016, he served on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of BIND Therapeutics, Inc., from 2009 to 2015 he served on the board of directors of DBV Technologies, from 2001 to 2014 he served on the board of directors of Momenta Pharmaceuticals, Inc.,</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from 2008 to 2011, he served on the board of directors of Celera Corp and from 2002 to 2012 he served on the board of directors of ISTA Pharmaceuticals, Inc. Mr. Hutt received his B.A. from Yale University, his LL.B.</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from Harvard Law School and his LL.M. from New York University. Mr. Hutt’s extensive knowledge of and experience with food and drug law and his service on numerous boards of directors in the biotechnology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pharmaceutical industries contributed to our Board of Directors’ conclusion that he should serve as a director of our company.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9"/>
          <w:szCs w:val="9"/>
          <w:color w:val="auto"/>
        </w:rPr>
        <w:t>11</w:t>
      </w:r>
    </w:p>
    <w:p>
      <w:pPr>
        <w:sectPr>
          <w:pgSz w:w="11900" w:h="16838" w:orient="portrait"/>
          <w:cols w:equalWidth="0" w:num="1">
            <w:col w:w="11460"/>
          </w:cols>
          <w:pgMar w:left="220" w:top="561" w:right="219" w:bottom="1440" w:gutter="0" w:footer="0" w:header="0"/>
        </w:sectPr>
      </w:pPr>
    </w:p>
    <w:bookmarkStart w:id="17" w:name="page18"/>
    <w:bookmarkEnd w:id="17"/>
    <w:p>
      <w:pPr>
        <w:spacing w:after="0"/>
        <w:rPr>
          <w:sz w:val="20"/>
          <w:szCs w:val="20"/>
          <w:color w:val="auto"/>
        </w:rPr>
      </w:pPr>
      <w:r>
        <w:rPr>
          <w:rFonts w:ascii="Arial" w:cs="Arial" w:eastAsia="Arial" w:hAnsi="Arial"/>
          <w:sz w:val="8"/>
          <w:szCs w:val="8"/>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PROPOSAL 2</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26376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3"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Our Audit Committee has appointed Ernst &amp; Young LLP as our independent registered public accounting firm for the fiscal year ending December 31, 2018.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Ernst &amp; Young LLP also served as our independent registered public accounting firm for the fiscal year ended December 31, 2017.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Annual Meeting and to have an opportunity to make a statement and be available to respond to appropriate questions from stockholders.</w:t>
      </w:r>
    </w:p>
    <w:p>
      <w:pPr>
        <w:spacing w:after="0" w:line="135" w:lineRule="exact"/>
        <w:rPr>
          <w:sz w:val="20"/>
          <w:szCs w:val="20"/>
          <w:color w:val="auto"/>
        </w:rPr>
      </w:pPr>
    </w:p>
    <w:p>
      <w:pPr>
        <w:jc w:val="both"/>
        <w:ind w:right="60"/>
        <w:spacing w:after="0" w:line="256" w:lineRule="auto"/>
        <w:rPr>
          <w:sz w:val="20"/>
          <w:szCs w:val="20"/>
          <w:color w:val="auto"/>
        </w:rPr>
      </w:pPr>
      <w:r>
        <w:rPr>
          <w:rFonts w:ascii="Arial" w:cs="Arial" w:eastAsia="Arial" w:hAnsi="Arial"/>
          <w:sz w:val="12"/>
          <w:szCs w:val="12"/>
          <w:color w:val="auto"/>
        </w:rPr>
        <w:t>In the event that the appointment of Ernst &amp; Young LLP is not ratified by the stockholders, the Audit Committee will consider this fact when it appoints the independent auditors for the fiscal year ending December 31, 2019. Even if the appointment of Ernst &amp; Young LLP is ratified, the Audit Committee retains the discretion to appoint a different independent auditor at any time if it determines that such a change is in the interests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23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90" w:lineRule="exact"/>
        <w:rPr>
          <w:sz w:val="20"/>
          <w:szCs w:val="20"/>
          <w:color w:val="auto"/>
        </w:rPr>
      </w:pPr>
    </w:p>
    <w:p>
      <w:pPr>
        <w:ind w:left="700" w:hanging="483"/>
        <w:spacing w:after="0"/>
        <w:tabs>
          <w:tab w:leader="none" w:pos="700" w:val="left"/>
        </w:tabs>
        <w:numPr>
          <w:ilvl w:val="0"/>
          <w:numId w:val="10"/>
        </w:numPr>
        <w:rPr>
          <w:rFonts w:ascii="Arial" w:cs="Arial" w:eastAsia="Arial" w:hAnsi="Arial"/>
          <w:sz w:val="34"/>
          <w:szCs w:val="34"/>
          <w:color w:val="auto"/>
        </w:rPr>
      </w:pPr>
      <w:r>
        <w:rPr>
          <w:rFonts w:ascii="Arial" w:cs="Arial" w:eastAsia="Arial" w:hAnsi="Arial"/>
          <w:sz w:val="12"/>
          <w:szCs w:val="12"/>
          <w:color w:val="auto"/>
        </w:rPr>
        <w:t>The Board of Directors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12</w:t>
      </w:r>
    </w:p>
    <w:p>
      <w:pPr>
        <w:sectPr>
          <w:pgSz w:w="11900" w:h="16838" w:orient="portrait"/>
          <w:cols w:equalWidth="0" w:num="1">
            <w:col w:w="11440"/>
          </w:cols>
          <w:pgMar w:left="220" w:top="784" w:right="23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ind w:right="280"/>
        <w:spacing w:after="0" w:line="254" w:lineRule="auto"/>
        <w:rPr>
          <w:sz w:val="20"/>
          <w:szCs w:val="20"/>
          <w:color w:val="auto"/>
        </w:rPr>
      </w:pPr>
      <w:r>
        <w:rPr>
          <w:rFonts w:ascii="Arial" w:cs="Arial" w:eastAsia="Arial" w:hAnsi="Arial"/>
          <w:sz w:val="12"/>
          <w:szCs w:val="12"/>
          <w:color w:val="auto"/>
        </w:rPr>
        <w:t>The Audit Committee has reviewed the Company’s audited financial statements for the fiscal year ended December 31, 2017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124"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The Company’s independent registered public accounting firm also provided the Audit Committee with a formal written statement required by PCAOB Rule 3526 (</w:t>
      </w:r>
      <w:r>
        <w:rPr>
          <w:rFonts w:ascii="Arial" w:cs="Arial" w:eastAsia="Arial" w:hAnsi="Arial"/>
          <w:sz w:val="12"/>
          <w:szCs w:val="12"/>
          <w:i w:val="1"/>
          <w:iCs w:val="1"/>
          <w:color w:val="auto"/>
        </w:rPr>
        <w:t>Communications with Audit Committees Concerning</w:t>
      </w:r>
      <w:r>
        <w:rPr>
          <w:rFonts w:ascii="Arial" w:cs="Arial" w:eastAsia="Arial" w:hAnsi="Arial"/>
          <w:sz w:val="12"/>
          <w:szCs w:val="12"/>
          <w:color w:val="auto"/>
        </w:rPr>
        <w:t xml:space="preserve"> </w:t>
      </w:r>
      <w:r>
        <w:rPr>
          <w:rFonts w:ascii="Arial" w:cs="Arial" w:eastAsia="Arial" w:hAnsi="Arial"/>
          <w:sz w:val="12"/>
          <w:szCs w:val="12"/>
          <w:i w:val="1"/>
          <w:iCs w:val="1"/>
          <w:color w:val="auto"/>
        </w:rPr>
        <w:t>Independence</w:t>
      </w:r>
      <w:r>
        <w:rPr>
          <w:rFonts w:ascii="Arial" w:cs="Arial" w:eastAsia="Arial" w:hAnsi="Arial"/>
          <w:sz w:val="12"/>
          <w:szCs w:val="12"/>
          <w:color w:val="auto"/>
        </w:rPr>
        <w:t>) describing all relationships between the independent registered public accounting firm and the Company, including the disclosures required by the applicable requirements of the PCAOB regarding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2017.</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AUDIT COMMITTEE OF THE BOARD OF DIRECTORS OF SELECTA BIOSCIENCES, INC.</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Timothy C. Barabe (Chair)</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Amir Nashat, Ph.D.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Patrick Zenner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9"/>
          <w:szCs w:val="9"/>
          <w:color w:val="auto"/>
        </w:rPr>
        <w:t>13</w:t>
      </w:r>
    </w:p>
    <w:p>
      <w:pPr>
        <w:sectPr>
          <w:pgSz w:w="11900" w:h="16838" w:orient="portrait"/>
          <w:cols w:equalWidth="0" w:num="1">
            <w:col w:w="11460"/>
          </w:cols>
          <w:pgMar w:left="220" w:top="818" w:right="219" w:bottom="1440" w:gutter="0" w:footer="0" w:header="0"/>
        </w:sectPr>
      </w:pPr>
    </w:p>
    <w:bookmarkStart w:id="19" w:name="page20"/>
    <w:bookmarkEnd w:id="19"/>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ind w:left="8" w:right="220"/>
        <w:spacing w:after="0" w:line="262" w:lineRule="auto"/>
        <w:rPr>
          <w:sz w:val="20"/>
          <w:szCs w:val="20"/>
          <w:color w:val="auto"/>
        </w:rPr>
      </w:pPr>
      <w:r>
        <w:rPr>
          <w:rFonts w:ascii="Arial" w:cs="Arial" w:eastAsia="Arial" w:hAnsi="Arial"/>
          <w:sz w:val="12"/>
          <w:szCs w:val="12"/>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Fee Category</w:t>
            </w:r>
          </w:p>
        </w:tc>
        <w:tc>
          <w:tcPr>
            <w:tcW w:w="100" w:type="dxa"/>
            <w:vAlign w:val="bottom"/>
            <w:tcBorders>
              <w:bottom w:val="single" w:sz="8" w:color="CFF0FC"/>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955"/>
              <w:spacing w:after="0"/>
              <w:rPr>
                <w:sz w:val="20"/>
                <w:szCs w:val="20"/>
                <w:color w:val="auto"/>
              </w:rPr>
            </w:pPr>
            <w:r>
              <w:rPr>
                <w:rFonts w:ascii="Arial" w:cs="Arial" w:eastAsia="Arial" w:hAnsi="Arial"/>
                <w:sz w:val="9"/>
                <w:szCs w:val="9"/>
                <w:b w:val="1"/>
                <w:bCs w:val="1"/>
                <w:color w:val="auto"/>
              </w:rPr>
              <w:t>2017</w:t>
            </w:r>
          </w:p>
        </w:tc>
        <w:tc>
          <w:tcPr>
            <w:tcW w:w="12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935"/>
              <w:spacing w:after="0"/>
              <w:rPr>
                <w:sz w:val="20"/>
                <w:szCs w:val="20"/>
                <w:color w:val="auto"/>
              </w:rPr>
            </w:pPr>
            <w:r>
              <w:rPr>
                <w:rFonts w:ascii="Arial" w:cs="Arial" w:eastAsia="Arial" w:hAnsi="Arial"/>
                <w:sz w:val="9"/>
                <w:szCs w:val="9"/>
                <w:b w:val="1"/>
                <w:bCs w:val="1"/>
                <w:color w:val="auto"/>
              </w:rPr>
              <w:t>2016</w:t>
            </w:r>
          </w:p>
        </w:tc>
      </w:tr>
      <w:tr>
        <w:trPr>
          <w:trHeight w:val="165"/>
        </w:trPr>
        <w:tc>
          <w:tcPr>
            <w:tcW w:w="700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Audit Fees</w:t>
            </w:r>
          </w:p>
        </w:tc>
        <w:tc>
          <w:tcPr>
            <w:tcW w:w="540" w:type="dxa"/>
            <w:vAlign w:val="bottom"/>
            <w:shd w:val="clear" w:color="auto" w:fill="CFF0FC"/>
          </w:tcPr>
          <w:p>
            <w:pPr>
              <w:jc w:val="right"/>
              <w:ind w:right="415"/>
              <w:spacing w:after="0"/>
              <w:rPr>
                <w:sz w:val="20"/>
                <w:szCs w:val="20"/>
                <w:color w:val="auto"/>
              </w:rPr>
            </w:pPr>
            <w:r>
              <w:rPr>
                <w:rFonts w:ascii="Arial" w:cs="Arial" w:eastAsia="Arial" w:hAnsi="Arial"/>
                <w:sz w:val="9"/>
                <w:szCs w:val="9"/>
                <w:color w:val="auto"/>
              </w:rPr>
              <w:t>$</w:t>
            </w:r>
          </w:p>
        </w:tc>
        <w:tc>
          <w:tcPr>
            <w:tcW w:w="16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728,395</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15"/>
              <w:spacing w:after="0"/>
              <w:rPr>
                <w:sz w:val="20"/>
                <w:szCs w:val="20"/>
                <w:color w:val="auto"/>
              </w:rPr>
            </w:pPr>
            <w:r>
              <w:rPr>
                <w:rFonts w:ascii="Arial" w:cs="Arial" w:eastAsia="Arial" w:hAnsi="Arial"/>
                <w:sz w:val="9"/>
                <w:szCs w:val="9"/>
                <w:color w:val="auto"/>
                <w:w w:val="78"/>
              </w:rPr>
              <w:t>$</w:t>
            </w:r>
          </w:p>
        </w:tc>
        <w:tc>
          <w:tcPr>
            <w:tcW w:w="1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1,043,391</w:t>
            </w:r>
          </w:p>
        </w:tc>
      </w:tr>
      <w:tr>
        <w:trPr>
          <w:trHeight w:val="175"/>
        </w:trPr>
        <w:tc>
          <w:tcPr>
            <w:tcW w:w="7000" w:type="dxa"/>
            <w:vAlign w:val="bottom"/>
            <w:gridSpan w:val="2"/>
          </w:tcPr>
          <w:p>
            <w:pPr>
              <w:ind w:left="20"/>
              <w:spacing w:after="0"/>
              <w:rPr>
                <w:sz w:val="20"/>
                <w:szCs w:val="20"/>
                <w:color w:val="auto"/>
              </w:rPr>
            </w:pPr>
            <w:r>
              <w:rPr>
                <w:rFonts w:ascii="Arial" w:cs="Arial" w:eastAsia="Arial" w:hAnsi="Arial"/>
                <w:sz w:val="9"/>
                <w:szCs w:val="9"/>
                <w:color w:val="auto"/>
              </w:rPr>
              <w:t>Audit-Related Fees</w:t>
            </w:r>
          </w:p>
        </w:tc>
        <w:tc>
          <w:tcPr>
            <w:tcW w:w="540" w:type="dxa"/>
            <w:vAlign w:val="bottom"/>
          </w:tcPr>
          <w:p>
            <w:pPr>
              <w:spacing w:after="0"/>
              <w:rPr>
                <w:sz w:val="15"/>
                <w:szCs w:val="15"/>
                <w:color w:val="auto"/>
              </w:rPr>
            </w:pPr>
          </w:p>
        </w:tc>
        <w:tc>
          <w:tcPr>
            <w:tcW w:w="1660" w:type="dxa"/>
            <w:vAlign w:val="bottom"/>
          </w:tcPr>
          <w:p>
            <w:pPr>
              <w:jc w:val="right"/>
              <w:ind w:right="75"/>
              <w:spacing w:after="0"/>
              <w:rPr>
                <w:sz w:val="20"/>
                <w:szCs w:val="20"/>
                <w:color w:val="auto"/>
              </w:rPr>
            </w:pPr>
            <w:r>
              <w:rPr>
                <w:rFonts w:ascii="Arial" w:cs="Arial" w:eastAsia="Arial" w:hAnsi="Arial"/>
                <w:sz w:val="9"/>
                <w:szCs w:val="9"/>
                <w:color w:val="auto"/>
              </w:rPr>
              <w:t>20,500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00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Tax Fees</w:t>
            </w:r>
          </w:p>
        </w:tc>
        <w:tc>
          <w:tcPr>
            <w:tcW w:w="5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17,340</w:t>
            </w: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17,150</w:t>
            </w:r>
          </w:p>
        </w:tc>
      </w:tr>
      <w:tr>
        <w:trPr>
          <w:trHeight w:val="1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All Other Fees</w:t>
            </w:r>
          </w:p>
        </w:tc>
        <w:tc>
          <w:tcPr>
            <w:tcW w:w="1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1,995</w:t>
            </w:r>
          </w:p>
        </w:tc>
        <w:tc>
          <w:tcPr>
            <w:tcW w:w="1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1,885</w:t>
            </w:r>
          </w:p>
        </w:tc>
      </w:tr>
      <w:tr>
        <w:trPr>
          <w:trHeight w:val="163"/>
        </w:trPr>
        <w:tc>
          <w:tcPr>
            <w:tcW w:w="69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9"/>
                <w:szCs w:val="9"/>
                <w:color w:val="auto"/>
              </w:rPr>
              <w:t>Total Fees</w:t>
            </w:r>
          </w:p>
        </w:tc>
        <w:tc>
          <w:tcPr>
            <w:tcW w:w="10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415"/>
              <w:spacing w:after="0"/>
              <w:rPr>
                <w:sz w:val="20"/>
                <w:szCs w:val="20"/>
                <w:color w:val="auto"/>
              </w:rPr>
            </w:pPr>
            <w:r>
              <w:rPr>
                <w:rFonts w:ascii="Arial" w:cs="Arial" w:eastAsia="Arial" w:hAnsi="Arial"/>
                <w:sz w:val="9"/>
                <w:szCs w:val="9"/>
                <w:color w:val="auto"/>
              </w:rPr>
              <w:t>$</w:t>
            </w:r>
          </w:p>
        </w:tc>
        <w:tc>
          <w:tcPr>
            <w:tcW w:w="16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768,230</w:t>
            </w:r>
          </w:p>
        </w:tc>
        <w:tc>
          <w:tcPr>
            <w:tcW w:w="12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415"/>
              <w:spacing w:after="0"/>
              <w:rPr>
                <w:sz w:val="20"/>
                <w:szCs w:val="20"/>
                <w:color w:val="auto"/>
              </w:rPr>
            </w:pPr>
            <w:r>
              <w:rPr>
                <w:rFonts w:ascii="Arial" w:cs="Arial" w:eastAsia="Arial" w:hAnsi="Arial"/>
                <w:sz w:val="9"/>
                <w:szCs w:val="9"/>
                <w:color w:val="auto"/>
                <w:w w:val="78"/>
              </w:rPr>
              <w:t>$</w:t>
            </w:r>
          </w:p>
        </w:tc>
        <w:tc>
          <w:tcPr>
            <w:tcW w:w="16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1,062,426</w:t>
            </w:r>
          </w:p>
        </w:tc>
      </w:tr>
    </w:tbl>
    <w:p>
      <w:pPr>
        <w:spacing w:after="0" w:line="314"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6376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left="8" w:right="200"/>
        <w:spacing w:after="0" w:line="307" w:lineRule="auto"/>
        <w:rPr>
          <w:sz w:val="20"/>
          <w:szCs w:val="20"/>
          <w:color w:val="auto"/>
        </w:rPr>
      </w:pPr>
      <w:r>
        <w:rPr>
          <w:rFonts w:ascii="Arial" w:cs="Arial" w:eastAsia="Arial" w:hAnsi="Arial"/>
          <w:sz w:val="11"/>
          <w:szCs w:val="11"/>
          <w:color w:val="auto"/>
        </w:rPr>
        <w:t>Audit fees consist of fees billed for the audit of our annual consolidated financial statements, the review of the interim consolidated financial statements, and related services that are normally provided in connection with registration statements, including the registration statement for our initial public offering. Included in the 2016 audit fees is $508,421 of fees billed in connection with our initial public offering in June 2016.</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6376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left="8" w:right="560"/>
        <w:spacing w:after="0" w:line="262" w:lineRule="auto"/>
        <w:rPr>
          <w:sz w:val="20"/>
          <w:szCs w:val="20"/>
          <w:color w:val="auto"/>
        </w:rPr>
      </w:pPr>
      <w:r>
        <w:rPr>
          <w:rFonts w:ascii="Arial" w:cs="Arial" w:eastAsia="Arial" w:hAnsi="Arial"/>
          <w:sz w:val="12"/>
          <w:szCs w:val="12"/>
          <w:color w:val="auto"/>
        </w:rPr>
        <w:t>Audit-related fees consist of fees for assurance and related services that are traditionally performed by an independent registered public accounting firm, including special procedures required to meet certain regulatory requirements.</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Tax fees consist of fees for professional services, including tax consulting and compliance performed by Ernst &amp; Young LLP. A total of $17,340 and $17,150 of fees were billed for tax preparation services in 2017 and 2016, respectively.</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other fees are those associated with services not captured in the other categories. A total of $1,995 and $1,885 of fees were billed for annual accounting subscription fees in 2017 and 2016, respectively.</w:t>
      </w:r>
    </w:p>
    <w:p>
      <w:pPr>
        <w:spacing w:after="0" w:line="248"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376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2" w:lineRule="exact"/>
        <w:rPr>
          <w:sz w:val="20"/>
          <w:szCs w:val="20"/>
          <w:color w:val="auto"/>
        </w:rPr>
      </w:pPr>
    </w:p>
    <w:p>
      <w:pPr>
        <w:ind w:left="8" w:right="100"/>
        <w:spacing w:after="0" w:line="273" w:lineRule="auto"/>
        <w:rPr>
          <w:sz w:val="20"/>
          <w:szCs w:val="20"/>
          <w:color w:val="auto"/>
        </w:rPr>
      </w:pPr>
      <w:r>
        <w:rPr>
          <w:rFonts w:ascii="Arial" w:cs="Arial" w:eastAsia="Arial" w:hAnsi="Arial"/>
          <w:sz w:val="11"/>
          <w:szCs w:val="11"/>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w:t>
      </w:r>
    </w:p>
    <w:p>
      <w:pPr>
        <w:ind w:left="8" w:right="40" w:hanging="8"/>
        <w:spacing w:after="0" w:line="253" w:lineRule="auto"/>
        <w:tabs>
          <w:tab w:leader="none" w:pos="1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14</w:t>
      </w:r>
    </w:p>
    <w:p>
      <w:pPr>
        <w:sectPr>
          <w:pgSz w:w="11900" w:h="16838" w:orient="portrait"/>
          <w:cols w:equalWidth="0" w:num="1">
            <w:col w:w="11488"/>
          </w:cols>
          <w:pgMar w:left="212" w:top="818" w:right="19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2"/>
          <w:szCs w:val="12"/>
          <w:color w:val="auto"/>
        </w:rPr>
        <w:t>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2017 were pre-approved.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auto"/>
        </w:rPr>
        <w:t>15</w:t>
      </w:r>
    </w:p>
    <w:p>
      <w:pPr>
        <w:sectPr>
          <w:pgSz w:w="11900" w:h="16838" w:orient="portrait"/>
          <w:cols w:equalWidth="0" w:num="1">
            <w:col w:w="11440"/>
          </w:cols>
          <w:pgMar w:left="220" w:top="409" w:right="239" w:bottom="1440" w:gutter="0" w:footer="0" w:header="0"/>
        </w:sectPr>
      </w:pPr>
    </w:p>
    <w:bookmarkStart w:id="21" w:name="page22"/>
    <w:bookmarkEnd w:id="21"/>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5" w:lineRule="exact"/>
        <w:rPr>
          <w:sz w:val="20"/>
          <w:szCs w:val="20"/>
          <w:color w:val="auto"/>
        </w:rPr>
      </w:pPr>
    </w:p>
    <w:p>
      <w:pPr>
        <w:ind w:left="48"/>
        <w:spacing w:after="0"/>
        <w:rPr>
          <w:sz w:val="20"/>
          <w:szCs w:val="20"/>
          <w:color w:val="auto"/>
        </w:rPr>
      </w:pPr>
      <w:r>
        <w:rPr>
          <w:rFonts w:ascii="Arial" w:cs="Arial" w:eastAsia="Arial" w:hAnsi="Arial"/>
          <w:sz w:val="12"/>
          <w:szCs w:val="12"/>
          <w:color w:val="auto"/>
        </w:rPr>
        <w:t>The following table identifies our current executive officers:</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w:t>
            </w:r>
          </w:p>
        </w:tc>
        <w:tc>
          <w:tcPr>
            <w:tcW w:w="12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120" w:type="dxa"/>
            <w:vAlign w:val="bottom"/>
            <w:tcBorders>
              <w:bottom w:val="single" w:sz="8" w:color="CFF0FC"/>
            </w:tcBorders>
          </w:tcPr>
          <w:p>
            <w:pPr>
              <w:spacing w:after="0"/>
              <w:rPr>
                <w:sz w:val="11"/>
                <w:szCs w:val="11"/>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Position(s)</w:t>
            </w:r>
          </w:p>
        </w:tc>
      </w:tr>
      <w:tr>
        <w:trPr>
          <w:trHeight w:val="16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Werner Cautreels, Ph.D. </w:t>
            </w:r>
            <w:r>
              <w:rPr>
                <w:rFonts w:ascii="Arial" w:cs="Arial" w:eastAsia="Arial" w:hAnsi="Arial"/>
                <w:sz w:val="11"/>
                <w:szCs w:val="11"/>
                <w:color w:val="auto"/>
                <w:vertAlign w:val="superscript"/>
              </w:rPr>
              <w:t>1</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65</w:t>
            </w:r>
          </w:p>
        </w:tc>
        <w:tc>
          <w:tcPr>
            <w:tcW w:w="120" w:type="dxa"/>
            <w:vAlign w:val="bottom"/>
            <w:shd w:val="clear" w:color="auto" w:fill="CFF0FC"/>
          </w:tcPr>
          <w:p>
            <w:pPr>
              <w:spacing w:after="0"/>
              <w:rPr>
                <w:sz w:val="14"/>
                <w:szCs w:val="14"/>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President and Chief Executive Officer</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0"/>
                <w:szCs w:val="10"/>
                <w:color w:val="auto"/>
              </w:rPr>
              <w:t xml:space="preserve">David Abraham </w:t>
            </w:r>
            <w:r>
              <w:rPr>
                <w:rFonts w:ascii="Arial" w:cs="Arial" w:eastAsia="Arial" w:hAnsi="Arial"/>
                <w:sz w:val="11"/>
                <w:szCs w:val="11"/>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52</w:t>
            </w:r>
          </w:p>
        </w:tc>
        <w:tc>
          <w:tcPr>
            <w:tcW w:w="12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0"/>
                <w:szCs w:val="10"/>
                <w:color w:val="auto"/>
              </w:rPr>
              <w:t>Chief Compliance Officer, General Counsel and Corporate Secretary</w:t>
            </w:r>
          </w:p>
        </w:tc>
      </w:tr>
      <w:tr>
        <w:trPr>
          <w:trHeight w:val="18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Lloyd Johnston, Ph.D. </w:t>
            </w:r>
            <w:r>
              <w:rPr>
                <w:rFonts w:ascii="Arial" w:cs="Arial" w:eastAsia="Arial" w:hAnsi="Arial"/>
                <w:sz w:val="11"/>
                <w:szCs w:val="11"/>
                <w:color w:val="auto"/>
                <w:vertAlign w:val="superscript"/>
              </w:rPr>
              <w:t>3</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50</w:t>
            </w:r>
          </w:p>
        </w:tc>
        <w:tc>
          <w:tcPr>
            <w:tcW w:w="120" w:type="dxa"/>
            <w:vAlign w:val="bottom"/>
            <w:shd w:val="clear" w:color="auto" w:fill="CFF0FC"/>
          </w:tcPr>
          <w:p>
            <w:pPr>
              <w:spacing w:after="0"/>
              <w:rPr>
                <w:sz w:val="16"/>
                <w:szCs w:val="16"/>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Chief Operating Officer and Senior Vice President, Research and Development</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0"/>
                <w:szCs w:val="10"/>
                <w:color w:val="auto"/>
              </w:rPr>
              <w:t xml:space="preserve">Takashi Kei Kishimoto, Ph.D. </w:t>
            </w:r>
            <w:r>
              <w:rPr>
                <w:rFonts w:ascii="Arial" w:cs="Arial" w:eastAsia="Arial" w:hAnsi="Arial"/>
                <w:sz w:val="11"/>
                <w:szCs w:val="11"/>
                <w:color w:val="auto"/>
                <w:vertAlign w:val="superscript"/>
              </w:rPr>
              <w:t>4</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58</w:t>
            </w:r>
          </w:p>
        </w:tc>
        <w:tc>
          <w:tcPr>
            <w:tcW w:w="12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0"/>
                <w:szCs w:val="10"/>
                <w:color w:val="auto"/>
              </w:rPr>
              <w:t>Chief Scientific Officer</w:t>
            </w:r>
          </w:p>
        </w:tc>
      </w:tr>
      <w:tr>
        <w:trPr>
          <w:trHeight w:val="18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John Leaman, M.D. </w:t>
            </w:r>
            <w:r>
              <w:rPr>
                <w:rFonts w:ascii="Arial" w:cs="Arial" w:eastAsia="Arial" w:hAnsi="Arial"/>
                <w:sz w:val="11"/>
                <w:szCs w:val="11"/>
                <w:color w:val="auto"/>
                <w:vertAlign w:val="superscript"/>
              </w:rPr>
              <w:t>5</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45</w:t>
            </w:r>
          </w:p>
        </w:tc>
        <w:tc>
          <w:tcPr>
            <w:tcW w:w="120" w:type="dxa"/>
            <w:vAlign w:val="bottom"/>
            <w:shd w:val="clear" w:color="auto" w:fill="CFF0FC"/>
          </w:tcPr>
          <w:p>
            <w:pPr>
              <w:spacing w:after="0"/>
              <w:rPr>
                <w:sz w:val="16"/>
                <w:szCs w:val="16"/>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Chief Financial Officer, Head of Corporate Strategy, and Treasurer</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0"/>
                <w:szCs w:val="10"/>
                <w:color w:val="auto"/>
              </w:rPr>
              <w:t xml:space="preserve">Earl Sands, M.D. </w:t>
            </w:r>
            <w:r>
              <w:rPr>
                <w:rFonts w:ascii="Arial" w:cs="Arial" w:eastAsia="Arial" w:hAnsi="Arial"/>
                <w:sz w:val="11"/>
                <w:szCs w:val="11"/>
                <w:color w:val="auto"/>
                <w:vertAlign w:val="superscript"/>
              </w:rPr>
              <w:t>6</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60</w:t>
            </w:r>
          </w:p>
        </w:tc>
        <w:tc>
          <w:tcPr>
            <w:tcW w:w="12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0"/>
                <w:szCs w:val="10"/>
                <w:color w:val="auto"/>
              </w:rPr>
              <w:t>Chief Medical Officer</w:t>
            </w:r>
          </w:p>
        </w:tc>
      </w:tr>
      <w:tr>
        <w:trPr>
          <w:trHeight w:val="18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Stephen Smolinski </w:t>
            </w:r>
            <w:r>
              <w:rPr>
                <w:rFonts w:ascii="Arial" w:cs="Arial" w:eastAsia="Arial" w:hAnsi="Arial"/>
                <w:sz w:val="11"/>
                <w:szCs w:val="11"/>
                <w:color w:val="auto"/>
                <w:vertAlign w:val="superscript"/>
              </w:rPr>
              <w:t>7</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53</w:t>
            </w:r>
          </w:p>
        </w:tc>
        <w:tc>
          <w:tcPr>
            <w:tcW w:w="120" w:type="dxa"/>
            <w:vAlign w:val="bottom"/>
            <w:shd w:val="clear" w:color="auto" w:fill="CFF0FC"/>
          </w:tcPr>
          <w:p>
            <w:pPr>
              <w:spacing w:after="0"/>
              <w:rPr>
                <w:sz w:val="16"/>
                <w:szCs w:val="16"/>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Chief Commercial Officer</w:t>
            </w:r>
          </w:p>
        </w:tc>
      </w:tr>
    </w:tbl>
    <w:p>
      <w:pPr>
        <w:spacing w:after="0" w:line="142" w:lineRule="exact"/>
        <w:rPr>
          <w:sz w:val="20"/>
          <w:szCs w:val="20"/>
          <w:color w:val="auto"/>
        </w:rPr>
      </w:pPr>
    </w:p>
    <w:p>
      <w:pPr>
        <w:ind w:left="8"/>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2"/>
          <w:szCs w:val="12"/>
          <w:color w:val="auto"/>
        </w:rPr>
        <w:t xml:space="preserve"> See biography on page 10 of this proxy statement.</w:t>
      </w:r>
    </w:p>
    <w:p>
      <w:pPr>
        <w:spacing w:after="0" w:line="129" w:lineRule="exact"/>
        <w:rPr>
          <w:sz w:val="20"/>
          <w:szCs w:val="20"/>
          <w:color w:val="auto"/>
        </w:rPr>
      </w:pPr>
    </w:p>
    <w:p>
      <w:pPr>
        <w:ind w:left="8" w:right="240" w:hanging="8"/>
        <w:spacing w:after="0" w:line="243" w:lineRule="auto"/>
        <w:tabs>
          <w:tab w:leader="none" w:pos="81" w:val="left"/>
        </w:tabs>
        <w:numPr>
          <w:ilvl w:val="0"/>
          <w:numId w:val="12"/>
        </w:numPr>
        <w:rPr>
          <w:rFonts w:ascii="Arial" w:cs="Arial" w:eastAsia="Arial" w:hAnsi="Arial"/>
          <w:sz w:val="14"/>
          <w:szCs w:val="14"/>
          <w:color w:val="auto"/>
          <w:vertAlign w:val="superscript"/>
        </w:rPr>
      </w:pPr>
      <w:r>
        <w:rPr>
          <w:rFonts w:ascii="Arial" w:cs="Arial" w:eastAsia="Arial" w:hAnsi="Arial"/>
          <w:sz w:val="12"/>
          <w:szCs w:val="12"/>
          <w:color w:val="auto"/>
        </w:rPr>
        <w:t>David Abraham has served as our General Counsel and Corporate Secretary since he joined Selecta in May 2011. From January 2009 to April 2011, Mr. Abraham was a member of 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43" w:lineRule="exact"/>
        <w:rPr>
          <w:sz w:val="20"/>
          <w:szCs w:val="20"/>
          <w:color w:val="auto"/>
        </w:rPr>
      </w:pPr>
    </w:p>
    <w:p>
      <w:pPr>
        <w:ind w:left="8" w:right="120" w:hanging="8"/>
        <w:spacing w:after="0" w:line="245" w:lineRule="auto"/>
        <w:tabs>
          <w:tab w:leader="none" w:pos="81" w:val="left"/>
        </w:tabs>
        <w:numPr>
          <w:ilvl w:val="0"/>
          <w:numId w:val="13"/>
        </w:numPr>
        <w:rPr>
          <w:rFonts w:ascii="Arial" w:cs="Arial" w:eastAsia="Arial" w:hAnsi="Arial"/>
          <w:sz w:val="14"/>
          <w:szCs w:val="14"/>
          <w:color w:val="auto"/>
          <w:vertAlign w:val="superscript"/>
        </w:rPr>
      </w:pPr>
      <w:r>
        <w:rPr>
          <w:rFonts w:ascii="Arial" w:cs="Arial" w:eastAsia="Arial" w:hAnsi="Arial"/>
          <w:sz w:val="12"/>
          <w:szCs w:val="12"/>
          <w:color w:val="auto"/>
        </w:rPr>
        <w:t>Lloyd Johnston, Ph.D. has served as our Chief Operating Officer and Senior Vice President, Research and Development since January 2014. 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43" w:lineRule="exact"/>
        <w:rPr>
          <w:sz w:val="20"/>
          <w:szCs w:val="20"/>
          <w:color w:val="auto"/>
        </w:rPr>
      </w:pPr>
    </w:p>
    <w:p>
      <w:pPr>
        <w:ind w:left="8" w:right="20" w:hanging="8"/>
        <w:spacing w:after="0" w:line="243" w:lineRule="auto"/>
        <w:tabs>
          <w:tab w:leader="none" w:pos="79" w:val="left"/>
        </w:tabs>
        <w:numPr>
          <w:ilvl w:val="0"/>
          <w:numId w:val="14"/>
        </w:numPr>
        <w:rPr>
          <w:rFonts w:ascii="Arial" w:cs="Arial" w:eastAsia="Arial" w:hAnsi="Arial"/>
          <w:sz w:val="14"/>
          <w:szCs w:val="14"/>
          <w:color w:val="auto"/>
          <w:vertAlign w:val="superscript"/>
        </w:rPr>
      </w:pPr>
      <w:r>
        <w:rPr>
          <w:rFonts w:ascii="Arial" w:cs="Arial" w:eastAsia="Arial" w:hAnsi="Arial"/>
          <w:sz w:val="12"/>
          <w:szCs w:val="12"/>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43" w:lineRule="exact"/>
        <w:rPr>
          <w:sz w:val="20"/>
          <w:szCs w:val="20"/>
          <w:color w:val="auto"/>
        </w:rPr>
      </w:pPr>
    </w:p>
    <w:p>
      <w:pPr>
        <w:ind w:left="8" w:right="40" w:hanging="8"/>
        <w:spacing w:after="0" w:line="220" w:lineRule="auto"/>
        <w:tabs>
          <w:tab w:leader="none" w:pos="80" w:val="left"/>
        </w:tabs>
        <w:numPr>
          <w:ilvl w:val="0"/>
          <w:numId w:val="15"/>
        </w:numPr>
        <w:rPr>
          <w:rFonts w:ascii="Arial" w:cs="Arial" w:eastAsia="Arial" w:hAnsi="Arial"/>
          <w:sz w:val="17"/>
          <w:szCs w:val="17"/>
          <w:color w:val="auto"/>
          <w:vertAlign w:val="superscript"/>
        </w:rPr>
      </w:pPr>
      <w:r>
        <w:rPr>
          <w:rFonts w:ascii="Arial" w:cs="Arial" w:eastAsia="Arial" w:hAnsi="Arial"/>
          <w:sz w:val="12"/>
          <w:szCs w:val="12"/>
          <w:color w:val="auto"/>
        </w:rPr>
        <w:t>John Leaman, M.D. has served as our Chief Financial Officer, Head of Corporate Strategy, and Treasurer since October 2017. Dr. Leaman previously served as Head of Corporate Development at InfaCare Pharmaceutical Corp., a specialty pharmaceutical company that was recently acquired by Mallinckrodt plc., from 2016 to 2017. Prior to this, Dr. Leaman was Chief Financial Officer of Medgenics, Inc., a publicly traded biotech company from 2014 to</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16</w:t>
      </w:r>
    </w:p>
    <w:p>
      <w:pPr>
        <w:sectPr>
          <w:pgSz w:w="11900" w:h="16838" w:orient="portrait"/>
          <w:cols w:equalWidth="0" w:num="1">
            <w:col w:w="11488"/>
          </w:cols>
          <w:pgMar w:left="212" w:top="872" w:right="199" w:bottom="1440" w:gutter="0" w:footer="0" w:header="0"/>
        </w:sectPr>
      </w:pPr>
    </w:p>
    <w:bookmarkStart w:id="22" w:name="page23"/>
    <w:bookmarkEnd w:id="22"/>
    <w:p>
      <w:pPr>
        <w:ind w:left="8" w:right="60"/>
        <w:spacing w:after="0" w:line="254" w:lineRule="auto"/>
        <w:rPr>
          <w:sz w:val="20"/>
          <w:szCs w:val="20"/>
          <w:color w:val="auto"/>
        </w:rPr>
      </w:pPr>
      <w:r>
        <w:rPr>
          <w:rFonts w:ascii="Arial" w:cs="Arial" w:eastAsia="Arial" w:hAnsi="Arial"/>
          <w:sz w:val="12"/>
          <w:szCs w:val="12"/>
          <w:color w:val="auto"/>
        </w:rPr>
        <w:t>2016. He also previously held senior roles at Shire plc from 2012 to 2014 and Devon Park Bioventures, a venture capital fund targeting investments in therapeutics companies from 2007 to 2012. Dr. Leaman brings to Selecta extensive licensing, merger and acquisition experience and began his career serving a range of life sciences companies as an Associate Principal at McKinsey &amp; Company from 2002 to 2007. Dr. Leaman received an M.D. from the Perelman School of Medicine at the University of Pennsylvania, an M.B.A. from the Wharton School at the University of Pennsylvania, a B.A. in psychology, philosophy and physiology from Oriel College, University of Oxford while completing a Rhodes Scholarship, and a B.S. in biology from Elizabethtown College.</w:t>
      </w:r>
    </w:p>
    <w:p>
      <w:pPr>
        <w:spacing w:after="0" w:line="136" w:lineRule="exact"/>
        <w:rPr>
          <w:sz w:val="20"/>
          <w:szCs w:val="20"/>
          <w:color w:val="auto"/>
        </w:rPr>
      </w:pPr>
    </w:p>
    <w:p>
      <w:pPr>
        <w:ind w:left="8" w:hanging="8"/>
        <w:spacing w:after="0" w:line="246" w:lineRule="auto"/>
        <w:tabs>
          <w:tab w:leader="none" w:pos="78" w:val="left"/>
        </w:tabs>
        <w:numPr>
          <w:ilvl w:val="0"/>
          <w:numId w:val="16"/>
        </w:numPr>
        <w:rPr>
          <w:rFonts w:ascii="Arial" w:cs="Arial" w:eastAsia="Arial" w:hAnsi="Arial"/>
          <w:sz w:val="14"/>
          <w:szCs w:val="14"/>
          <w:color w:val="auto"/>
          <w:vertAlign w:val="superscript"/>
        </w:rPr>
      </w:pPr>
      <w:r>
        <w:rPr>
          <w:rFonts w:ascii="Arial" w:cs="Arial" w:eastAsia="Arial" w:hAnsi="Arial"/>
          <w:sz w:val="12"/>
          <w:szCs w:val="12"/>
          <w:color w:val="auto"/>
        </w:rPr>
        <w:t>Earl Sands, M.D. has served as our Chief Medical Officer since July 2015. From July 2014 to May 2015, Dr. Sands served as the Chief Medical Officer of Targacept, Inc., now part of 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2" w:lineRule="exact"/>
        <w:rPr>
          <w:sz w:val="20"/>
          <w:szCs w:val="20"/>
          <w:color w:val="auto"/>
        </w:rPr>
      </w:pPr>
    </w:p>
    <w:p>
      <w:pPr>
        <w:ind w:left="8" w:right="180" w:hanging="8"/>
        <w:spacing w:after="0" w:line="241" w:lineRule="auto"/>
        <w:tabs>
          <w:tab w:leader="none" w:pos="81" w:val="left"/>
        </w:tabs>
        <w:numPr>
          <w:ilvl w:val="0"/>
          <w:numId w:val="17"/>
        </w:numPr>
        <w:rPr>
          <w:rFonts w:ascii="Arial" w:cs="Arial" w:eastAsia="Arial" w:hAnsi="Arial"/>
          <w:sz w:val="14"/>
          <w:szCs w:val="14"/>
          <w:color w:val="auto"/>
          <w:vertAlign w:val="superscript"/>
        </w:rPr>
      </w:pPr>
      <w:r>
        <w:rPr>
          <w:rFonts w:ascii="Arial" w:cs="Arial" w:eastAsia="Arial" w:hAnsi="Arial"/>
          <w:sz w:val="12"/>
          <w:szCs w:val="12"/>
          <w:color w:val="auto"/>
        </w:rPr>
        <w:t>Stephen Smolinski has served as our Chief Commercial Officer since October 2017. Mr. Smolinski previously served as the Vice President and Head of the North American Rheumatology Business Unit at Sanofi Genzyme, a pharmaceutical corporation, from 2015 to 2017. Prior to this, he served as Group Vice President of Immunology &amp; Inflammation, Global Strategic Unit at Sanofi from 2013 to 2015. Mr. Smolinski also previously held senior commercial roles at Roche-Genentech, Bristol-Myers Squibb, Johnson &amp; Johnson and Savient Pharmaceuticals. Mr. Smolinski received a B.S. in health care administration from Oregon State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 of our executive officers is related to any other executive officer or to any of our directors.</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17</w:t>
      </w:r>
    </w:p>
    <w:p>
      <w:pPr>
        <w:sectPr>
          <w:pgSz w:w="11900" w:h="16838" w:orient="portrait"/>
          <w:cols w:equalWidth="0" w:num="1">
            <w:col w:w="11488"/>
          </w:cols>
          <w:pgMar w:left="212" w:top="409"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2"/>
          <w:szCs w:val="12"/>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www.selectabiosciences.com, or by writing to our Corporate Secretary at our offices at 480 Arsenal Way, Watertown, Massachusetts 02472.</w:t>
      </w:r>
    </w:p>
    <w:p>
      <w:pPr>
        <w:spacing w:after="0" w:line="2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Our Board of Directors currently consists of 8 members: Werner Cautreels, Ph.D., Timothy Barabe, Omid Farokhzad, M.D., Peter Barton Hutt, Amir Nashat, Ph.D., Aymeric Sallin, Timothy Springer, Ph.D. and Patrick Zenner.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All of our directors and Class II director nominees, other than Werner Cautreels, Ph.D. and Omid Farokhzad, M.D.,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Cautreels is not independent because he is the President and Chief Executive Officer of Selecta. Dr. Farokhzad is not independent because he receives consulting fees under the terms of a consulting agreement with Selecta. There are no family relationships among any of our directors or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18</w:t>
      </w:r>
    </w:p>
    <w:p>
      <w:pPr>
        <w:sectPr>
          <w:pgSz w:w="11900" w:h="16838" w:orient="portrait"/>
          <w:cols w:equalWidth="0" w:num="1">
            <w:col w:w="11460"/>
          </w:cols>
          <w:pgMar w:left="220" w:top="818" w:right="219" w:bottom="1440" w:gutter="0" w:footer="0" w:header="0"/>
        </w:sectPr>
      </w:pPr>
    </w:p>
    <w:bookmarkStart w:id="24" w:name="page25"/>
    <w:bookmarkEnd w:id="24"/>
    <w:p>
      <w:pPr>
        <w:ind w:right="120"/>
        <w:spacing w:after="0" w:line="262" w:lineRule="auto"/>
        <w:rPr>
          <w:sz w:val="20"/>
          <w:szCs w:val="20"/>
          <w:color w:val="auto"/>
        </w:rPr>
      </w:pPr>
      <w:r>
        <w:rPr>
          <w:rFonts w:ascii="Arial" w:cs="Arial" w:eastAsia="Arial" w:hAnsi="Arial"/>
          <w:sz w:val="12"/>
          <w:szCs w:val="12"/>
          <w:color w:val="auto"/>
        </w:rPr>
        <w:t>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Omid Farokhzad, M.D., Amir Nashat, Ph.D. and Aymeric Sallin, our Class II Director nominees, were recommended by our Chief Executive Officer.</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Selecta Biosciences, Inc., 480 Arsenal Way, Watertown, Massachusetts 02472.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 Communications are forwarded to all directors if they relate to important substantive matters and include suggestions or comments that our Corporate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Selecta Biosciences, Inc., 480 Arsenal Way, Watertown, Massachusetts 02472.</w:t>
      </w:r>
    </w:p>
    <w:p>
      <w:pPr>
        <w:spacing w:after="0" w:line="22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Until December 31, 2017, Werner Cautreels, Ph.D., our President and Chief Executive Officer, served as Chairman of the Board. Until that time, our Board of Directors determined that combining the roles of Chairman of the Board and Chief Executive Officer was best for our company and its shareholders because it promoted unified leadership by Dr. Cautreels and allowed for a single, clear focus for management to execute the Company’s strategy and business plans. Upon the announcement by Dr. Cautreels of his intention to retire effective December 31, 2018, our Board of Directors appointed Dr. Omid Farokhzad as Chairman of the Board, effective December 31, 2017. If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9"/>
          <w:szCs w:val="9"/>
          <w:color w:val="auto"/>
        </w:rPr>
        <w:t>19</w:t>
      </w:r>
    </w:p>
    <w:p>
      <w:pPr>
        <w:sectPr>
          <w:pgSz w:w="11900" w:h="16838" w:orient="portrait"/>
          <w:cols w:equalWidth="0" w:num="1">
            <w:col w:w="11460"/>
          </w:cols>
          <w:pgMar w:left="220" w:top="409" w:right="219" w:bottom="1440" w:gutter="0" w:footer="0" w:header="0"/>
        </w:sectPr>
      </w:pPr>
    </w:p>
    <w:bookmarkStart w:id="25" w:name="page26"/>
    <w:bookmarkEnd w:id="25"/>
    <w:p>
      <w:pPr>
        <w:ind w:right="80"/>
        <w:spacing w:after="0" w:line="252" w:lineRule="auto"/>
        <w:rPr>
          <w:sz w:val="20"/>
          <w:szCs w:val="20"/>
          <w:color w:val="auto"/>
        </w:rPr>
      </w:pPr>
      <w:r>
        <w:rPr>
          <w:rFonts w:ascii="Arial" w:cs="Arial" w:eastAsia="Arial" w:hAnsi="Arial"/>
          <w:sz w:val="12"/>
          <w:szCs w:val="12"/>
          <w:color w:val="auto"/>
        </w:rPr>
        <w:t>Chairman of the Board is a member of management or does not otherwise qualify as independent, our Corporate Governance Guidelines provide for the appointment by the independent directors of a Lead Director. Since our Chairman of the Board has historically either been a member of management or does not otherwise qualify as independent, the independent directors elected Amir Nashat, Ph.D., as the Lead Director. The Lead Director’s responsibilities include, but are not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with the biotechnology and pharmaceutical industries and, with the exception of Drs. Cautreels and Farokhzad, is comprised of directors who meet the independence standards of Nasdaq. For these reasons and because of the strong leadership of Dr. Cautreels as Chief Executive Officer and Dr. Farokhzad as Chairman of the Board, and the counterbalancing role of the Lead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38"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2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Our Corporate Governance Guidelines require the Nominating and Corporate Governance Committee to periodically oversee an assessment of the Board and its committees.</w:t>
      </w:r>
    </w:p>
    <w:p>
      <w:pPr>
        <w:spacing w:after="0" w:line="23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our website, www.selectabiosciences.com. In addition, we intend to post on our website all disclosures that are required by law or the rules of Nasdaq concerning any amendments to, or waivers from, any provision of the code.</w:t>
      </w:r>
    </w:p>
    <w:p>
      <w:pPr>
        <w:spacing w:after="0" w:line="25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There were fourteen meetings of the Board of Directors during the fiscal year ended December 31, 2017. Our independent directors also had regularly scheduled executive sessions. During the fiscal year ended December 31, 2017, each director attended at least 75% of the aggregate of all meetings of the Board of Directors and meetings of the committees on which the director served during the period in which he served as a director.</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Currently, we do not maintain a formal policy regarding director attendance at the Annual Meeting; however, it is expected that absent compelling circumstances directors will attend.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9"/>
          <w:szCs w:val="9"/>
          <w:color w:val="auto"/>
        </w:rPr>
        <w:t>20</w:t>
      </w:r>
    </w:p>
    <w:p>
      <w:pPr>
        <w:sectPr>
          <w:pgSz w:w="11900" w:h="16838" w:orient="portrait"/>
          <w:cols w:equalWidth="0" w:num="1">
            <w:col w:w="11480"/>
          </w:cols>
          <w:pgMar w:left="220" w:top="409"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88" w:lineRule="exact"/>
        <w:rPr>
          <w:sz w:val="20"/>
          <w:szCs w:val="20"/>
          <w:color w:val="auto"/>
        </w:rPr>
      </w:pPr>
    </w:p>
    <w:p>
      <w:pPr>
        <w:ind w:right="180"/>
        <w:spacing w:after="0" w:line="253" w:lineRule="auto"/>
        <w:rPr>
          <w:sz w:val="20"/>
          <w:szCs w:val="20"/>
          <w:color w:val="auto"/>
        </w:rPr>
      </w:pPr>
      <w:r>
        <w:rPr>
          <w:rFonts w:ascii="Arial" w:cs="Arial" w:eastAsia="Arial" w:hAnsi="Arial"/>
          <w:sz w:val="12"/>
          <w:szCs w:val="12"/>
          <w:color w:val="auto"/>
        </w:rPr>
        <w:t>Our Board has established three standing committees--Audit, Compensation and Nominating and Corporate Governance--each of which operates under a written charter that has been approved by our Board. All of the members of each of the Board’s three standing committees are independent as defined under the Nasdaq rules. Our Board of Directors has determined that Timothy Barabe, Amir Nashat, Ph.D. and Patrick Zenner, meet the independence requirements of Rule 10A-3 under the Securities Exchange Act of 1934, as amended, or the Exchange Act. All members of the Compensation Committee meet the heightened standard for independence specific to members of a compensation committee under the Nasdaq rules. In addition, all members of the Nominating and Corporate Governance Committee are independent under the Nasdaq rules.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members of each of the Board committees and committee Chairs are set forth in the following chart.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Audit</w:t>
            </w:r>
          </w:p>
        </w:tc>
        <w:tc>
          <w:tcPr>
            <w:tcW w:w="12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Compensation</w:t>
            </w:r>
          </w:p>
        </w:tc>
        <w:tc>
          <w:tcPr>
            <w:tcW w:w="10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9"/>
              </w:rPr>
              <w:t>Nominating and Corporate Governance</w:t>
            </w:r>
          </w:p>
        </w:tc>
      </w:tr>
      <w:tr>
        <w:trPr>
          <w:trHeight w:val="174"/>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Timothy C. Barabe</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9"/>
                <w:szCs w:val="9"/>
                <w:color w:val="auto"/>
                <w:w w:val="92"/>
              </w:rPr>
              <w:t>Chair</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Peter Barton Hutt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9"/>
                <w:szCs w:val="9"/>
                <w:color w:val="auto"/>
              </w:rPr>
              <w:t>Chair</w:t>
            </w: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Amir Nashat, Ph.D.</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w w:val="99"/>
              </w:rPr>
              <w:t>X</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9"/>
                <w:szCs w:val="9"/>
                <w:color w:val="auto"/>
                <w:w w:val="99"/>
              </w:rPr>
              <w:t>X</w:t>
            </w:r>
          </w:p>
        </w:tc>
        <w:tc>
          <w:tcPr>
            <w:tcW w:w="1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5"/>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Aymeric Sallin</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9"/>
                <w:szCs w:val="9"/>
                <w:color w:val="auto"/>
                <w:w w:val="99"/>
              </w:rPr>
              <w:t>X</w:t>
            </w: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Timothy A. Springer, Ph.D.</w:t>
            </w: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right="20"/>
              <w:spacing w:after="0"/>
              <w:rPr>
                <w:sz w:val="20"/>
                <w:szCs w:val="20"/>
                <w:color w:val="auto"/>
              </w:rPr>
            </w:pPr>
            <w:r>
              <w:rPr>
                <w:rFonts w:ascii="Arial" w:cs="Arial" w:eastAsia="Arial" w:hAnsi="Arial"/>
                <w:sz w:val="9"/>
                <w:szCs w:val="9"/>
                <w:color w:val="auto"/>
                <w:w w:val="99"/>
              </w:rPr>
              <w:t>X</w:t>
            </w:r>
          </w:p>
        </w:tc>
      </w:tr>
      <w:tr>
        <w:trPr>
          <w:trHeight w:val="170"/>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Patrick Zenner</w:t>
            </w:r>
          </w:p>
        </w:tc>
        <w:tc>
          <w:tcPr>
            <w:tcW w:w="1960" w:type="dxa"/>
            <w:vAlign w:val="bottom"/>
            <w:gridSpan w:val="2"/>
          </w:tcPr>
          <w:p>
            <w:pPr>
              <w:jc w:val="center"/>
              <w:ind w:right="100"/>
              <w:spacing w:after="0"/>
              <w:rPr>
                <w:sz w:val="20"/>
                <w:szCs w:val="20"/>
                <w:color w:val="auto"/>
              </w:rPr>
            </w:pPr>
            <w:r>
              <w:rPr>
                <w:rFonts w:ascii="Arial" w:cs="Arial" w:eastAsia="Arial" w:hAnsi="Arial"/>
                <w:sz w:val="9"/>
                <w:szCs w:val="9"/>
                <w:color w:val="auto"/>
                <w:w w:val="99"/>
              </w:rPr>
              <w:t>X</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9"/>
                <w:szCs w:val="9"/>
                <w:color w:val="auto"/>
              </w:rPr>
              <w:t>Chair</w:t>
            </w:r>
          </w:p>
        </w:tc>
      </w:tr>
      <w:tr>
        <w:trPr>
          <w:trHeight w:val="351"/>
        </w:trPr>
        <w:tc>
          <w:tcPr>
            <w:tcW w:w="5740" w:type="dxa"/>
            <w:vAlign w:val="bottom"/>
            <w:gridSpan w:val="2"/>
          </w:tcPr>
          <w:p>
            <w:pPr>
              <w:spacing w:after="0"/>
              <w:rPr>
                <w:sz w:val="20"/>
                <w:szCs w:val="20"/>
                <w:color w:val="auto"/>
              </w:rPr>
            </w:pPr>
            <w:r>
              <w:rPr>
                <w:rFonts w:ascii="Arial" w:cs="Arial" w:eastAsia="Arial" w:hAnsi="Arial"/>
                <w:sz w:val="9"/>
                <w:szCs w:val="9"/>
                <w:b w:val="1"/>
                <w:bCs w:val="1"/>
                <w:color w:val="auto"/>
              </w:rPr>
              <w:t>AUDIT COMMITTEE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574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214"/>
        </w:trPr>
        <w:tc>
          <w:tcPr>
            <w:tcW w:w="5740" w:type="dxa"/>
            <w:vAlign w:val="bottom"/>
            <w:gridSpan w:val="2"/>
          </w:tcPr>
          <w:p>
            <w:pPr>
              <w:spacing w:after="0"/>
              <w:rPr>
                <w:sz w:val="20"/>
                <w:szCs w:val="20"/>
                <w:color w:val="auto"/>
              </w:rPr>
            </w:pPr>
            <w:r>
              <w:rPr>
                <w:rFonts w:ascii="Arial" w:cs="Arial" w:eastAsia="Arial" w:hAnsi="Arial"/>
                <w:sz w:val="12"/>
                <w:szCs w:val="12"/>
                <w:color w:val="auto"/>
              </w:rPr>
              <w:t>Our Audit Committee’s responsibilities include: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44" w:lineRule="exact"/>
        <w:rPr>
          <w:sz w:val="20"/>
          <w:szCs w:val="20"/>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appointing, approving the compensation of, and assessing the independence of our independent registered public accounting firm;</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overseeing the work of our independent registered public accounting firm, including through the receipt and consideration of reports from such firm;</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reviewing and discussing with management and the independent registered public accounting firm our annual and quarterly financial statements and related disclosures;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monitoring our internal control over financial reporting, disclosure controls and procedures and code of business conduct and ethics;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discussing our risk management policies;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establishing policies regarding hiring employees from the independent registered public accounting firm and procedures for the receipt and retention of accounting related complaints and concerns;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meeting independently with our internal auditing staff, if any, independent registered public accounting firm and management;</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reviewing and approving or ratifying any related person transactions; and</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8"/>
        </w:numPr>
        <w:rPr>
          <w:rFonts w:ascii="Arial" w:cs="Arial" w:eastAsia="Arial" w:hAnsi="Arial"/>
          <w:sz w:val="9"/>
          <w:szCs w:val="9"/>
          <w:color w:val="auto"/>
        </w:rPr>
      </w:pPr>
      <w:r>
        <w:rPr>
          <w:rFonts w:ascii="Arial" w:cs="Arial" w:eastAsia="Arial" w:hAnsi="Arial"/>
          <w:sz w:val="12"/>
          <w:szCs w:val="12"/>
          <w:color w:val="auto"/>
        </w:rPr>
        <w:t>preparing the audit committee report required by the SEC rules (which is included on page 13 of this proxy statement).</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The members of the Audit Committee are Timothy Barabe, Amir Nashat, Ph.D. and Patrick Zenner. Mr. Barabe serves as the Chairperson of the committee.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met six times in 2017.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9"/>
          <w:szCs w:val="9"/>
          <w:color w:val="auto"/>
        </w:rPr>
        <w:t>21</w:t>
      </w:r>
    </w:p>
    <w:p>
      <w:pPr>
        <w:sectPr>
          <w:pgSz w:w="11900" w:h="16838" w:orient="portrait"/>
          <w:cols w:equalWidth="0" w:num="1">
            <w:col w:w="11480"/>
          </w:cols>
          <w:pgMar w:left="220" w:top="818" w:right="199" w:bottom="1440" w:gutter="0" w:footer="0" w:header="0"/>
        </w:sectPr>
      </w:pPr>
    </w:p>
    <w:bookmarkStart w:id="27" w:name="page28"/>
    <w:bookmarkEnd w:id="27"/>
    <w:p>
      <w:pPr>
        <w:spacing w:after="0"/>
        <w:rPr>
          <w:sz w:val="20"/>
          <w:szCs w:val="20"/>
          <w:color w:val="auto"/>
        </w:rPr>
      </w:pPr>
      <w:r>
        <w:rPr>
          <w:rFonts w:ascii="Arial" w:cs="Arial" w:eastAsia="Arial" w:hAnsi="Arial"/>
          <w:sz w:val="9"/>
          <w:szCs w:val="9"/>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95"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annually reviewing and approving corporate goals and objectives relevant to CEO compensation;</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determining our CEO’s compensation;</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reviewing and approving, or making recommendations to our Board with respect to, the compensation of our other executive officers;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overseeing an evaluation of our senior executives;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overseeing and administering our cash and equity incentive plans;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reviewing and making recommendations to our Board of Directors with respect to director compensation;</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reviewing and discussing annually with management our “Compensation Discussion and Analysis,” if required; and</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19"/>
        </w:numPr>
        <w:rPr>
          <w:rFonts w:ascii="Arial" w:cs="Arial" w:eastAsia="Arial" w:hAnsi="Arial"/>
          <w:sz w:val="9"/>
          <w:szCs w:val="9"/>
          <w:color w:val="auto"/>
        </w:rPr>
      </w:pPr>
      <w:r>
        <w:rPr>
          <w:rFonts w:ascii="Arial" w:cs="Arial" w:eastAsia="Arial" w:hAnsi="Arial"/>
          <w:sz w:val="12"/>
          <w:szCs w:val="12"/>
          <w:color w:val="auto"/>
        </w:rPr>
        <w:t>preparing the annual compensation committee report, if required by SEC rules.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has the authority to retain or obtain the advice of compensation consultants, legal counsel and other advisors to assist in carrying out its responsibilities.</w:t>
      </w:r>
    </w:p>
    <w:p>
      <w:pPr>
        <w:spacing w:after="0" w:line="150"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The Compensation Committee may delegate its authority under its charter to one or more subcommittees as it deems appropriate from time to time as further described in its charter, which is available on our website at www.selectabiosciences.com. The Compensation Committee may also delegate to an officer the authority to grant equity awards to certain employees, as further described in its charter and subject to the terms of our equity plans.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In 2017,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including the Chief Executive Officer, and to receive input and advice. The Compensation Committee has considered the adviser independence factors required under SEC rules as they relate to Radford and does not believe Radford’s work in 2017 raised a conflict of interest.</w:t>
      </w:r>
    </w:p>
    <w:p>
      <w:pPr>
        <w:spacing w:after="0" w:line="137" w:lineRule="exact"/>
        <w:rPr>
          <w:sz w:val="20"/>
          <w:szCs w:val="20"/>
          <w:color w:val="auto"/>
        </w:rPr>
      </w:pPr>
    </w:p>
    <w:p>
      <w:pPr>
        <w:ind w:right="180"/>
        <w:spacing w:after="0" w:line="145" w:lineRule="exact"/>
        <w:rPr>
          <w:sz w:val="20"/>
          <w:szCs w:val="20"/>
          <w:color w:val="auto"/>
        </w:rPr>
      </w:pPr>
      <w:r>
        <w:rPr>
          <w:rFonts w:ascii="Arial" w:cs="Arial" w:eastAsia="Arial" w:hAnsi="Arial"/>
          <w:sz w:val="12"/>
          <w:szCs w:val="12"/>
          <w:color w:val="auto"/>
        </w:rPr>
        <w:t>The members of our Compensation Committee are Peter Barton Hutt, Amir Nashat, Ph.D. and Aymeric Sallin. Peter Barton Hutt serves as Chairperson of the committee. Our Board of Directors has determined that each of Mr. Hutt, Dr. Nashat and Mr. Sallin is independent under the applicable SEC and Nasdaq rules, and is a “non</w:t>
      </w:r>
      <w:r>
        <w:rPr>
          <w:rFonts w:ascii="MS PGothic" w:cs="MS PGothic" w:eastAsia="MS PGothic" w:hAnsi="MS PGothic"/>
          <w:sz w:val="12"/>
          <w:szCs w:val="12"/>
          <w:color w:val="auto"/>
        </w:rPr>
        <w:t>‑</w:t>
      </w:r>
      <w:r>
        <w:rPr>
          <w:rFonts w:ascii="Arial" w:cs="Arial" w:eastAsia="Arial" w:hAnsi="Arial"/>
          <w:sz w:val="12"/>
          <w:szCs w:val="12"/>
          <w:color w:val="auto"/>
        </w:rPr>
        <w:t>employee director” as defined in Rule 16b</w:t>
      </w:r>
      <w:r>
        <w:rPr>
          <w:rFonts w:ascii="MS PGothic" w:cs="MS PGothic" w:eastAsia="MS PGothic" w:hAnsi="MS PGothic"/>
          <w:sz w:val="12"/>
          <w:szCs w:val="12"/>
          <w:color w:val="auto"/>
        </w:rPr>
        <w:t>‑</w:t>
      </w:r>
      <w:r>
        <w:rPr>
          <w:rFonts w:ascii="Arial" w:cs="Arial" w:eastAsia="Arial" w:hAnsi="Arial"/>
          <w:sz w:val="12"/>
          <w:szCs w:val="12"/>
          <w:color w:val="auto"/>
        </w:rPr>
        <w:t>3 promulgated under the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met five times during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9"/>
          <w:szCs w:val="9"/>
          <w:color w:val="auto"/>
        </w:rPr>
        <w:t>22</w:t>
      </w:r>
    </w:p>
    <w:p>
      <w:pPr>
        <w:sectPr>
          <w:pgSz w:w="11900" w:h="16838" w:orient="portrait"/>
          <w:cols w:equalWidth="0" w:num="1">
            <w:col w:w="11480"/>
          </w:cols>
          <w:pgMar w:left="220" w:top="417" w:right="199" w:bottom="1440" w:gutter="0" w:footer="0" w:header="0"/>
        </w:sectPr>
      </w:pPr>
    </w:p>
    <w:bookmarkStart w:id="28" w:name="page29"/>
    <w:bookmarkEnd w:id="28"/>
    <w:p>
      <w:pPr>
        <w:spacing w:after="0"/>
        <w:rPr>
          <w:sz w:val="20"/>
          <w:szCs w:val="20"/>
          <w:color w:val="auto"/>
        </w:rPr>
      </w:pPr>
      <w:r>
        <w:rPr>
          <w:rFonts w:ascii="Arial" w:cs="Arial" w:eastAsia="Arial" w:hAnsi="Arial"/>
          <w:sz w:val="9"/>
          <w:szCs w:val="9"/>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Our Nominating and Corporate Governance Committee’s responsibilities include:</w:t>
      </w:r>
    </w:p>
    <w:p>
      <w:pPr>
        <w:spacing w:after="0" w:line="150"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identifying individuals qualified to become board members;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recommending to our Board of Directors the persons to be nominated for election as directors and to each board committee;</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reviewing and making recommendations to our Board of Directors with respect to management succession planning;</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developing and recommending to our Board of Directors corporate governance principles; and</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overseeing a periodic assessment of our Board of Directors.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members of our Nominating and Corporate Governance Committee are Patrick Zenner and Timothy Springer, Ph.D. Mr. Zenner serves as the Chairperson of the committee. Our Board of Directors has determined that Dr. Springer and Mr. Zenner are independent under the applicable Nasdaq rules.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Nominating and Corporate Governance Committee met five times in 2017.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9"/>
          <w:szCs w:val="9"/>
          <w:color w:val="auto"/>
        </w:rPr>
        <w:t>23</w:t>
      </w:r>
    </w:p>
    <w:p>
      <w:pPr>
        <w:sectPr>
          <w:pgSz w:w="11900" w:h="16838" w:orient="portrait"/>
          <w:cols w:equalWidth="0" w:num="1">
            <w:col w:w="11480"/>
          </w:cols>
          <w:pgMar w:left="220" w:top="417" w:right="199" w:bottom="1440" w:gutter="0" w:footer="0" w:header="0"/>
        </w:sectPr>
      </w:pPr>
    </w:p>
    <w:bookmarkStart w:id="29" w:name="page30"/>
    <w:bookmarkEnd w:id="29"/>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454660</wp:posOffset>
            </wp:positionV>
            <wp:extent cx="726376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section discusses the material components of the executive compensation program offered to our named executive officers identified below. For 2017, our named executive officers were:</w:t>
      </w:r>
    </w:p>
    <w:p>
      <w:pPr>
        <w:ind w:left="928" w:hanging="442"/>
        <w:spacing w:after="0" w:line="230" w:lineRule="auto"/>
        <w:tabs>
          <w:tab w:leader="none" w:pos="928" w:val="left"/>
        </w:tabs>
        <w:numPr>
          <w:ilvl w:val="0"/>
          <w:numId w:val="21"/>
        </w:numPr>
        <w:rPr>
          <w:rFonts w:ascii="Arial" w:cs="Arial" w:eastAsia="Arial" w:hAnsi="Arial"/>
          <w:sz w:val="19"/>
          <w:szCs w:val="19"/>
          <w:color w:val="auto"/>
        </w:rPr>
      </w:pPr>
      <w:r>
        <w:rPr>
          <w:rFonts w:ascii="Arial" w:cs="Arial" w:eastAsia="Arial" w:hAnsi="Arial"/>
          <w:sz w:val="12"/>
          <w:szCs w:val="12"/>
          <w:color w:val="auto"/>
        </w:rPr>
        <w:t>Werner Cautreels, Ph.D., President and Chief Executive Officer;</w:t>
      </w:r>
    </w:p>
    <w:p>
      <w:pPr>
        <w:spacing w:after="0" w:line="22" w:lineRule="exact"/>
        <w:rPr>
          <w:rFonts w:ascii="Arial" w:cs="Arial" w:eastAsia="Arial" w:hAnsi="Arial"/>
          <w:sz w:val="19"/>
          <w:szCs w:val="19"/>
          <w:color w:val="auto"/>
        </w:rPr>
      </w:pPr>
    </w:p>
    <w:p>
      <w:pPr>
        <w:ind w:left="928" w:hanging="442"/>
        <w:spacing w:after="0" w:line="183" w:lineRule="auto"/>
        <w:tabs>
          <w:tab w:leader="none" w:pos="928" w:val="left"/>
        </w:tabs>
        <w:numPr>
          <w:ilvl w:val="0"/>
          <w:numId w:val="21"/>
        </w:numPr>
        <w:rPr>
          <w:rFonts w:ascii="Arial" w:cs="Arial" w:eastAsia="Arial" w:hAnsi="Arial"/>
          <w:sz w:val="19"/>
          <w:szCs w:val="19"/>
          <w:color w:val="auto"/>
        </w:rPr>
      </w:pPr>
      <w:r>
        <w:rPr>
          <w:rFonts w:ascii="Arial" w:cs="Arial" w:eastAsia="Arial" w:hAnsi="Arial"/>
          <w:sz w:val="12"/>
          <w:szCs w:val="12"/>
          <w:color w:val="auto"/>
        </w:rPr>
        <w:t>John Leaman, M.D., Chief Financial Officer, Head of Corporate Strategy, and Treasurer; and</w:t>
      </w:r>
    </w:p>
    <w:p>
      <w:pPr>
        <w:spacing w:after="0" w:line="22" w:lineRule="exact"/>
        <w:rPr>
          <w:rFonts w:ascii="Arial" w:cs="Arial" w:eastAsia="Arial" w:hAnsi="Arial"/>
          <w:sz w:val="19"/>
          <w:szCs w:val="19"/>
          <w:color w:val="auto"/>
        </w:rPr>
      </w:pPr>
    </w:p>
    <w:p>
      <w:pPr>
        <w:ind w:left="868" w:hanging="382"/>
        <w:spacing w:after="0" w:line="193" w:lineRule="auto"/>
        <w:tabs>
          <w:tab w:leader="none" w:pos="868" w:val="left"/>
        </w:tabs>
        <w:numPr>
          <w:ilvl w:val="0"/>
          <w:numId w:val="21"/>
        </w:numPr>
        <w:rPr>
          <w:rFonts w:ascii="Arial" w:cs="Arial" w:eastAsia="Arial" w:hAnsi="Arial"/>
          <w:sz w:val="19"/>
          <w:szCs w:val="19"/>
          <w:color w:val="auto"/>
        </w:rPr>
      </w:pPr>
      <w:r>
        <w:rPr>
          <w:rFonts w:ascii="Arial" w:cs="Arial" w:eastAsia="Arial" w:hAnsi="Arial"/>
          <w:sz w:val="12"/>
          <w:szCs w:val="12"/>
          <w:color w:val="auto"/>
        </w:rPr>
        <w:t>Lloyd Johnston, Ph.D., Chief Operating Officer and Senior Vice President, Research and Development.</w:t>
      </w:r>
    </w:p>
    <w:p>
      <w:pPr>
        <w:spacing w:after="0" w:line="144" w:lineRule="exact"/>
        <w:rPr>
          <w:sz w:val="20"/>
          <w:szCs w:val="20"/>
          <w:color w:val="auto"/>
        </w:rPr>
      </w:pPr>
    </w:p>
    <w:p>
      <w:pPr>
        <w:ind w:left="8" w:right="300"/>
        <w:spacing w:after="0" w:line="262" w:lineRule="auto"/>
        <w:rPr>
          <w:sz w:val="20"/>
          <w:szCs w:val="20"/>
          <w:color w:val="auto"/>
        </w:rPr>
      </w:pPr>
      <w:r>
        <w:rPr>
          <w:rFonts w:ascii="Arial" w:cs="Arial" w:eastAsia="Arial" w:hAnsi="Arial"/>
          <w:sz w:val="12"/>
          <w:szCs w:val="12"/>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247"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2017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8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Pr>
          <w:p>
            <w:pPr>
              <w:jc w:val="right"/>
              <w:ind w:right="135"/>
              <w:spacing w:after="0"/>
              <w:rPr>
                <w:sz w:val="20"/>
                <w:szCs w:val="20"/>
                <w:color w:val="auto"/>
              </w:rPr>
            </w:pPr>
            <w:r>
              <w:rPr>
                <w:rFonts w:ascii="Arial" w:cs="Arial" w:eastAsia="Arial" w:hAnsi="Arial"/>
                <w:sz w:val="9"/>
                <w:szCs w:val="9"/>
                <w:b w:val="1"/>
                <w:bCs w:val="1"/>
                <w:color w:val="auto"/>
              </w:rPr>
              <w:t>Non-equity incentive plan</w:t>
            </w:r>
          </w:p>
        </w:tc>
        <w:tc>
          <w:tcPr>
            <w:tcW w:w="16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3"/>
        </w:trPr>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9"/>
                <w:szCs w:val="9"/>
                <w:b w:val="1"/>
                <w:bCs w:val="1"/>
                <w:color w:val="auto"/>
              </w:rPr>
              <w:t>Name and principal position</w:t>
            </w:r>
          </w:p>
        </w:tc>
        <w:tc>
          <w:tcPr>
            <w:tcW w:w="860" w:type="dxa"/>
            <w:vAlign w:val="bottom"/>
            <w:tcBorders>
              <w:bottom w:val="single" w:sz="8" w:color="auto"/>
            </w:tcBorders>
          </w:tcPr>
          <w:p>
            <w:pPr>
              <w:ind w:left="460"/>
              <w:spacing w:after="0"/>
              <w:rPr>
                <w:sz w:val="20"/>
                <w:szCs w:val="20"/>
                <w:color w:val="auto"/>
              </w:rPr>
            </w:pPr>
            <w:r>
              <w:rPr>
                <w:rFonts w:ascii="Arial" w:cs="Arial" w:eastAsia="Arial" w:hAnsi="Arial"/>
                <w:sz w:val="9"/>
                <w:szCs w:val="9"/>
                <w:b w:val="1"/>
                <w:bCs w:val="1"/>
                <w:color w:val="auto"/>
              </w:rPr>
              <w:t>Year</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Salary ($) (1)</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rPr>
              <w:t>Bonus ($) (2)</w:t>
            </w: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Option awards ($)(3)</w:t>
            </w:r>
          </w:p>
        </w:tc>
        <w:tc>
          <w:tcPr>
            <w:tcW w:w="1400" w:type="dxa"/>
            <w:vAlign w:val="bottom"/>
            <w:tcBorders>
              <w:bottom w:val="single" w:sz="8" w:color="auto"/>
            </w:tcBorders>
          </w:tcPr>
          <w:p>
            <w:pPr>
              <w:jc w:val="right"/>
              <w:ind w:right="255"/>
              <w:spacing w:after="0"/>
              <w:rPr>
                <w:sz w:val="20"/>
                <w:szCs w:val="20"/>
                <w:color w:val="auto"/>
              </w:rPr>
            </w:pPr>
            <w:r>
              <w:rPr>
                <w:rFonts w:ascii="Arial" w:cs="Arial" w:eastAsia="Arial" w:hAnsi="Arial"/>
                <w:sz w:val="9"/>
                <w:szCs w:val="9"/>
                <w:b w:val="1"/>
                <w:bCs w:val="1"/>
                <w:color w:val="auto"/>
              </w:rPr>
              <w:t>compensation ($)(4)</w:t>
            </w:r>
          </w:p>
        </w:tc>
        <w:tc>
          <w:tcPr>
            <w:tcW w:w="164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rPr>
              <w:t>All other compensation ($)(5)</w:t>
            </w: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Total ($)</w:t>
            </w:r>
          </w:p>
        </w:tc>
      </w:tr>
      <w:tr>
        <w:trPr>
          <w:trHeight w:val="174"/>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 xml:space="preserve">Werner Cautreels, Ph.D. </w:t>
            </w:r>
            <w:r>
              <w:rPr>
                <w:rFonts w:ascii="Arial" w:cs="Arial" w:eastAsia="Arial" w:hAnsi="Arial"/>
                <w:sz w:val="15"/>
                <w:szCs w:val="15"/>
                <w:color w:val="auto"/>
                <w:vertAlign w:val="superscript"/>
              </w:rPr>
              <w:t>6</w:t>
            </w:r>
          </w:p>
        </w:tc>
        <w:tc>
          <w:tcPr>
            <w:tcW w:w="860" w:type="dxa"/>
            <w:vAlign w:val="bottom"/>
            <w:shd w:val="clear" w:color="auto" w:fill="CCEEFF"/>
          </w:tcPr>
          <w:p>
            <w:pPr>
              <w:ind w:left="440"/>
              <w:spacing w:after="0"/>
              <w:rPr>
                <w:sz w:val="20"/>
                <w:szCs w:val="20"/>
                <w:color w:val="auto"/>
              </w:rPr>
            </w:pPr>
            <w:r>
              <w:rPr>
                <w:rFonts w:ascii="Arial" w:cs="Arial" w:eastAsia="Arial" w:hAnsi="Arial"/>
                <w:sz w:val="9"/>
                <w:szCs w:val="9"/>
                <w:color w:val="auto"/>
              </w:rPr>
              <w:t>2017</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rPr>
              <w:t>460,000</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9"/>
                <w:szCs w:val="9"/>
                <w:color w:val="auto"/>
              </w:rPr>
              <w:t>1,386,733</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145,000</w:t>
            </w:r>
          </w:p>
        </w:tc>
        <w:tc>
          <w:tcPr>
            <w:tcW w:w="1640" w:type="dxa"/>
            <w:vAlign w:val="bottom"/>
            <w:shd w:val="clear" w:color="auto" w:fill="CCEEFF"/>
          </w:tcPr>
          <w:p>
            <w:pPr>
              <w:jc w:val="right"/>
              <w:ind w:right="255"/>
              <w:spacing w:after="0"/>
              <w:rPr>
                <w:sz w:val="20"/>
                <w:szCs w:val="20"/>
                <w:color w:val="auto"/>
              </w:rPr>
            </w:pPr>
            <w:r>
              <w:rPr>
                <w:rFonts w:ascii="Arial" w:cs="Arial" w:eastAsia="Arial" w:hAnsi="Arial"/>
                <w:sz w:val="9"/>
                <w:szCs w:val="9"/>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1,991,733</w:t>
            </w:r>
          </w:p>
        </w:tc>
      </w:tr>
      <w:tr>
        <w:trPr>
          <w:trHeight w:val="175"/>
        </w:trPr>
        <w:tc>
          <w:tcPr>
            <w:tcW w:w="3760" w:type="dxa"/>
            <w:vAlign w:val="bottom"/>
            <w:tcBorders>
              <w:bottom w:val="single" w:sz="8" w:color="auto"/>
            </w:tcBorders>
            <w:gridSpan w:val="3"/>
          </w:tcPr>
          <w:p>
            <w:pPr>
              <w:ind w:left="180"/>
              <w:spacing w:after="0"/>
              <w:rPr>
                <w:sz w:val="20"/>
                <w:szCs w:val="20"/>
                <w:color w:val="auto"/>
              </w:rPr>
            </w:pPr>
            <w:r>
              <w:rPr>
                <w:rFonts w:ascii="Arial" w:cs="Arial" w:eastAsia="Arial" w:hAnsi="Arial"/>
                <w:sz w:val="9"/>
                <w:szCs w:val="9"/>
                <w:i w:val="1"/>
                <w:iCs w:val="1"/>
                <w:color w:val="auto"/>
              </w:rPr>
              <w:t>President and Chief Executive Officer</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9"/>
                <w:szCs w:val="9"/>
                <w:color w:val="auto"/>
              </w:rPr>
              <w:t>2016</w:t>
            </w: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425,000</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color w:val="auto"/>
              </w:rPr>
              <w:t>1,286,295</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258,000</w:t>
            </w:r>
          </w:p>
        </w:tc>
        <w:tc>
          <w:tcPr>
            <w:tcW w:w="1640" w:type="dxa"/>
            <w:vAlign w:val="bottom"/>
            <w:tcBorders>
              <w:bottom w:val="single" w:sz="8" w:color="auto"/>
            </w:tcBorders>
          </w:tcPr>
          <w:p>
            <w:pPr>
              <w:jc w:val="right"/>
              <w:ind w:right="255"/>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1,969,295</w:t>
            </w:r>
          </w:p>
        </w:tc>
      </w:tr>
      <w:tr>
        <w:trPr>
          <w:trHeight w:val="174"/>
        </w:trPr>
        <w:tc>
          <w:tcPr>
            <w:tcW w:w="820" w:type="dxa"/>
            <w:vAlign w:val="bottom"/>
            <w:shd w:val="clear" w:color="auto" w:fill="CCEEFF"/>
          </w:tcPr>
          <w:p>
            <w:pPr>
              <w:ind w:left="20"/>
              <w:spacing w:after="0"/>
              <w:rPr>
                <w:sz w:val="20"/>
                <w:szCs w:val="20"/>
                <w:color w:val="auto"/>
              </w:rPr>
            </w:pPr>
            <w:r>
              <w:rPr>
                <w:rFonts w:ascii="Arial" w:cs="Arial" w:eastAsia="Arial" w:hAnsi="Arial"/>
                <w:sz w:val="9"/>
                <w:szCs w:val="9"/>
                <w:color w:val="auto"/>
                <w:w w:val="99"/>
              </w:rPr>
              <w:t>John Leaman, M.D.</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shd w:val="clear" w:color="auto" w:fill="CCEEFF"/>
              </w:rPr>
              <w:t>7</w:t>
            </w:r>
          </w:p>
        </w:tc>
        <w:tc>
          <w:tcPr>
            <w:tcW w:w="2860" w:type="dxa"/>
            <w:vAlign w:val="bottom"/>
            <w:shd w:val="clear" w:color="auto" w:fill="CCEEFF"/>
          </w:tcPr>
          <w:p>
            <w:pPr>
              <w:spacing w:after="0"/>
              <w:rPr>
                <w:sz w:val="15"/>
                <w:szCs w:val="15"/>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9"/>
                <w:szCs w:val="9"/>
                <w:color w:val="auto"/>
              </w:rPr>
              <w:t>2017</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rPr>
              <w:t>85,000</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32,500</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9"/>
                <w:szCs w:val="9"/>
                <w:color w:val="auto"/>
              </w:rPr>
              <w:t>1,620,839</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1640" w:type="dxa"/>
            <w:vAlign w:val="bottom"/>
            <w:shd w:val="clear" w:color="auto" w:fill="CCEEFF"/>
          </w:tcPr>
          <w:p>
            <w:pPr>
              <w:jc w:val="right"/>
              <w:ind w:right="255"/>
              <w:spacing w:after="0"/>
              <w:rPr>
                <w:sz w:val="20"/>
                <w:szCs w:val="20"/>
                <w:color w:val="auto"/>
              </w:rPr>
            </w:pPr>
            <w:r>
              <w:rPr>
                <w:rFonts w:ascii="Arial" w:cs="Arial" w:eastAsia="Arial" w:hAnsi="Arial"/>
                <w:sz w:val="9"/>
                <w:szCs w:val="9"/>
                <w:color w:val="auto"/>
              </w:rPr>
              <w:t>16,000</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1,754,339</w:t>
            </w:r>
          </w:p>
        </w:tc>
      </w:tr>
      <w:tr>
        <w:trPr>
          <w:trHeight w:val="175"/>
        </w:trPr>
        <w:tc>
          <w:tcPr>
            <w:tcW w:w="3760" w:type="dxa"/>
            <w:vAlign w:val="bottom"/>
            <w:tcBorders>
              <w:bottom w:val="single" w:sz="8" w:color="auto"/>
            </w:tcBorders>
            <w:gridSpan w:val="3"/>
          </w:tcPr>
          <w:p>
            <w:pPr>
              <w:ind w:left="180"/>
              <w:spacing w:after="0"/>
              <w:rPr>
                <w:sz w:val="20"/>
                <w:szCs w:val="20"/>
                <w:color w:val="auto"/>
              </w:rPr>
            </w:pPr>
            <w:r>
              <w:rPr>
                <w:rFonts w:ascii="Arial" w:cs="Arial" w:eastAsia="Arial" w:hAnsi="Arial"/>
                <w:sz w:val="9"/>
                <w:szCs w:val="9"/>
                <w:i w:val="1"/>
                <w:iCs w:val="1"/>
                <w:color w:val="auto"/>
              </w:rPr>
              <w:t>Chief Financial Officer, Head of Corporate Strategy, and Treasurer</w:t>
            </w: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74"/>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7"/>
              </w:rPr>
              <w:t>Lloyd Johnston, Ph.D.</w:t>
            </w:r>
          </w:p>
        </w:tc>
        <w:tc>
          <w:tcPr>
            <w:tcW w:w="2860" w:type="dxa"/>
            <w:vAlign w:val="bottom"/>
            <w:shd w:val="clear" w:color="auto" w:fill="CCEEFF"/>
          </w:tcPr>
          <w:p>
            <w:pPr>
              <w:spacing w:after="0"/>
              <w:rPr>
                <w:sz w:val="15"/>
                <w:szCs w:val="15"/>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9"/>
                <w:szCs w:val="9"/>
                <w:color w:val="auto"/>
              </w:rPr>
              <w:t>2017</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rPr>
              <w:t>345,000</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9"/>
                <w:szCs w:val="9"/>
                <w:color w:val="auto"/>
              </w:rPr>
              <w:t>623,136</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84,000</w:t>
            </w:r>
          </w:p>
        </w:tc>
        <w:tc>
          <w:tcPr>
            <w:tcW w:w="1640" w:type="dxa"/>
            <w:vAlign w:val="bottom"/>
            <w:shd w:val="clear" w:color="auto" w:fill="CCEEFF"/>
          </w:tcPr>
          <w:p>
            <w:pPr>
              <w:jc w:val="right"/>
              <w:ind w:right="255"/>
              <w:spacing w:after="0"/>
              <w:rPr>
                <w:sz w:val="20"/>
                <w:szCs w:val="20"/>
                <w:color w:val="auto"/>
              </w:rPr>
            </w:pPr>
            <w:r>
              <w:rPr>
                <w:rFonts w:ascii="Arial" w:cs="Arial" w:eastAsia="Arial" w:hAnsi="Arial"/>
                <w:sz w:val="9"/>
                <w:szCs w:val="9"/>
                <w:color w:val="auto"/>
              </w:rPr>
              <w:t>3,400</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1,055,536</w:t>
            </w:r>
          </w:p>
        </w:tc>
      </w:tr>
      <w:tr>
        <w:trPr>
          <w:trHeight w:val="175"/>
        </w:trPr>
        <w:tc>
          <w:tcPr>
            <w:tcW w:w="3760" w:type="dxa"/>
            <w:vAlign w:val="bottom"/>
            <w:tcBorders>
              <w:bottom w:val="single" w:sz="8" w:color="auto"/>
            </w:tcBorders>
            <w:gridSpan w:val="3"/>
          </w:tcPr>
          <w:p>
            <w:pPr>
              <w:ind w:left="180"/>
              <w:spacing w:after="0"/>
              <w:rPr>
                <w:sz w:val="20"/>
                <w:szCs w:val="20"/>
                <w:color w:val="auto"/>
              </w:rPr>
            </w:pPr>
            <w:r>
              <w:rPr>
                <w:rFonts w:ascii="Arial" w:cs="Arial" w:eastAsia="Arial" w:hAnsi="Arial"/>
                <w:sz w:val="9"/>
                <w:szCs w:val="9"/>
                <w:i w:val="1"/>
                <w:iCs w:val="1"/>
                <w:color w:val="auto"/>
              </w:rPr>
              <w:t>Chief Operating Officer and Senior Vice President, Research and Development</w:t>
            </w: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pacing w:after="0" w:line="108" w:lineRule="exact"/>
        <w:rPr>
          <w:sz w:val="20"/>
          <w:szCs w:val="20"/>
          <w:color w:val="auto"/>
        </w:rPr>
      </w:pPr>
    </w:p>
    <w:p>
      <w:pPr>
        <w:ind w:left="208" w:hanging="208"/>
        <w:spacing w:after="0"/>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These amounts represent actual earnings for the calendar year, which may be impacted by, among other things, hire date and the timing of any salary increases made during the year.</w:t>
      </w:r>
    </w:p>
    <w:p>
      <w:pPr>
        <w:spacing w:after="0" w:line="220" w:lineRule="exact"/>
        <w:rPr>
          <w:rFonts w:ascii="Arial" w:cs="Arial" w:eastAsia="Arial" w:hAnsi="Arial"/>
          <w:sz w:val="9"/>
          <w:szCs w:val="9"/>
          <w:color w:val="auto"/>
        </w:rPr>
      </w:pPr>
    </w:p>
    <w:p>
      <w:pPr>
        <w:ind w:left="208" w:hanging="208"/>
        <w:spacing w:after="0"/>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The amount shown represents a discretionary bonus for 2017.</w:t>
      </w:r>
    </w:p>
    <w:p>
      <w:pPr>
        <w:spacing w:after="0" w:line="220" w:lineRule="exact"/>
        <w:rPr>
          <w:rFonts w:ascii="Arial" w:cs="Arial" w:eastAsia="Arial" w:hAnsi="Arial"/>
          <w:sz w:val="9"/>
          <w:szCs w:val="9"/>
          <w:color w:val="auto"/>
        </w:rPr>
      </w:pPr>
    </w:p>
    <w:p>
      <w:pPr>
        <w:ind w:left="208" w:right="100" w:hanging="208"/>
        <w:spacing w:after="0" w:line="260" w:lineRule="auto"/>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The value of option awards represents the aggregate grant date fair value of stock options computed in accordance with ASC Topic 718, excluding the effect of estimated forfeitures. For a description of the assumptions used in valuing these awards, see Note 12 to our consolidated audited financial statements included in our 2017 Annual Report.</w:t>
      </w:r>
    </w:p>
    <w:p>
      <w:pPr>
        <w:spacing w:after="0" w:line="208" w:lineRule="exact"/>
        <w:rPr>
          <w:rFonts w:ascii="Arial" w:cs="Arial" w:eastAsia="Arial" w:hAnsi="Arial"/>
          <w:sz w:val="9"/>
          <w:szCs w:val="9"/>
          <w:color w:val="auto"/>
        </w:rPr>
      </w:pPr>
    </w:p>
    <w:p>
      <w:pPr>
        <w:ind w:left="208" w:hanging="208"/>
        <w:spacing w:after="0"/>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Non-equity incentive plan compensation represents amounts earned under our annual performance based bonus program. For additional information, see “Performance Bonuses” below.</w:t>
      </w:r>
    </w:p>
    <w:p>
      <w:pPr>
        <w:spacing w:after="0" w:line="220" w:lineRule="exact"/>
        <w:rPr>
          <w:rFonts w:ascii="Arial" w:cs="Arial" w:eastAsia="Arial" w:hAnsi="Arial"/>
          <w:sz w:val="9"/>
          <w:szCs w:val="9"/>
          <w:color w:val="auto"/>
        </w:rPr>
      </w:pPr>
    </w:p>
    <w:p>
      <w:pPr>
        <w:ind w:left="208" w:right="20" w:hanging="208"/>
        <w:spacing w:after="0" w:line="260" w:lineRule="auto"/>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For Dr. Leaman, the amount includes reimbursements for (i) expenses incurred for travel between his primary residence in Pennsylvania and our offices in Massachusetts and (ii) for lodging expenses in Massachusetts. For Dr. Johnston, other compensation represents our company’s matching contributions to his individual 401(k) plan account.</w:t>
      </w:r>
    </w:p>
    <w:p>
      <w:pPr>
        <w:spacing w:after="0" w:line="208" w:lineRule="exact"/>
        <w:rPr>
          <w:rFonts w:ascii="Arial" w:cs="Arial" w:eastAsia="Arial" w:hAnsi="Arial"/>
          <w:sz w:val="9"/>
          <w:szCs w:val="9"/>
          <w:color w:val="auto"/>
        </w:rPr>
      </w:pPr>
    </w:p>
    <w:p>
      <w:pPr>
        <w:ind w:left="208" w:hanging="208"/>
        <w:spacing w:after="0"/>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Dr. Cautreels also serves on our Board of Directors but receives no additional compensation for this service.</w:t>
      </w:r>
    </w:p>
    <w:p>
      <w:pPr>
        <w:spacing w:after="0" w:line="220" w:lineRule="exact"/>
        <w:rPr>
          <w:rFonts w:ascii="Arial" w:cs="Arial" w:eastAsia="Arial" w:hAnsi="Arial"/>
          <w:sz w:val="9"/>
          <w:szCs w:val="9"/>
          <w:color w:val="auto"/>
        </w:rPr>
      </w:pPr>
    </w:p>
    <w:p>
      <w:pPr>
        <w:ind w:left="208" w:hanging="208"/>
        <w:spacing w:after="0"/>
        <w:tabs>
          <w:tab w:leader="none" w:pos="208" w:val="left"/>
        </w:tabs>
        <w:numPr>
          <w:ilvl w:val="0"/>
          <w:numId w:val="22"/>
        </w:numPr>
        <w:rPr>
          <w:rFonts w:ascii="Arial" w:cs="Arial" w:eastAsia="Arial" w:hAnsi="Arial"/>
          <w:sz w:val="9"/>
          <w:szCs w:val="9"/>
          <w:color w:val="auto"/>
        </w:rPr>
      </w:pPr>
      <w:r>
        <w:rPr>
          <w:rFonts w:ascii="Arial" w:cs="Arial" w:eastAsia="Arial" w:hAnsi="Arial"/>
          <w:sz w:val="9"/>
          <w:szCs w:val="9"/>
          <w:color w:val="auto"/>
        </w:rPr>
        <w:t>Dr. Leaman joined as our Chief Financial Officer, Head of Corporate Strategy, and Treasurer in October 2017.</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right="460"/>
        <w:spacing w:after="0" w:line="262" w:lineRule="auto"/>
        <w:rPr>
          <w:sz w:val="20"/>
          <w:szCs w:val="20"/>
          <w:color w:val="auto"/>
        </w:rPr>
      </w:pPr>
      <w:r>
        <w:rPr>
          <w:rFonts w:ascii="Arial" w:cs="Arial" w:eastAsia="Arial" w:hAnsi="Arial"/>
          <w:sz w:val="12"/>
          <w:szCs w:val="12"/>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24</w:t>
      </w:r>
    </w:p>
    <w:p>
      <w:pPr>
        <w:sectPr>
          <w:pgSz w:w="11900" w:h="16838" w:orient="portrait"/>
          <w:cols w:equalWidth="0" w:num="1">
            <w:col w:w="11488"/>
          </w:cols>
          <w:pgMar w:left="212" w:top="918"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i w:val="1"/>
          <w:iCs w:val="1"/>
          <w:color w:val="auto"/>
        </w:rPr>
        <w:t>Base Salaries</w:t>
      </w:r>
    </w:p>
    <w:p>
      <w:pPr>
        <w:spacing w:after="0" w:line="164" w:lineRule="exact"/>
        <w:rPr>
          <w:sz w:val="20"/>
          <w:szCs w:val="20"/>
          <w:color w:val="auto"/>
        </w:rPr>
      </w:pPr>
    </w:p>
    <w:p>
      <w:pPr>
        <w:jc w:val="both"/>
        <w:ind w:right="40"/>
        <w:spacing w:after="0" w:line="256" w:lineRule="auto"/>
        <w:rPr>
          <w:sz w:val="20"/>
          <w:szCs w:val="20"/>
          <w:color w:val="auto"/>
        </w:rPr>
      </w:pPr>
      <w:r>
        <w:rPr>
          <w:rFonts w:ascii="Arial" w:cs="Arial" w:eastAsia="Arial" w:hAnsi="Arial"/>
          <w:sz w:val="12"/>
          <w:szCs w:val="12"/>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At the end of 2016, the compensation committee of our Board of Directors, or the Compensation Committee, recommended to the Board of Directors, and the Board of Directors approved increases in the annual base salaries of two of our named executive officers effective as of January 1, 2017. Dr. Cautreels' base salary was increased from $425,000 to $460,000, and Dr. Johnston's base salary was increased from $318,000 to $345,000. Dr. Leaman joined the company in October 2017 and, under the terms of his employment agreement had an annual base salary for 2017 of $390,000.</w:t>
      </w:r>
    </w:p>
    <w:p>
      <w:pPr>
        <w:spacing w:after="0" w:line="135" w:lineRule="exact"/>
        <w:rPr>
          <w:sz w:val="20"/>
          <w:szCs w:val="20"/>
          <w:color w:val="auto"/>
        </w:rPr>
      </w:pPr>
    </w:p>
    <w:p>
      <w:pPr>
        <w:ind w:right="100"/>
        <w:spacing w:after="0" w:line="307" w:lineRule="auto"/>
        <w:rPr>
          <w:sz w:val="20"/>
          <w:szCs w:val="20"/>
          <w:color w:val="auto"/>
        </w:rPr>
      </w:pPr>
      <w:r>
        <w:rPr>
          <w:rFonts w:ascii="Arial" w:cs="Arial" w:eastAsia="Arial" w:hAnsi="Arial"/>
          <w:sz w:val="11"/>
          <w:szCs w:val="11"/>
          <w:color w:val="auto"/>
        </w:rPr>
        <w:t>In early 2018, the Compensation Committee recommended to the Board of Directors, and the Board of Directors approved an increase in the base salaries of Dr. Cautreels and Dr. Johnston in the amount of $14,000 and $10,000, respectively. Following this increase, Dr. Cautreels' annual base salary is $474,000 and Dr. Johnston’s annual base salary is $355,000. Dr. Leaman did not receive a base salary increase for 2018.</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Performance Bonuses</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1"/>
          <w:szCs w:val="11"/>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annual base salary. The 2017 target bonus amount for Dr. Cautreels was 45% of his base salary and for Dr. Johnston, was 35% of his base salary. Under the terms of his employment agreement, for 2017 Dr. Leaman was entitled to receive a discretionary bonus in an amount determined by the Board of Directors, which would not be less than $32,500 if he remained employed by the company through December 31, 2017. Beginning in 2018, Dr. Leaman is eligible for an annual performance bonus targeted at 40% of his annual base salary and an additional annual special achievement bonus of up to 10% of his annual base salary; provided that Dr. Leaman’s annual bonus for 2018 will not be less than $162,500 if he remains employed by the company through December 31, 2018.</w:t>
      </w:r>
    </w:p>
    <w:p>
      <w:pPr>
        <w:spacing w:after="0" w:line="122" w:lineRule="exact"/>
        <w:rPr>
          <w:sz w:val="20"/>
          <w:szCs w:val="20"/>
          <w:color w:val="auto"/>
        </w:rPr>
      </w:pPr>
    </w:p>
    <w:p>
      <w:pPr>
        <w:jc w:val="both"/>
        <w:ind w:right="100"/>
        <w:spacing w:after="0" w:line="284" w:lineRule="auto"/>
        <w:rPr>
          <w:sz w:val="20"/>
          <w:szCs w:val="20"/>
          <w:color w:val="auto"/>
        </w:rPr>
      </w:pPr>
      <w:r>
        <w:rPr>
          <w:rFonts w:ascii="Arial" w:cs="Arial" w:eastAsia="Arial" w:hAnsi="Arial"/>
          <w:sz w:val="11"/>
          <w:szCs w:val="11"/>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2017 company performance goals were based on advancing the development of SEL-212 in order to complete preparations for the End-of-Phase-2 meeting with the United States Food and Drug Administration, advancing development of our gene therapy product candidates, entering Phase I clinical trials for our LMB-100 and Nicotine product candidates, raising greater than $50 million in additional working capital and executing a significant business deal.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actual cash bonuses earned by Dr. Cautreels and Dr. Johnston for 2017 are reported under the “Non-equity incentive plan compensation” column of the 2017 Summary Compensation Table above.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Compensation</w:t>
      </w:r>
    </w:p>
    <w:p>
      <w:pPr>
        <w:spacing w:after="0" w:line="164" w:lineRule="exact"/>
        <w:rPr>
          <w:sz w:val="20"/>
          <w:szCs w:val="20"/>
          <w:color w:val="auto"/>
        </w:rPr>
      </w:pPr>
    </w:p>
    <w:p>
      <w:pPr>
        <w:ind w:right="100"/>
        <w:spacing w:after="0" w:line="250" w:lineRule="auto"/>
        <w:rPr>
          <w:sz w:val="20"/>
          <w:szCs w:val="20"/>
          <w:color w:val="auto"/>
        </w:rPr>
      </w:pPr>
      <w:r>
        <w:rPr>
          <w:rFonts w:ascii="Arial" w:cs="Arial" w:eastAsia="Arial" w:hAnsi="Arial"/>
          <w:sz w:val="12"/>
          <w:szCs w:val="12"/>
          <w:color w:val="auto"/>
        </w:rPr>
        <w:t>We grant stock option awards to our named executive officers as the long-term incentive component of their compensation. We have historically granted stock option awards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In connection with our initial public offering, we adopted and our stockholders approved a 2016 Incentive Award Plan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stopped making grants under our 2008 Stock Incentive Plan (the “2008 Plan”). However, the 2008 Plan continues to govern the terms and conditions of the outstanding awards granted under it.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9"/>
          <w:szCs w:val="9"/>
          <w:color w:val="auto"/>
        </w:rPr>
        <w:t>25</w:t>
      </w:r>
    </w:p>
    <w:p>
      <w:pPr>
        <w:sectPr>
          <w:pgSz w:w="11900" w:h="16838" w:orient="portrait"/>
          <w:cols w:equalWidth="0" w:num="1">
            <w:col w:w="11460"/>
          </w:cols>
          <w:pgMar w:left="220" w:top="395" w:right="219" w:bottom="1440" w:gutter="0" w:footer="0" w:header="0"/>
        </w:sectPr>
      </w:pPr>
    </w:p>
    <w:bookmarkStart w:id="31" w:name="page32"/>
    <w:bookmarkEnd w:id="31"/>
    <w:p>
      <w:pPr>
        <w:ind w:left="8" w:right="60"/>
        <w:spacing w:after="0" w:line="252" w:lineRule="auto"/>
        <w:rPr>
          <w:sz w:val="20"/>
          <w:szCs w:val="20"/>
          <w:color w:val="auto"/>
        </w:rPr>
      </w:pPr>
      <w:r>
        <w:rPr>
          <w:rFonts w:ascii="Arial" w:cs="Arial" w:eastAsia="Arial" w:hAnsi="Arial"/>
          <w:sz w:val="12"/>
          <w:szCs w:val="12"/>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 awards may be intended to qualify as incentive stock options under the Code. The 2008 Plan, generally permits “early exercise” of any unvested portion of an option in exchange for shares of restricted stock subject to the same vesting schedule as the stock option. Options granted under the 2016 Plan to date do not currently allow “early exercise” of the unvested portion.</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Retirement, Health, Welfare and Additional Benefits</w:t>
      </w:r>
    </w:p>
    <w:p>
      <w:pPr>
        <w:spacing w:after="0" w:line="200" w:lineRule="exact"/>
        <w:rPr>
          <w:sz w:val="20"/>
          <w:szCs w:val="20"/>
          <w:color w:val="auto"/>
        </w:rPr>
      </w:pPr>
    </w:p>
    <w:p>
      <w:pPr>
        <w:ind w:left="8" w:right="40"/>
        <w:spacing w:after="0" w:line="262" w:lineRule="auto"/>
        <w:rPr>
          <w:sz w:val="20"/>
          <w:szCs w:val="20"/>
          <w:color w:val="auto"/>
        </w:rPr>
      </w:pPr>
      <w:r>
        <w:rPr>
          <w:rFonts w:ascii="Arial" w:cs="Arial" w:eastAsia="Arial" w:hAnsi="Arial"/>
          <w:sz w:val="12"/>
          <w:szCs w:val="12"/>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95" w:lineRule="exact"/>
        <w:rPr>
          <w:sz w:val="20"/>
          <w:szCs w:val="20"/>
          <w:color w:val="auto"/>
        </w:rPr>
      </w:pPr>
    </w:p>
    <w:p>
      <w:pPr>
        <w:ind w:left="8" w:right="180"/>
        <w:spacing w:after="0" w:line="262" w:lineRule="auto"/>
        <w:rPr>
          <w:sz w:val="20"/>
          <w:szCs w:val="20"/>
          <w:color w:val="auto"/>
        </w:rPr>
      </w:pPr>
      <w:r>
        <w:rPr>
          <w:rFonts w:ascii="Arial" w:cs="Arial" w:eastAsia="Arial" w:hAnsi="Arial"/>
          <w:sz w:val="12"/>
          <w:szCs w:val="12"/>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131" w:lineRule="exact"/>
        <w:rPr>
          <w:sz w:val="20"/>
          <w:szCs w:val="20"/>
          <w:color w:val="auto"/>
        </w:rPr>
      </w:pPr>
    </w:p>
    <w:p>
      <w:pPr>
        <w:ind w:left="8" w:right="140"/>
        <w:spacing w:after="0" w:line="262" w:lineRule="auto"/>
        <w:rPr>
          <w:sz w:val="20"/>
          <w:szCs w:val="20"/>
          <w:color w:val="auto"/>
        </w:rPr>
      </w:pPr>
      <w:r>
        <w:rPr>
          <w:rFonts w:ascii="Arial" w:cs="Arial" w:eastAsia="Arial" w:hAnsi="Arial"/>
          <w:sz w:val="12"/>
          <w:szCs w:val="12"/>
          <w:color w:val="auto"/>
        </w:rPr>
        <w:t>The following table sets forth information regarding outstanding stock options held by our named executive officers as of December 31, 2017. None of our named executive officers held unvested stock awards in our company as of that date.</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OUTSTANDING EQUITY AWARDS AT 2017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02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435"/>
              <w:spacing w:after="0"/>
              <w:rPr>
                <w:sz w:val="20"/>
                <w:szCs w:val="20"/>
                <w:color w:val="auto"/>
              </w:rPr>
            </w:pPr>
            <w:r>
              <w:rPr>
                <w:rFonts w:ascii="Arial" w:cs="Arial" w:eastAsia="Arial" w:hAnsi="Arial"/>
                <w:sz w:val="9"/>
                <w:szCs w:val="9"/>
                <w:b w:val="1"/>
                <w:bCs w:val="1"/>
                <w:color w:val="auto"/>
              </w:rPr>
              <w:t>Option Awards</w:t>
            </w:r>
          </w:p>
        </w:tc>
        <w:tc>
          <w:tcPr>
            <w:tcW w:w="5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101"/>
        </w:trPr>
        <w:tc>
          <w:tcPr>
            <w:tcW w:w="4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jc w:val="right"/>
              <w:ind w:right="355"/>
              <w:spacing w:after="0" w:line="101" w:lineRule="exact"/>
              <w:rPr>
                <w:sz w:val="20"/>
                <w:szCs w:val="20"/>
                <w:color w:val="auto"/>
              </w:rPr>
            </w:pPr>
            <w:r>
              <w:rPr>
                <w:rFonts w:ascii="Arial" w:cs="Arial" w:eastAsia="Arial" w:hAnsi="Arial"/>
                <w:sz w:val="9"/>
                <w:szCs w:val="9"/>
                <w:b w:val="1"/>
                <w:bCs w:val="1"/>
                <w:color w:val="auto"/>
              </w:rPr>
              <w:t>Number of</w:t>
            </w:r>
          </w:p>
        </w:tc>
        <w:tc>
          <w:tcPr>
            <w:tcW w:w="500" w:type="dxa"/>
            <w:vAlign w:val="bottom"/>
          </w:tcPr>
          <w:p>
            <w:pPr>
              <w:spacing w:after="0"/>
              <w:rPr>
                <w:sz w:val="8"/>
                <w:szCs w:val="8"/>
                <w:color w:val="auto"/>
              </w:rPr>
            </w:pPr>
          </w:p>
        </w:tc>
        <w:tc>
          <w:tcPr>
            <w:tcW w:w="1440" w:type="dxa"/>
            <w:vAlign w:val="bottom"/>
          </w:tcPr>
          <w:p>
            <w:pPr>
              <w:jc w:val="right"/>
              <w:ind w:right="355"/>
              <w:spacing w:after="0" w:line="101" w:lineRule="exact"/>
              <w:rPr>
                <w:sz w:val="20"/>
                <w:szCs w:val="20"/>
                <w:color w:val="auto"/>
              </w:rPr>
            </w:pPr>
            <w:r>
              <w:rPr>
                <w:rFonts w:ascii="Arial" w:cs="Arial" w:eastAsia="Arial" w:hAnsi="Arial"/>
                <w:sz w:val="9"/>
                <w:szCs w:val="9"/>
                <w:b w:val="1"/>
                <w:bCs w:val="1"/>
                <w:color w:val="auto"/>
              </w:rPr>
              <w:t>Number of</w:t>
            </w: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99"/>
        </w:trPr>
        <w:tc>
          <w:tcPr>
            <w:tcW w:w="4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jc w:val="center"/>
              <w:ind w:left="55"/>
              <w:spacing w:after="0" w:line="99" w:lineRule="exact"/>
              <w:rPr>
                <w:sz w:val="20"/>
                <w:szCs w:val="20"/>
                <w:color w:val="auto"/>
              </w:rPr>
            </w:pPr>
            <w:r>
              <w:rPr>
                <w:rFonts w:ascii="Arial" w:cs="Arial" w:eastAsia="Arial" w:hAnsi="Arial"/>
                <w:sz w:val="9"/>
                <w:szCs w:val="9"/>
                <w:b w:val="1"/>
                <w:bCs w:val="1"/>
                <w:color w:val="auto"/>
                <w:w w:val="99"/>
              </w:rPr>
              <w:t>securities</w:t>
            </w:r>
          </w:p>
        </w:tc>
        <w:tc>
          <w:tcPr>
            <w:tcW w:w="500" w:type="dxa"/>
            <w:vAlign w:val="bottom"/>
          </w:tcPr>
          <w:p>
            <w:pPr>
              <w:spacing w:after="0"/>
              <w:rPr>
                <w:sz w:val="8"/>
                <w:szCs w:val="8"/>
                <w:color w:val="auto"/>
              </w:rPr>
            </w:pPr>
          </w:p>
        </w:tc>
        <w:tc>
          <w:tcPr>
            <w:tcW w:w="1440" w:type="dxa"/>
            <w:vAlign w:val="bottom"/>
          </w:tcPr>
          <w:p>
            <w:pPr>
              <w:jc w:val="center"/>
              <w:ind w:left="135"/>
              <w:spacing w:after="0" w:line="99" w:lineRule="exact"/>
              <w:rPr>
                <w:sz w:val="20"/>
                <w:szCs w:val="20"/>
                <w:color w:val="auto"/>
              </w:rPr>
            </w:pPr>
            <w:r>
              <w:rPr>
                <w:rFonts w:ascii="Arial" w:cs="Arial" w:eastAsia="Arial" w:hAnsi="Arial"/>
                <w:sz w:val="9"/>
                <w:szCs w:val="9"/>
                <w:b w:val="1"/>
                <w:bCs w:val="1"/>
                <w:color w:val="auto"/>
                <w:w w:val="99"/>
              </w:rPr>
              <w:t>securities</w:t>
            </w: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99"/>
        </w:trPr>
        <w:tc>
          <w:tcPr>
            <w:tcW w:w="4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jc w:val="center"/>
              <w:ind w:left="55"/>
              <w:spacing w:after="0" w:line="99" w:lineRule="exact"/>
              <w:rPr>
                <w:sz w:val="20"/>
                <w:szCs w:val="20"/>
                <w:color w:val="auto"/>
              </w:rPr>
            </w:pPr>
            <w:r>
              <w:rPr>
                <w:rFonts w:ascii="Arial" w:cs="Arial" w:eastAsia="Arial" w:hAnsi="Arial"/>
                <w:sz w:val="9"/>
                <w:szCs w:val="9"/>
                <w:b w:val="1"/>
                <w:bCs w:val="1"/>
                <w:color w:val="auto"/>
                <w:w w:val="99"/>
              </w:rPr>
              <w:t>underlying</w:t>
            </w:r>
          </w:p>
        </w:tc>
        <w:tc>
          <w:tcPr>
            <w:tcW w:w="500" w:type="dxa"/>
            <w:vAlign w:val="bottom"/>
          </w:tcPr>
          <w:p>
            <w:pPr>
              <w:spacing w:after="0"/>
              <w:rPr>
                <w:sz w:val="8"/>
                <w:szCs w:val="8"/>
                <w:color w:val="auto"/>
              </w:rPr>
            </w:pPr>
          </w:p>
        </w:tc>
        <w:tc>
          <w:tcPr>
            <w:tcW w:w="1440" w:type="dxa"/>
            <w:vAlign w:val="bottom"/>
          </w:tcPr>
          <w:p>
            <w:pPr>
              <w:jc w:val="center"/>
              <w:ind w:left="135"/>
              <w:spacing w:after="0" w:line="99" w:lineRule="exact"/>
              <w:rPr>
                <w:sz w:val="20"/>
                <w:szCs w:val="20"/>
                <w:color w:val="auto"/>
              </w:rPr>
            </w:pPr>
            <w:r>
              <w:rPr>
                <w:rFonts w:ascii="Arial" w:cs="Arial" w:eastAsia="Arial" w:hAnsi="Arial"/>
                <w:sz w:val="9"/>
                <w:szCs w:val="9"/>
                <w:b w:val="1"/>
                <w:bCs w:val="1"/>
                <w:color w:val="auto"/>
                <w:w w:val="99"/>
              </w:rPr>
              <w:t>underlying</w:t>
            </w: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99"/>
        </w:trPr>
        <w:tc>
          <w:tcPr>
            <w:tcW w:w="4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jc w:val="center"/>
              <w:ind w:left="35"/>
              <w:spacing w:after="0" w:line="99" w:lineRule="exact"/>
              <w:rPr>
                <w:sz w:val="20"/>
                <w:szCs w:val="20"/>
                <w:color w:val="auto"/>
              </w:rPr>
            </w:pPr>
            <w:r>
              <w:rPr>
                <w:rFonts w:ascii="Arial" w:cs="Arial" w:eastAsia="Arial" w:hAnsi="Arial"/>
                <w:sz w:val="9"/>
                <w:szCs w:val="9"/>
                <w:b w:val="1"/>
                <w:bCs w:val="1"/>
                <w:color w:val="auto"/>
                <w:w w:val="98"/>
              </w:rPr>
              <w:t>unexercised</w:t>
            </w:r>
          </w:p>
        </w:tc>
        <w:tc>
          <w:tcPr>
            <w:tcW w:w="500" w:type="dxa"/>
            <w:vAlign w:val="bottom"/>
          </w:tcPr>
          <w:p>
            <w:pPr>
              <w:spacing w:after="0"/>
              <w:rPr>
                <w:sz w:val="8"/>
                <w:szCs w:val="8"/>
                <w:color w:val="auto"/>
              </w:rPr>
            </w:pPr>
          </w:p>
        </w:tc>
        <w:tc>
          <w:tcPr>
            <w:tcW w:w="1440" w:type="dxa"/>
            <w:vAlign w:val="bottom"/>
          </w:tcPr>
          <w:p>
            <w:pPr>
              <w:jc w:val="center"/>
              <w:ind w:left="115"/>
              <w:spacing w:after="0" w:line="99" w:lineRule="exact"/>
              <w:rPr>
                <w:sz w:val="20"/>
                <w:szCs w:val="20"/>
                <w:color w:val="auto"/>
              </w:rPr>
            </w:pPr>
            <w:r>
              <w:rPr>
                <w:rFonts w:ascii="Arial" w:cs="Arial" w:eastAsia="Arial" w:hAnsi="Arial"/>
                <w:sz w:val="9"/>
                <w:szCs w:val="9"/>
                <w:b w:val="1"/>
                <w:bCs w:val="1"/>
                <w:color w:val="auto"/>
                <w:w w:val="98"/>
              </w:rPr>
              <w:t>unexercised</w:t>
            </w:r>
          </w:p>
        </w:tc>
        <w:tc>
          <w:tcPr>
            <w:tcW w:w="580" w:type="dxa"/>
            <w:vAlign w:val="bottom"/>
          </w:tcPr>
          <w:p>
            <w:pPr>
              <w:spacing w:after="0"/>
              <w:rPr>
                <w:sz w:val="8"/>
                <w:szCs w:val="8"/>
                <w:color w:val="auto"/>
              </w:rPr>
            </w:pPr>
          </w:p>
        </w:tc>
        <w:tc>
          <w:tcPr>
            <w:tcW w:w="1340" w:type="dxa"/>
            <w:vAlign w:val="bottom"/>
          </w:tcPr>
          <w:p>
            <w:pPr>
              <w:jc w:val="right"/>
              <w:ind w:right="535"/>
              <w:spacing w:after="0" w:line="99" w:lineRule="exact"/>
              <w:rPr>
                <w:sz w:val="20"/>
                <w:szCs w:val="20"/>
                <w:color w:val="auto"/>
              </w:rPr>
            </w:pPr>
            <w:r>
              <w:rPr>
                <w:rFonts w:ascii="Arial" w:cs="Arial" w:eastAsia="Arial" w:hAnsi="Arial"/>
                <w:sz w:val="9"/>
                <w:szCs w:val="9"/>
                <w:b w:val="1"/>
                <w:bCs w:val="1"/>
                <w:color w:val="auto"/>
              </w:rPr>
              <w:t>Option</w:t>
            </w:r>
          </w:p>
        </w:tc>
        <w:tc>
          <w:tcPr>
            <w:tcW w:w="1020" w:type="dxa"/>
            <w:vAlign w:val="bottom"/>
          </w:tcPr>
          <w:p>
            <w:pPr>
              <w:jc w:val="right"/>
              <w:ind w:right="315"/>
              <w:spacing w:after="0" w:line="99" w:lineRule="exact"/>
              <w:rPr>
                <w:sz w:val="20"/>
                <w:szCs w:val="20"/>
                <w:color w:val="auto"/>
              </w:rPr>
            </w:pPr>
            <w:r>
              <w:rPr>
                <w:rFonts w:ascii="Arial" w:cs="Arial" w:eastAsia="Arial" w:hAnsi="Arial"/>
                <w:sz w:val="9"/>
                <w:szCs w:val="9"/>
                <w:b w:val="1"/>
                <w:bCs w:val="1"/>
                <w:color w:val="auto"/>
              </w:rPr>
              <w:t>Option</w:t>
            </w:r>
          </w:p>
        </w:tc>
      </w:tr>
      <w:tr>
        <w:trPr>
          <w:trHeight w:val="99"/>
        </w:trPr>
        <w:tc>
          <w:tcPr>
            <w:tcW w:w="4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jc w:val="center"/>
              <w:ind w:left="55"/>
              <w:spacing w:after="0" w:line="99" w:lineRule="exact"/>
              <w:rPr>
                <w:sz w:val="20"/>
                <w:szCs w:val="20"/>
                <w:color w:val="auto"/>
              </w:rPr>
            </w:pPr>
            <w:r>
              <w:rPr>
                <w:rFonts w:ascii="Arial" w:cs="Arial" w:eastAsia="Arial" w:hAnsi="Arial"/>
                <w:sz w:val="9"/>
                <w:szCs w:val="9"/>
                <w:b w:val="1"/>
                <w:bCs w:val="1"/>
                <w:color w:val="auto"/>
                <w:w w:val="99"/>
              </w:rPr>
              <w:t>options (#)</w:t>
            </w:r>
          </w:p>
        </w:tc>
        <w:tc>
          <w:tcPr>
            <w:tcW w:w="500" w:type="dxa"/>
            <w:vAlign w:val="bottom"/>
          </w:tcPr>
          <w:p>
            <w:pPr>
              <w:spacing w:after="0"/>
              <w:rPr>
                <w:sz w:val="8"/>
                <w:szCs w:val="8"/>
                <w:color w:val="auto"/>
              </w:rPr>
            </w:pPr>
          </w:p>
        </w:tc>
        <w:tc>
          <w:tcPr>
            <w:tcW w:w="1440" w:type="dxa"/>
            <w:vAlign w:val="bottom"/>
          </w:tcPr>
          <w:p>
            <w:pPr>
              <w:jc w:val="center"/>
              <w:ind w:left="135"/>
              <w:spacing w:after="0" w:line="99" w:lineRule="exact"/>
              <w:rPr>
                <w:sz w:val="20"/>
                <w:szCs w:val="20"/>
                <w:color w:val="auto"/>
              </w:rPr>
            </w:pPr>
            <w:r>
              <w:rPr>
                <w:rFonts w:ascii="Arial" w:cs="Arial" w:eastAsia="Arial" w:hAnsi="Arial"/>
                <w:sz w:val="9"/>
                <w:szCs w:val="9"/>
                <w:b w:val="1"/>
                <w:bCs w:val="1"/>
                <w:color w:val="auto"/>
                <w:w w:val="99"/>
              </w:rPr>
              <w:t>options (#)</w:t>
            </w:r>
          </w:p>
        </w:tc>
        <w:tc>
          <w:tcPr>
            <w:tcW w:w="580" w:type="dxa"/>
            <w:vAlign w:val="bottom"/>
          </w:tcPr>
          <w:p>
            <w:pPr>
              <w:spacing w:after="0"/>
              <w:rPr>
                <w:sz w:val="8"/>
                <w:szCs w:val="8"/>
                <w:color w:val="auto"/>
              </w:rPr>
            </w:pPr>
          </w:p>
        </w:tc>
        <w:tc>
          <w:tcPr>
            <w:tcW w:w="1340" w:type="dxa"/>
            <w:vAlign w:val="bottom"/>
          </w:tcPr>
          <w:p>
            <w:pPr>
              <w:jc w:val="right"/>
              <w:ind w:right="515"/>
              <w:spacing w:after="0" w:line="99" w:lineRule="exact"/>
              <w:rPr>
                <w:sz w:val="20"/>
                <w:szCs w:val="20"/>
                <w:color w:val="auto"/>
              </w:rPr>
            </w:pPr>
            <w:r>
              <w:rPr>
                <w:rFonts w:ascii="Arial" w:cs="Arial" w:eastAsia="Arial" w:hAnsi="Arial"/>
                <w:sz w:val="9"/>
                <w:szCs w:val="9"/>
                <w:b w:val="1"/>
                <w:bCs w:val="1"/>
                <w:color w:val="auto"/>
              </w:rPr>
              <w:t>exercise</w:t>
            </w:r>
          </w:p>
        </w:tc>
        <w:tc>
          <w:tcPr>
            <w:tcW w:w="1020" w:type="dxa"/>
            <w:vAlign w:val="bottom"/>
          </w:tcPr>
          <w:p>
            <w:pPr>
              <w:jc w:val="right"/>
              <w:ind w:right="255"/>
              <w:spacing w:after="0" w:line="99" w:lineRule="exact"/>
              <w:rPr>
                <w:sz w:val="20"/>
                <w:szCs w:val="20"/>
                <w:color w:val="auto"/>
              </w:rPr>
            </w:pPr>
            <w:r>
              <w:rPr>
                <w:rFonts w:ascii="Arial" w:cs="Arial" w:eastAsia="Arial" w:hAnsi="Arial"/>
                <w:sz w:val="9"/>
                <w:szCs w:val="9"/>
                <w:b w:val="1"/>
                <w:bCs w:val="1"/>
                <w:color w:val="auto"/>
              </w:rPr>
              <w:t>expiration</w:t>
            </w:r>
          </w:p>
        </w:tc>
      </w:tr>
      <w:tr>
        <w:trPr>
          <w:trHeight w:val="123"/>
        </w:trPr>
        <w:tc>
          <w:tcPr>
            <w:tcW w:w="4020" w:type="dxa"/>
            <w:vAlign w:val="bottom"/>
            <w:tcBorders>
              <w:bottom w:val="single" w:sz="8" w:color="auto"/>
            </w:tcBorders>
          </w:tcPr>
          <w:p>
            <w:pPr>
              <w:ind w:left="1880"/>
              <w:spacing w:after="0"/>
              <w:rPr>
                <w:sz w:val="20"/>
                <w:szCs w:val="20"/>
                <w:color w:val="auto"/>
              </w:rPr>
            </w:pPr>
            <w:r>
              <w:rPr>
                <w:rFonts w:ascii="Arial" w:cs="Arial" w:eastAsia="Arial" w:hAnsi="Arial"/>
                <w:sz w:val="9"/>
                <w:szCs w:val="9"/>
                <w:b w:val="1"/>
                <w:bCs w:val="1"/>
                <w:color w:val="auto"/>
              </w:rPr>
              <w:t>Name</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9"/>
                <w:szCs w:val="9"/>
                <w:b w:val="1"/>
                <w:bCs w:val="1"/>
                <w:color w:val="auto"/>
              </w:rPr>
              <w:t>Grant date</w:t>
            </w:r>
          </w:p>
        </w:tc>
        <w:tc>
          <w:tcPr>
            <w:tcW w:w="1360" w:type="dxa"/>
            <w:vAlign w:val="bottom"/>
            <w:tcBorders>
              <w:bottom w:val="single" w:sz="8" w:color="auto"/>
            </w:tcBorders>
          </w:tcPr>
          <w:p>
            <w:pPr>
              <w:jc w:val="center"/>
              <w:ind w:left="35"/>
              <w:spacing w:after="0"/>
              <w:rPr>
                <w:sz w:val="20"/>
                <w:szCs w:val="20"/>
                <w:color w:val="auto"/>
              </w:rPr>
            </w:pPr>
            <w:r>
              <w:rPr>
                <w:rFonts w:ascii="Arial" w:cs="Arial" w:eastAsia="Arial" w:hAnsi="Arial"/>
                <w:sz w:val="9"/>
                <w:szCs w:val="9"/>
                <w:b w:val="1"/>
                <w:bCs w:val="1"/>
                <w:color w:val="auto"/>
                <w:w w:val="99"/>
              </w:rPr>
              <w:t>exercisable(1)</w:t>
            </w:r>
          </w:p>
        </w:tc>
        <w:tc>
          <w:tcPr>
            <w:tcW w:w="5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center"/>
              <w:ind w:left="115"/>
              <w:spacing w:after="0"/>
              <w:rPr>
                <w:sz w:val="20"/>
                <w:szCs w:val="20"/>
                <w:color w:val="auto"/>
              </w:rPr>
            </w:pPr>
            <w:r>
              <w:rPr>
                <w:rFonts w:ascii="Arial" w:cs="Arial" w:eastAsia="Arial" w:hAnsi="Arial"/>
                <w:sz w:val="9"/>
                <w:szCs w:val="9"/>
                <w:b w:val="1"/>
                <w:bCs w:val="1"/>
                <w:color w:val="auto"/>
                <w:w w:val="99"/>
              </w:rPr>
              <w:t>unexercisable</w:t>
            </w:r>
          </w:p>
        </w:tc>
        <w:tc>
          <w:tcPr>
            <w:tcW w:w="5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9"/>
                <w:szCs w:val="9"/>
                <w:b w:val="1"/>
                <w:bCs w:val="1"/>
                <w:color w:val="auto"/>
              </w:rPr>
              <w:t>price ($)</w:t>
            </w: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9"/>
                <w:szCs w:val="9"/>
                <w:b w:val="1"/>
                <w:bCs w:val="1"/>
                <w:color w:val="auto"/>
              </w:rPr>
              <w:t>date</w:t>
            </w:r>
          </w:p>
        </w:tc>
      </w:tr>
      <w:tr>
        <w:trPr>
          <w:trHeight w:val="174"/>
        </w:trPr>
        <w:tc>
          <w:tcPr>
            <w:tcW w:w="4020" w:type="dxa"/>
            <w:vAlign w:val="bottom"/>
            <w:shd w:val="clear" w:color="auto" w:fill="CCEEFF"/>
          </w:tcPr>
          <w:p>
            <w:pPr>
              <w:ind w:left="20"/>
              <w:spacing w:after="0"/>
              <w:rPr>
                <w:sz w:val="20"/>
                <w:szCs w:val="20"/>
                <w:color w:val="auto"/>
              </w:rPr>
            </w:pPr>
            <w:r>
              <w:rPr>
                <w:rFonts w:ascii="Arial" w:cs="Arial" w:eastAsia="Arial" w:hAnsi="Arial"/>
                <w:sz w:val="9"/>
                <w:szCs w:val="9"/>
                <w:color w:val="auto"/>
              </w:rPr>
              <w:t>Werner Cautreels, Ph.D.</w:t>
            </w:r>
          </w:p>
        </w:tc>
        <w:tc>
          <w:tcPr>
            <w:tcW w:w="1220" w:type="dxa"/>
            <w:vAlign w:val="bottom"/>
            <w:shd w:val="clear" w:color="auto" w:fill="CCEEFF"/>
          </w:tcPr>
          <w:p>
            <w:pPr>
              <w:jc w:val="center"/>
              <w:ind w:right="35"/>
              <w:spacing w:after="0"/>
              <w:rPr>
                <w:sz w:val="20"/>
                <w:szCs w:val="20"/>
                <w:color w:val="auto"/>
              </w:rPr>
            </w:pPr>
            <w:r>
              <w:rPr>
                <w:rFonts w:ascii="Arial" w:cs="Arial" w:eastAsia="Arial" w:hAnsi="Arial"/>
                <w:sz w:val="9"/>
                <w:szCs w:val="9"/>
                <w:color w:val="auto"/>
                <w:w w:val="96"/>
              </w:rPr>
              <w:t>7/7/2017</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100,000</w:t>
            </w:r>
          </w:p>
        </w:tc>
        <w:tc>
          <w:tcPr>
            <w:tcW w:w="58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19.33</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7/7/2027</w:t>
            </w:r>
          </w:p>
        </w:tc>
      </w:tr>
      <w:tr>
        <w:trPr>
          <w:trHeight w:val="175"/>
        </w:trPr>
        <w:tc>
          <w:tcPr>
            <w:tcW w:w="4020" w:type="dxa"/>
            <w:vAlign w:val="bottom"/>
          </w:tcPr>
          <w:p>
            <w:pPr>
              <w:spacing w:after="0"/>
              <w:rPr>
                <w:sz w:val="15"/>
                <w:szCs w:val="15"/>
                <w:color w:val="auto"/>
              </w:rPr>
            </w:pPr>
          </w:p>
        </w:tc>
        <w:tc>
          <w:tcPr>
            <w:tcW w:w="1220" w:type="dxa"/>
            <w:vAlign w:val="bottom"/>
          </w:tcPr>
          <w:p>
            <w:pPr>
              <w:jc w:val="center"/>
              <w:ind w:right="15"/>
              <w:spacing w:after="0"/>
              <w:rPr>
                <w:sz w:val="20"/>
                <w:szCs w:val="20"/>
                <w:color w:val="auto"/>
              </w:rPr>
            </w:pPr>
            <w:r>
              <w:rPr>
                <w:rFonts w:ascii="Arial" w:cs="Arial" w:eastAsia="Arial" w:hAnsi="Arial"/>
                <w:sz w:val="9"/>
                <w:szCs w:val="9"/>
                <w:color w:val="auto"/>
                <w:w w:val="99"/>
              </w:rPr>
              <w:t>6/21/2016</w:t>
            </w:r>
          </w:p>
        </w:tc>
        <w:tc>
          <w:tcPr>
            <w:tcW w:w="1360" w:type="dxa"/>
            <w:vAlign w:val="bottom"/>
          </w:tcPr>
          <w:p>
            <w:pPr>
              <w:jc w:val="right"/>
              <w:ind w:right="15"/>
              <w:spacing w:after="0"/>
              <w:rPr>
                <w:sz w:val="20"/>
                <w:szCs w:val="20"/>
                <w:color w:val="auto"/>
              </w:rPr>
            </w:pPr>
            <w:r>
              <w:rPr>
                <w:rFonts w:ascii="Arial" w:cs="Arial" w:eastAsia="Arial" w:hAnsi="Arial"/>
                <w:sz w:val="9"/>
                <w:szCs w:val="9"/>
                <w:color w:val="auto"/>
              </w:rPr>
              <w:t>43,271</w:t>
            </w:r>
          </w:p>
        </w:tc>
        <w:tc>
          <w:tcPr>
            <w:tcW w:w="500" w:type="dxa"/>
            <w:vAlign w:val="bottom"/>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tcPr>
          <w:p>
            <w:pPr>
              <w:jc w:val="right"/>
              <w:ind w:right="15"/>
              <w:spacing w:after="0"/>
              <w:rPr>
                <w:sz w:val="20"/>
                <w:szCs w:val="20"/>
                <w:color w:val="auto"/>
              </w:rPr>
            </w:pPr>
            <w:r>
              <w:rPr>
                <w:rFonts w:ascii="Arial" w:cs="Arial" w:eastAsia="Arial" w:hAnsi="Arial"/>
                <w:sz w:val="9"/>
                <w:szCs w:val="9"/>
                <w:color w:val="auto"/>
              </w:rPr>
              <w:t>72,113</w:t>
            </w:r>
          </w:p>
        </w:tc>
        <w:tc>
          <w:tcPr>
            <w:tcW w:w="580" w:type="dxa"/>
            <w:vAlign w:val="bottom"/>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tcPr>
          <w:p>
            <w:pPr>
              <w:jc w:val="right"/>
              <w:ind w:right="235"/>
              <w:spacing w:after="0"/>
              <w:rPr>
                <w:sz w:val="20"/>
                <w:szCs w:val="20"/>
                <w:color w:val="auto"/>
              </w:rPr>
            </w:pPr>
            <w:r>
              <w:rPr>
                <w:rFonts w:ascii="Arial" w:cs="Arial" w:eastAsia="Arial" w:hAnsi="Arial"/>
                <w:sz w:val="9"/>
                <w:szCs w:val="9"/>
                <w:color w:val="auto"/>
              </w:rPr>
              <w:t>14.00</w:t>
            </w:r>
          </w:p>
        </w:tc>
        <w:tc>
          <w:tcPr>
            <w:tcW w:w="1020" w:type="dxa"/>
            <w:vAlign w:val="bottom"/>
          </w:tcPr>
          <w:p>
            <w:pPr>
              <w:jc w:val="right"/>
              <w:spacing w:after="0"/>
              <w:rPr>
                <w:sz w:val="20"/>
                <w:szCs w:val="20"/>
                <w:color w:val="auto"/>
              </w:rPr>
            </w:pPr>
            <w:r>
              <w:rPr>
                <w:rFonts w:ascii="Arial" w:cs="Arial" w:eastAsia="Arial" w:hAnsi="Arial"/>
                <w:sz w:val="9"/>
                <w:szCs w:val="9"/>
                <w:color w:val="auto"/>
              </w:rPr>
              <w:t>6/21/2026</w:t>
            </w:r>
          </w:p>
        </w:tc>
      </w:tr>
      <w:tr>
        <w:trPr>
          <w:trHeight w:val="185"/>
        </w:trPr>
        <w:tc>
          <w:tcPr>
            <w:tcW w:w="40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15"/>
              <w:spacing w:after="0"/>
              <w:rPr>
                <w:sz w:val="20"/>
                <w:szCs w:val="20"/>
                <w:color w:val="auto"/>
              </w:rPr>
            </w:pPr>
            <w:r>
              <w:rPr>
                <w:rFonts w:ascii="Arial" w:cs="Arial" w:eastAsia="Arial" w:hAnsi="Arial"/>
                <w:sz w:val="9"/>
                <w:szCs w:val="9"/>
                <w:color w:val="auto"/>
                <w:w w:val="99"/>
              </w:rPr>
              <w:t>12/4/2015</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61,554</w:t>
            </w:r>
          </w:p>
        </w:tc>
        <w:tc>
          <w:tcPr>
            <w:tcW w:w="50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61,522</w:t>
            </w:r>
          </w:p>
        </w:tc>
        <w:tc>
          <w:tcPr>
            <w:tcW w:w="58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6.40</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12/4/2025</w:t>
            </w:r>
          </w:p>
        </w:tc>
      </w:tr>
      <w:tr>
        <w:trPr>
          <w:trHeight w:val="175"/>
        </w:trPr>
        <w:tc>
          <w:tcPr>
            <w:tcW w:w="4020" w:type="dxa"/>
            <w:vAlign w:val="bottom"/>
          </w:tcPr>
          <w:p>
            <w:pPr>
              <w:spacing w:after="0"/>
              <w:rPr>
                <w:sz w:val="15"/>
                <w:szCs w:val="15"/>
                <w:color w:val="auto"/>
              </w:rPr>
            </w:pPr>
          </w:p>
        </w:tc>
        <w:tc>
          <w:tcPr>
            <w:tcW w:w="1220" w:type="dxa"/>
            <w:vAlign w:val="bottom"/>
          </w:tcPr>
          <w:p>
            <w:pPr>
              <w:jc w:val="center"/>
              <w:ind w:right="35"/>
              <w:spacing w:after="0"/>
              <w:rPr>
                <w:sz w:val="20"/>
                <w:szCs w:val="20"/>
                <w:color w:val="auto"/>
              </w:rPr>
            </w:pPr>
            <w:r>
              <w:rPr>
                <w:rFonts w:ascii="Arial" w:cs="Arial" w:eastAsia="Arial" w:hAnsi="Arial"/>
                <w:sz w:val="9"/>
                <w:szCs w:val="9"/>
                <w:color w:val="auto"/>
                <w:w w:val="96"/>
              </w:rPr>
              <w:t>4/8/2014</w:t>
            </w:r>
          </w:p>
        </w:tc>
        <w:tc>
          <w:tcPr>
            <w:tcW w:w="1360" w:type="dxa"/>
            <w:vAlign w:val="bottom"/>
          </w:tcPr>
          <w:p>
            <w:pPr>
              <w:jc w:val="right"/>
              <w:ind w:right="15"/>
              <w:spacing w:after="0"/>
              <w:rPr>
                <w:sz w:val="20"/>
                <w:szCs w:val="20"/>
                <w:color w:val="auto"/>
              </w:rPr>
            </w:pPr>
            <w:r>
              <w:rPr>
                <w:rFonts w:ascii="Arial" w:cs="Arial" w:eastAsia="Arial" w:hAnsi="Arial"/>
                <w:sz w:val="9"/>
                <w:szCs w:val="9"/>
                <w:color w:val="auto"/>
              </w:rPr>
              <w:t>56,490</w:t>
            </w:r>
          </w:p>
        </w:tc>
        <w:tc>
          <w:tcPr>
            <w:tcW w:w="500" w:type="dxa"/>
            <w:vAlign w:val="bottom"/>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tcPr>
          <w:p>
            <w:pPr>
              <w:jc w:val="right"/>
              <w:ind w:right="15"/>
              <w:spacing w:after="0"/>
              <w:rPr>
                <w:sz w:val="20"/>
                <w:szCs w:val="20"/>
                <w:color w:val="auto"/>
              </w:rPr>
            </w:pPr>
            <w:r>
              <w:rPr>
                <w:rFonts w:ascii="Arial" w:cs="Arial" w:eastAsia="Arial" w:hAnsi="Arial"/>
                <w:sz w:val="9"/>
                <w:szCs w:val="9"/>
                <w:color w:val="auto"/>
              </w:rPr>
              <w:t>1,202</w:t>
            </w:r>
          </w:p>
        </w:tc>
        <w:tc>
          <w:tcPr>
            <w:tcW w:w="580" w:type="dxa"/>
            <w:vAlign w:val="bottom"/>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tcPr>
          <w:p>
            <w:pPr>
              <w:jc w:val="right"/>
              <w:ind w:right="235"/>
              <w:spacing w:after="0"/>
              <w:rPr>
                <w:sz w:val="20"/>
                <w:szCs w:val="20"/>
                <w:color w:val="auto"/>
              </w:rPr>
            </w:pPr>
            <w:r>
              <w:rPr>
                <w:rFonts w:ascii="Arial" w:cs="Arial" w:eastAsia="Arial" w:hAnsi="Arial"/>
                <w:sz w:val="9"/>
                <w:szCs w:val="9"/>
                <w:color w:val="auto"/>
              </w:rPr>
              <w:t>8.97</w:t>
            </w:r>
          </w:p>
        </w:tc>
        <w:tc>
          <w:tcPr>
            <w:tcW w:w="1020" w:type="dxa"/>
            <w:vAlign w:val="bottom"/>
          </w:tcPr>
          <w:p>
            <w:pPr>
              <w:jc w:val="right"/>
              <w:spacing w:after="0"/>
              <w:rPr>
                <w:sz w:val="20"/>
                <w:szCs w:val="20"/>
                <w:color w:val="auto"/>
              </w:rPr>
            </w:pPr>
            <w:r>
              <w:rPr>
                <w:rFonts w:ascii="Arial" w:cs="Arial" w:eastAsia="Arial" w:hAnsi="Arial"/>
                <w:sz w:val="9"/>
                <w:szCs w:val="9"/>
                <w:color w:val="auto"/>
              </w:rPr>
              <w:t>4/8/2024</w:t>
            </w:r>
          </w:p>
        </w:tc>
      </w:tr>
      <w:tr>
        <w:trPr>
          <w:trHeight w:val="185"/>
        </w:trPr>
        <w:tc>
          <w:tcPr>
            <w:tcW w:w="40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15"/>
              <w:spacing w:after="0"/>
              <w:rPr>
                <w:sz w:val="20"/>
                <w:szCs w:val="20"/>
                <w:color w:val="auto"/>
              </w:rPr>
            </w:pPr>
            <w:r>
              <w:rPr>
                <w:rFonts w:ascii="Arial" w:cs="Arial" w:eastAsia="Arial" w:hAnsi="Arial"/>
                <w:sz w:val="9"/>
                <w:szCs w:val="9"/>
                <w:color w:val="auto"/>
                <w:w w:val="99"/>
              </w:rPr>
              <w:t>6/14/2013</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16,613</w:t>
            </w:r>
          </w:p>
        </w:tc>
        <w:tc>
          <w:tcPr>
            <w:tcW w:w="5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2.77</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6/14/2023</w:t>
            </w:r>
          </w:p>
        </w:tc>
      </w:tr>
      <w:tr>
        <w:trPr>
          <w:trHeight w:val="175"/>
        </w:trPr>
        <w:tc>
          <w:tcPr>
            <w:tcW w:w="4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color w:val="auto"/>
                <w:w w:val="99"/>
              </w:rPr>
              <w:t>3/30/2012</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41,025</w:t>
            </w:r>
          </w:p>
        </w:tc>
        <w:tc>
          <w:tcPr>
            <w:tcW w:w="5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color w:val="auto"/>
              </w:rPr>
              <w:t>3.44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3/30/2022</w:t>
            </w:r>
          </w:p>
        </w:tc>
      </w:tr>
      <w:tr>
        <w:trPr>
          <w:trHeight w:val="16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John Leaman, M.D.</w:t>
            </w:r>
          </w:p>
        </w:tc>
        <w:tc>
          <w:tcPr>
            <w:tcW w:w="122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9"/>
                <w:szCs w:val="9"/>
                <w:color w:val="auto"/>
              </w:rPr>
              <w:t>11/17/2017</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220,000</w:t>
            </w:r>
          </w:p>
        </w:tc>
        <w:tc>
          <w:tcPr>
            <w:tcW w:w="5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9"/>
                <w:szCs w:val="9"/>
                <w:color w:val="auto"/>
              </w:rPr>
              <w:t>10.23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11/17/2027</w:t>
            </w:r>
          </w:p>
        </w:tc>
      </w:tr>
      <w:tr>
        <w:trPr>
          <w:trHeight w:val="169"/>
        </w:trPr>
        <w:tc>
          <w:tcPr>
            <w:tcW w:w="4020" w:type="dxa"/>
            <w:vAlign w:val="bottom"/>
          </w:tcPr>
          <w:p>
            <w:pPr>
              <w:ind w:left="20"/>
              <w:spacing w:after="0"/>
              <w:rPr>
                <w:sz w:val="20"/>
                <w:szCs w:val="20"/>
                <w:color w:val="auto"/>
              </w:rPr>
            </w:pPr>
            <w:r>
              <w:rPr>
                <w:rFonts w:ascii="Arial" w:cs="Arial" w:eastAsia="Arial" w:hAnsi="Arial"/>
                <w:sz w:val="9"/>
                <w:szCs w:val="9"/>
                <w:color w:val="auto"/>
              </w:rPr>
              <w:t>Lloyd Johnston, Ph.D.</w:t>
            </w:r>
          </w:p>
        </w:tc>
        <w:tc>
          <w:tcPr>
            <w:tcW w:w="1220" w:type="dxa"/>
            <w:vAlign w:val="bottom"/>
          </w:tcPr>
          <w:p>
            <w:pPr>
              <w:jc w:val="center"/>
              <w:ind w:right="35"/>
              <w:spacing w:after="0"/>
              <w:rPr>
                <w:sz w:val="20"/>
                <w:szCs w:val="20"/>
                <w:color w:val="auto"/>
              </w:rPr>
            </w:pPr>
            <w:r>
              <w:rPr>
                <w:rFonts w:ascii="Arial" w:cs="Arial" w:eastAsia="Arial" w:hAnsi="Arial"/>
                <w:sz w:val="9"/>
                <w:szCs w:val="9"/>
                <w:color w:val="auto"/>
                <w:w w:val="96"/>
              </w:rPr>
              <w:t>7/7/2017</w:t>
            </w:r>
          </w:p>
        </w:tc>
        <w:tc>
          <w:tcPr>
            <w:tcW w:w="13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4"/>
                <w:szCs w:val="14"/>
                <w:color w:val="auto"/>
              </w:rPr>
            </w:pPr>
          </w:p>
        </w:tc>
        <w:tc>
          <w:tcPr>
            <w:tcW w:w="1440" w:type="dxa"/>
            <w:vAlign w:val="bottom"/>
          </w:tcPr>
          <w:p>
            <w:pPr>
              <w:jc w:val="right"/>
              <w:ind w:right="15"/>
              <w:spacing w:after="0"/>
              <w:rPr>
                <w:sz w:val="20"/>
                <w:szCs w:val="20"/>
                <w:color w:val="auto"/>
              </w:rPr>
            </w:pPr>
            <w:r>
              <w:rPr>
                <w:rFonts w:ascii="Arial" w:cs="Arial" w:eastAsia="Arial" w:hAnsi="Arial"/>
                <w:sz w:val="9"/>
                <w:szCs w:val="9"/>
                <w:color w:val="auto"/>
              </w:rPr>
              <w:t>45,000</w:t>
            </w:r>
          </w:p>
        </w:tc>
        <w:tc>
          <w:tcPr>
            <w:tcW w:w="580" w:type="dxa"/>
            <w:vAlign w:val="bottom"/>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tcPr>
          <w:p>
            <w:pPr>
              <w:jc w:val="right"/>
              <w:ind w:right="235"/>
              <w:spacing w:after="0"/>
              <w:rPr>
                <w:sz w:val="20"/>
                <w:szCs w:val="20"/>
                <w:color w:val="auto"/>
              </w:rPr>
            </w:pPr>
            <w:r>
              <w:rPr>
                <w:rFonts w:ascii="Arial" w:cs="Arial" w:eastAsia="Arial" w:hAnsi="Arial"/>
                <w:sz w:val="9"/>
                <w:szCs w:val="9"/>
                <w:color w:val="auto"/>
              </w:rPr>
              <w:t>19.33</w:t>
            </w:r>
          </w:p>
        </w:tc>
        <w:tc>
          <w:tcPr>
            <w:tcW w:w="1020" w:type="dxa"/>
            <w:vAlign w:val="bottom"/>
          </w:tcPr>
          <w:p>
            <w:pPr>
              <w:jc w:val="right"/>
              <w:spacing w:after="0"/>
              <w:rPr>
                <w:sz w:val="20"/>
                <w:szCs w:val="20"/>
                <w:color w:val="auto"/>
              </w:rPr>
            </w:pPr>
            <w:r>
              <w:rPr>
                <w:rFonts w:ascii="Arial" w:cs="Arial" w:eastAsia="Arial" w:hAnsi="Arial"/>
                <w:sz w:val="9"/>
                <w:szCs w:val="9"/>
                <w:color w:val="auto"/>
              </w:rPr>
              <w:t>7/7/2027</w:t>
            </w:r>
          </w:p>
        </w:tc>
      </w:tr>
      <w:tr>
        <w:trPr>
          <w:trHeight w:val="185"/>
        </w:trPr>
        <w:tc>
          <w:tcPr>
            <w:tcW w:w="40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15"/>
              <w:spacing w:after="0"/>
              <w:rPr>
                <w:sz w:val="20"/>
                <w:szCs w:val="20"/>
                <w:color w:val="auto"/>
              </w:rPr>
            </w:pPr>
            <w:r>
              <w:rPr>
                <w:rFonts w:ascii="Arial" w:cs="Arial" w:eastAsia="Arial" w:hAnsi="Arial"/>
                <w:sz w:val="9"/>
                <w:szCs w:val="9"/>
                <w:color w:val="auto"/>
                <w:w w:val="99"/>
              </w:rPr>
              <w:t>6/21/2016</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10,357</w:t>
            </w:r>
          </w:p>
        </w:tc>
        <w:tc>
          <w:tcPr>
            <w:tcW w:w="50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17,260</w:t>
            </w:r>
          </w:p>
        </w:tc>
        <w:tc>
          <w:tcPr>
            <w:tcW w:w="58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14.00</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6/21/2026</w:t>
            </w:r>
          </w:p>
        </w:tc>
      </w:tr>
      <w:tr>
        <w:trPr>
          <w:trHeight w:val="175"/>
        </w:trPr>
        <w:tc>
          <w:tcPr>
            <w:tcW w:w="4020" w:type="dxa"/>
            <w:vAlign w:val="bottom"/>
          </w:tcPr>
          <w:p>
            <w:pPr>
              <w:spacing w:after="0"/>
              <w:rPr>
                <w:sz w:val="15"/>
                <w:szCs w:val="15"/>
                <w:color w:val="auto"/>
              </w:rPr>
            </w:pPr>
          </w:p>
        </w:tc>
        <w:tc>
          <w:tcPr>
            <w:tcW w:w="1220" w:type="dxa"/>
            <w:vAlign w:val="bottom"/>
          </w:tcPr>
          <w:p>
            <w:pPr>
              <w:jc w:val="center"/>
              <w:ind w:right="35"/>
              <w:spacing w:after="0"/>
              <w:rPr>
                <w:sz w:val="20"/>
                <w:szCs w:val="20"/>
                <w:color w:val="auto"/>
              </w:rPr>
            </w:pPr>
            <w:r>
              <w:rPr>
                <w:rFonts w:ascii="Arial" w:cs="Arial" w:eastAsia="Arial" w:hAnsi="Arial"/>
                <w:sz w:val="9"/>
                <w:szCs w:val="9"/>
                <w:color w:val="auto"/>
                <w:w w:val="96"/>
              </w:rPr>
              <w:t>3/9/2016</w:t>
            </w:r>
          </w:p>
        </w:tc>
        <w:tc>
          <w:tcPr>
            <w:tcW w:w="1360" w:type="dxa"/>
            <w:vAlign w:val="bottom"/>
          </w:tcPr>
          <w:p>
            <w:pPr>
              <w:jc w:val="right"/>
              <w:ind w:right="15"/>
              <w:spacing w:after="0"/>
              <w:rPr>
                <w:sz w:val="20"/>
                <w:szCs w:val="20"/>
                <w:color w:val="auto"/>
              </w:rPr>
            </w:pPr>
            <w:r>
              <w:rPr>
                <w:rFonts w:ascii="Arial" w:cs="Arial" w:eastAsia="Arial" w:hAnsi="Arial"/>
                <w:sz w:val="9"/>
                <w:szCs w:val="9"/>
                <w:color w:val="auto"/>
              </w:rPr>
              <w:t>9,405</w:t>
            </w:r>
          </w:p>
        </w:tc>
        <w:tc>
          <w:tcPr>
            <w:tcW w:w="500" w:type="dxa"/>
            <w:vAlign w:val="bottom"/>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tcPr>
          <w:p>
            <w:pPr>
              <w:jc w:val="right"/>
              <w:ind w:right="15"/>
              <w:spacing w:after="0"/>
              <w:rPr>
                <w:sz w:val="20"/>
                <w:szCs w:val="20"/>
                <w:color w:val="auto"/>
              </w:rPr>
            </w:pPr>
            <w:r>
              <w:rPr>
                <w:rFonts w:ascii="Arial" w:cs="Arial" w:eastAsia="Arial" w:hAnsi="Arial"/>
                <w:sz w:val="9"/>
                <w:szCs w:val="9"/>
                <w:color w:val="auto"/>
              </w:rPr>
              <w:t>11,106</w:t>
            </w:r>
          </w:p>
        </w:tc>
        <w:tc>
          <w:tcPr>
            <w:tcW w:w="580" w:type="dxa"/>
            <w:vAlign w:val="bottom"/>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tcPr>
          <w:p>
            <w:pPr>
              <w:jc w:val="right"/>
              <w:ind w:right="235"/>
              <w:spacing w:after="0"/>
              <w:rPr>
                <w:sz w:val="20"/>
                <w:szCs w:val="20"/>
                <w:color w:val="auto"/>
              </w:rPr>
            </w:pPr>
            <w:r>
              <w:rPr>
                <w:rFonts w:ascii="Arial" w:cs="Arial" w:eastAsia="Arial" w:hAnsi="Arial"/>
                <w:sz w:val="9"/>
                <w:szCs w:val="9"/>
                <w:color w:val="auto"/>
              </w:rPr>
              <w:t>7.02</w:t>
            </w:r>
          </w:p>
        </w:tc>
        <w:tc>
          <w:tcPr>
            <w:tcW w:w="1020" w:type="dxa"/>
            <w:vAlign w:val="bottom"/>
          </w:tcPr>
          <w:p>
            <w:pPr>
              <w:jc w:val="right"/>
              <w:spacing w:after="0"/>
              <w:rPr>
                <w:sz w:val="20"/>
                <w:szCs w:val="20"/>
                <w:color w:val="auto"/>
              </w:rPr>
            </w:pPr>
            <w:r>
              <w:rPr>
                <w:rFonts w:ascii="Arial" w:cs="Arial" w:eastAsia="Arial" w:hAnsi="Arial"/>
                <w:sz w:val="9"/>
                <w:szCs w:val="9"/>
                <w:color w:val="auto"/>
              </w:rPr>
              <w:t>3/9/2026</w:t>
            </w:r>
          </w:p>
        </w:tc>
      </w:tr>
      <w:tr>
        <w:trPr>
          <w:trHeight w:val="185"/>
        </w:trPr>
        <w:tc>
          <w:tcPr>
            <w:tcW w:w="40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15"/>
              <w:spacing w:after="0"/>
              <w:rPr>
                <w:sz w:val="20"/>
                <w:szCs w:val="20"/>
                <w:color w:val="auto"/>
              </w:rPr>
            </w:pPr>
            <w:r>
              <w:rPr>
                <w:rFonts w:ascii="Arial" w:cs="Arial" w:eastAsia="Arial" w:hAnsi="Arial"/>
                <w:sz w:val="9"/>
                <w:szCs w:val="9"/>
                <w:color w:val="auto"/>
                <w:w w:val="99"/>
              </w:rPr>
              <w:t>2/21/2015</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8,417</w:t>
            </w:r>
          </w:p>
        </w:tc>
        <w:tc>
          <w:tcPr>
            <w:tcW w:w="50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3,120</w:t>
            </w:r>
          </w:p>
        </w:tc>
        <w:tc>
          <w:tcPr>
            <w:tcW w:w="58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9.36</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2/21/2025</w:t>
            </w:r>
          </w:p>
        </w:tc>
      </w:tr>
      <w:tr>
        <w:trPr>
          <w:trHeight w:val="175"/>
        </w:trPr>
        <w:tc>
          <w:tcPr>
            <w:tcW w:w="4020" w:type="dxa"/>
            <w:vAlign w:val="bottom"/>
          </w:tcPr>
          <w:p>
            <w:pPr>
              <w:spacing w:after="0"/>
              <w:rPr>
                <w:sz w:val="15"/>
                <w:szCs w:val="15"/>
                <w:color w:val="auto"/>
              </w:rPr>
            </w:pPr>
          </w:p>
        </w:tc>
        <w:tc>
          <w:tcPr>
            <w:tcW w:w="1220" w:type="dxa"/>
            <w:vAlign w:val="bottom"/>
          </w:tcPr>
          <w:p>
            <w:pPr>
              <w:jc w:val="center"/>
              <w:ind w:right="35"/>
              <w:spacing w:after="0"/>
              <w:rPr>
                <w:sz w:val="20"/>
                <w:szCs w:val="20"/>
                <w:color w:val="auto"/>
              </w:rPr>
            </w:pPr>
            <w:r>
              <w:rPr>
                <w:rFonts w:ascii="Arial" w:cs="Arial" w:eastAsia="Arial" w:hAnsi="Arial"/>
                <w:sz w:val="9"/>
                <w:szCs w:val="9"/>
                <w:color w:val="auto"/>
                <w:w w:val="96"/>
              </w:rPr>
              <w:t>4/8/2014</w:t>
            </w:r>
          </w:p>
        </w:tc>
        <w:tc>
          <w:tcPr>
            <w:tcW w:w="1360" w:type="dxa"/>
            <w:vAlign w:val="bottom"/>
          </w:tcPr>
          <w:p>
            <w:pPr>
              <w:jc w:val="right"/>
              <w:ind w:right="15"/>
              <w:spacing w:after="0"/>
              <w:rPr>
                <w:sz w:val="20"/>
                <w:szCs w:val="20"/>
                <w:color w:val="auto"/>
              </w:rPr>
            </w:pPr>
            <w:r>
              <w:rPr>
                <w:rFonts w:ascii="Arial" w:cs="Arial" w:eastAsia="Arial" w:hAnsi="Arial"/>
                <w:sz w:val="9"/>
                <w:szCs w:val="9"/>
                <w:color w:val="auto"/>
              </w:rPr>
              <w:t>7,530</w:t>
            </w:r>
          </w:p>
        </w:tc>
        <w:tc>
          <w:tcPr>
            <w:tcW w:w="500" w:type="dxa"/>
            <w:vAlign w:val="bottom"/>
          </w:tcPr>
          <w:p>
            <w:pPr>
              <w:jc w:val="right"/>
              <w:ind w:right="275"/>
              <w:spacing w:after="0"/>
              <w:rPr>
                <w:sz w:val="20"/>
                <w:szCs w:val="20"/>
                <w:color w:val="auto"/>
              </w:rPr>
            </w:pPr>
            <w:r>
              <w:rPr>
                <w:rFonts w:ascii="Arial" w:cs="Arial" w:eastAsia="Arial" w:hAnsi="Arial"/>
                <w:sz w:val="9"/>
                <w:szCs w:val="9"/>
                <w:color w:val="auto"/>
              </w:rPr>
              <w:t>(2)</w:t>
            </w:r>
          </w:p>
        </w:tc>
        <w:tc>
          <w:tcPr>
            <w:tcW w:w="1440" w:type="dxa"/>
            <w:vAlign w:val="bottom"/>
          </w:tcPr>
          <w:p>
            <w:pPr>
              <w:jc w:val="right"/>
              <w:ind w:right="15"/>
              <w:spacing w:after="0"/>
              <w:rPr>
                <w:sz w:val="20"/>
                <w:szCs w:val="20"/>
                <w:color w:val="auto"/>
              </w:rPr>
            </w:pPr>
            <w:r>
              <w:rPr>
                <w:rFonts w:ascii="Arial" w:cs="Arial" w:eastAsia="Arial" w:hAnsi="Arial"/>
                <w:sz w:val="9"/>
                <w:szCs w:val="9"/>
                <w:color w:val="auto"/>
              </w:rPr>
              <w:t>162</w:t>
            </w:r>
          </w:p>
        </w:tc>
        <w:tc>
          <w:tcPr>
            <w:tcW w:w="580" w:type="dxa"/>
            <w:vAlign w:val="bottom"/>
          </w:tcPr>
          <w:p>
            <w:pPr>
              <w:jc w:val="right"/>
              <w:ind w:right="355"/>
              <w:spacing w:after="0"/>
              <w:rPr>
                <w:sz w:val="20"/>
                <w:szCs w:val="20"/>
                <w:color w:val="auto"/>
              </w:rPr>
            </w:pPr>
            <w:r>
              <w:rPr>
                <w:rFonts w:ascii="Arial" w:cs="Arial" w:eastAsia="Arial" w:hAnsi="Arial"/>
                <w:sz w:val="9"/>
                <w:szCs w:val="9"/>
                <w:color w:val="auto"/>
              </w:rPr>
              <w:t>(2)</w:t>
            </w:r>
          </w:p>
        </w:tc>
        <w:tc>
          <w:tcPr>
            <w:tcW w:w="1340" w:type="dxa"/>
            <w:vAlign w:val="bottom"/>
          </w:tcPr>
          <w:p>
            <w:pPr>
              <w:jc w:val="right"/>
              <w:ind w:right="235"/>
              <w:spacing w:after="0"/>
              <w:rPr>
                <w:sz w:val="20"/>
                <w:szCs w:val="20"/>
                <w:color w:val="auto"/>
              </w:rPr>
            </w:pPr>
            <w:r>
              <w:rPr>
                <w:rFonts w:ascii="Arial" w:cs="Arial" w:eastAsia="Arial" w:hAnsi="Arial"/>
                <w:sz w:val="9"/>
                <w:szCs w:val="9"/>
                <w:color w:val="auto"/>
              </w:rPr>
              <w:t>8.97</w:t>
            </w:r>
          </w:p>
        </w:tc>
        <w:tc>
          <w:tcPr>
            <w:tcW w:w="1020" w:type="dxa"/>
            <w:vAlign w:val="bottom"/>
          </w:tcPr>
          <w:p>
            <w:pPr>
              <w:jc w:val="right"/>
              <w:spacing w:after="0"/>
              <w:rPr>
                <w:sz w:val="20"/>
                <w:szCs w:val="20"/>
                <w:color w:val="auto"/>
              </w:rPr>
            </w:pPr>
            <w:r>
              <w:rPr>
                <w:rFonts w:ascii="Arial" w:cs="Arial" w:eastAsia="Arial" w:hAnsi="Arial"/>
                <w:sz w:val="9"/>
                <w:szCs w:val="9"/>
                <w:color w:val="auto"/>
              </w:rPr>
              <w:t>4/8/2024</w:t>
            </w:r>
          </w:p>
        </w:tc>
      </w:tr>
      <w:tr>
        <w:trPr>
          <w:trHeight w:val="185"/>
        </w:trPr>
        <w:tc>
          <w:tcPr>
            <w:tcW w:w="40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15"/>
              <w:spacing w:after="0"/>
              <w:rPr>
                <w:sz w:val="20"/>
                <w:szCs w:val="20"/>
                <w:color w:val="auto"/>
              </w:rPr>
            </w:pPr>
            <w:r>
              <w:rPr>
                <w:rFonts w:ascii="Arial" w:cs="Arial" w:eastAsia="Arial" w:hAnsi="Arial"/>
                <w:sz w:val="9"/>
                <w:szCs w:val="9"/>
                <w:color w:val="auto"/>
                <w:w w:val="99"/>
              </w:rPr>
              <w:t>6/14/2013</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126</w:t>
            </w:r>
          </w:p>
        </w:tc>
        <w:tc>
          <w:tcPr>
            <w:tcW w:w="5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2.77</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6/14/2023</w:t>
            </w:r>
          </w:p>
        </w:tc>
      </w:tr>
      <w:tr>
        <w:trPr>
          <w:trHeight w:val="175"/>
        </w:trPr>
        <w:tc>
          <w:tcPr>
            <w:tcW w:w="4020" w:type="dxa"/>
            <w:vAlign w:val="bottom"/>
          </w:tcPr>
          <w:p>
            <w:pPr>
              <w:spacing w:after="0"/>
              <w:rPr>
                <w:sz w:val="15"/>
                <w:szCs w:val="15"/>
                <w:color w:val="auto"/>
              </w:rPr>
            </w:pPr>
          </w:p>
        </w:tc>
        <w:tc>
          <w:tcPr>
            <w:tcW w:w="1220" w:type="dxa"/>
            <w:vAlign w:val="bottom"/>
          </w:tcPr>
          <w:p>
            <w:pPr>
              <w:jc w:val="center"/>
              <w:ind w:right="15"/>
              <w:spacing w:after="0"/>
              <w:rPr>
                <w:sz w:val="20"/>
                <w:szCs w:val="20"/>
                <w:color w:val="auto"/>
              </w:rPr>
            </w:pPr>
            <w:r>
              <w:rPr>
                <w:rFonts w:ascii="Arial" w:cs="Arial" w:eastAsia="Arial" w:hAnsi="Arial"/>
                <w:sz w:val="9"/>
                <w:szCs w:val="9"/>
                <w:color w:val="auto"/>
                <w:w w:val="99"/>
              </w:rPr>
              <w:t>2/17/2011</w:t>
            </w:r>
          </w:p>
        </w:tc>
        <w:tc>
          <w:tcPr>
            <w:tcW w:w="1360" w:type="dxa"/>
            <w:vAlign w:val="bottom"/>
          </w:tcPr>
          <w:p>
            <w:pPr>
              <w:jc w:val="right"/>
              <w:ind w:right="15"/>
              <w:spacing w:after="0"/>
              <w:rPr>
                <w:sz w:val="20"/>
                <w:szCs w:val="20"/>
                <w:color w:val="auto"/>
              </w:rPr>
            </w:pPr>
            <w:r>
              <w:rPr>
                <w:rFonts w:ascii="Arial" w:cs="Arial" w:eastAsia="Arial" w:hAnsi="Arial"/>
                <w:sz w:val="9"/>
                <w:szCs w:val="9"/>
                <w:color w:val="auto"/>
              </w:rPr>
              <w:t>44,871</w:t>
            </w:r>
          </w:p>
        </w:tc>
        <w:tc>
          <w:tcPr>
            <w:tcW w:w="500" w:type="dxa"/>
            <w:vAlign w:val="bottom"/>
          </w:tcPr>
          <w:p>
            <w:pPr>
              <w:spacing w:after="0"/>
              <w:rPr>
                <w:sz w:val="15"/>
                <w:szCs w:val="15"/>
                <w:color w:val="auto"/>
              </w:rPr>
            </w:pPr>
          </w:p>
        </w:tc>
        <w:tc>
          <w:tcPr>
            <w:tcW w:w="14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tcPr>
          <w:p>
            <w:pPr>
              <w:spacing w:after="0"/>
              <w:rPr>
                <w:sz w:val="15"/>
                <w:szCs w:val="15"/>
                <w:color w:val="auto"/>
              </w:rPr>
            </w:pPr>
          </w:p>
        </w:tc>
        <w:tc>
          <w:tcPr>
            <w:tcW w:w="1340" w:type="dxa"/>
            <w:vAlign w:val="bottom"/>
          </w:tcPr>
          <w:p>
            <w:pPr>
              <w:jc w:val="right"/>
              <w:ind w:right="235"/>
              <w:spacing w:after="0"/>
              <w:rPr>
                <w:sz w:val="20"/>
                <w:szCs w:val="20"/>
                <w:color w:val="auto"/>
              </w:rPr>
            </w:pPr>
            <w:r>
              <w:rPr>
                <w:rFonts w:ascii="Arial" w:cs="Arial" w:eastAsia="Arial" w:hAnsi="Arial"/>
                <w:sz w:val="9"/>
                <w:szCs w:val="9"/>
                <w:color w:val="auto"/>
              </w:rPr>
              <w:t>0.63</w:t>
            </w:r>
          </w:p>
        </w:tc>
        <w:tc>
          <w:tcPr>
            <w:tcW w:w="1020" w:type="dxa"/>
            <w:vAlign w:val="bottom"/>
          </w:tcPr>
          <w:p>
            <w:pPr>
              <w:jc w:val="right"/>
              <w:spacing w:after="0"/>
              <w:rPr>
                <w:sz w:val="20"/>
                <w:szCs w:val="20"/>
                <w:color w:val="auto"/>
              </w:rPr>
            </w:pPr>
            <w:r>
              <w:rPr>
                <w:rFonts w:ascii="Arial" w:cs="Arial" w:eastAsia="Arial" w:hAnsi="Arial"/>
                <w:sz w:val="9"/>
                <w:szCs w:val="9"/>
                <w:color w:val="auto"/>
              </w:rPr>
              <w:t>2/17/2021</w:t>
            </w:r>
          </w:p>
        </w:tc>
      </w:tr>
      <w:tr>
        <w:trPr>
          <w:trHeight w:val="185"/>
        </w:trPr>
        <w:tc>
          <w:tcPr>
            <w:tcW w:w="40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15"/>
              <w:spacing w:after="0"/>
              <w:rPr>
                <w:sz w:val="20"/>
                <w:szCs w:val="20"/>
                <w:color w:val="auto"/>
              </w:rPr>
            </w:pPr>
            <w:r>
              <w:rPr>
                <w:rFonts w:ascii="Arial" w:cs="Arial" w:eastAsia="Arial" w:hAnsi="Arial"/>
                <w:sz w:val="9"/>
                <w:szCs w:val="9"/>
                <w:color w:val="auto"/>
                <w:w w:val="99"/>
              </w:rPr>
              <w:t>1/20/2010</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5,128</w:t>
            </w:r>
          </w:p>
        </w:tc>
        <w:tc>
          <w:tcPr>
            <w:tcW w:w="5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0.47</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1/20/2020</w:t>
            </w:r>
          </w:p>
        </w:tc>
      </w:tr>
      <w:tr>
        <w:trPr>
          <w:trHeight w:val="175"/>
        </w:trPr>
        <w:tc>
          <w:tcPr>
            <w:tcW w:w="4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color w:val="auto"/>
                <w:w w:val="99"/>
              </w:rPr>
              <w:t>7/24/2009</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10,000</w:t>
            </w:r>
          </w:p>
        </w:tc>
        <w:tc>
          <w:tcPr>
            <w:tcW w:w="5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color w:val="auto"/>
              </w:rPr>
              <w:t>0.47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7/24/2019</w:t>
            </w:r>
          </w:p>
        </w:tc>
      </w:tr>
    </w:tbl>
    <w:p>
      <w:pPr>
        <w:spacing w:after="0" w:line="108" w:lineRule="exact"/>
        <w:rPr>
          <w:sz w:val="20"/>
          <w:szCs w:val="20"/>
          <w:color w:val="auto"/>
        </w:rPr>
      </w:pPr>
    </w:p>
    <w:p>
      <w:pPr>
        <w:ind w:left="208" w:right="40" w:hanging="208"/>
        <w:spacing w:after="0" w:line="255" w:lineRule="auto"/>
        <w:tabs>
          <w:tab w:leader="none" w:pos="208" w:val="left"/>
        </w:tabs>
        <w:numPr>
          <w:ilvl w:val="0"/>
          <w:numId w:val="23"/>
        </w:numPr>
        <w:rPr>
          <w:rFonts w:ascii="Arial" w:cs="Arial" w:eastAsia="Arial" w:hAnsi="Arial"/>
          <w:sz w:val="9"/>
          <w:szCs w:val="9"/>
          <w:color w:val="auto"/>
        </w:rPr>
      </w:pPr>
      <w:r>
        <w:rPr>
          <w:rFonts w:ascii="Arial" w:cs="Arial" w:eastAsia="Arial" w:hAnsi="Arial"/>
          <w:sz w:val="9"/>
          <w:szCs w:val="9"/>
          <w:color w:val="auto"/>
        </w:rPr>
        <w:t>All stock option awards with a grant date prior to June 21, 2016 were issued under the 2008 Plan and whether vested or unvested, were immediately exercisable in full on the date of grant. Shares purchased upon exercise of an unvested stock option become restricted stock and are subject to our right of repurchase in the event the option holder's service with us terminates prior to the date the shares vest for a purchase price equal to the exercise price paid for the shares. The number of shares shown for these stock options as exercisable or unexercisable represents the number of</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26</w:t>
      </w:r>
    </w:p>
    <w:p>
      <w:pPr>
        <w:sectPr>
          <w:pgSz w:w="11900" w:h="16838" w:orient="portrait"/>
          <w:cols w:equalWidth="0" w:num="1">
            <w:col w:w="11488"/>
          </w:cols>
          <w:pgMar w:left="212" w:top="409" w:right="199" w:bottom="1440" w:gutter="0" w:footer="0" w:header="0"/>
        </w:sectPr>
      </w:pPr>
    </w:p>
    <w:bookmarkStart w:id="32" w:name="page33"/>
    <w:bookmarkEnd w:id="32"/>
    <w:p>
      <w:pPr>
        <w:ind w:left="208"/>
        <w:spacing w:after="0"/>
        <w:rPr>
          <w:sz w:val="20"/>
          <w:szCs w:val="20"/>
          <w:color w:val="auto"/>
        </w:rPr>
      </w:pPr>
      <w:r>
        <w:rPr>
          <w:rFonts w:ascii="Arial" w:cs="Arial" w:eastAsia="Arial" w:hAnsi="Arial"/>
          <w:sz w:val="9"/>
          <w:szCs w:val="9"/>
          <w:color w:val="auto"/>
        </w:rPr>
        <w:t>shares issuable on exercise of the options that are vested and unvested, respectively. All stock option awards with a grant date on or after June 21, 2016 were issued under the 2016 Plan and do not permit early exercise.</w:t>
      </w:r>
    </w:p>
    <w:p>
      <w:pPr>
        <w:spacing w:after="0" w:line="140" w:lineRule="exact"/>
        <w:rPr>
          <w:sz w:val="20"/>
          <w:szCs w:val="20"/>
          <w:color w:val="auto"/>
        </w:rPr>
      </w:pPr>
    </w:p>
    <w:p>
      <w:pPr>
        <w:ind w:left="208" w:right="100" w:hanging="208"/>
        <w:spacing w:after="0" w:line="260" w:lineRule="auto"/>
        <w:tabs>
          <w:tab w:leader="none" w:pos="208" w:val="left"/>
        </w:tabs>
        <w:numPr>
          <w:ilvl w:val="0"/>
          <w:numId w:val="24"/>
        </w:numPr>
        <w:rPr>
          <w:rFonts w:ascii="Arial" w:cs="Arial" w:eastAsia="Arial" w:hAnsi="Arial"/>
          <w:sz w:val="9"/>
          <w:szCs w:val="9"/>
          <w:color w:val="auto"/>
        </w:rPr>
      </w:pPr>
      <w:r>
        <w:rPr>
          <w:rFonts w:ascii="Arial" w:cs="Arial" w:eastAsia="Arial" w:hAnsi="Arial"/>
          <w:sz w:val="9"/>
          <w:szCs w:val="9"/>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01" w:lineRule="exact"/>
        <w:rPr>
          <w:sz w:val="20"/>
          <w:szCs w:val="20"/>
          <w:color w:val="auto"/>
        </w:rPr>
      </w:pPr>
    </w:p>
    <w:p>
      <w:pPr>
        <w:ind w:left="8" w:right="220"/>
        <w:spacing w:after="0" w:line="262" w:lineRule="auto"/>
        <w:rPr>
          <w:sz w:val="20"/>
          <w:szCs w:val="20"/>
          <w:color w:val="auto"/>
        </w:rPr>
      </w:pPr>
      <w:r>
        <w:rPr>
          <w:rFonts w:ascii="Arial" w:cs="Arial" w:eastAsia="Arial" w:hAnsi="Arial"/>
          <w:sz w:val="12"/>
          <w:szCs w:val="12"/>
          <w:color w:val="auto"/>
        </w:rPr>
        <w:t>We have entered into employment agreements with each of our named executive officers. The agreements entitle our named executives officers to receive annual base salaries and target bonus opportunities, the current amounts of which are described above under the headings "Base salaries” and “Performance bonuses."</w:t>
      </w:r>
    </w:p>
    <w:p>
      <w:pPr>
        <w:spacing w:after="0" w:line="131" w:lineRule="exact"/>
        <w:rPr>
          <w:sz w:val="20"/>
          <w:szCs w:val="20"/>
          <w:color w:val="auto"/>
        </w:rPr>
      </w:pPr>
    </w:p>
    <w:p>
      <w:pPr>
        <w:ind w:left="8" w:right="220"/>
        <w:spacing w:after="0" w:line="252" w:lineRule="auto"/>
        <w:rPr>
          <w:sz w:val="20"/>
          <w:szCs w:val="20"/>
          <w:color w:val="auto"/>
        </w:rPr>
      </w:pPr>
      <w:r>
        <w:rPr>
          <w:rFonts w:ascii="Arial" w:cs="Arial" w:eastAsia="Arial" w:hAnsi="Arial"/>
          <w:sz w:val="12"/>
          <w:szCs w:val="12"/>
          <w:color w:val="auto"/>
        </w:rPr>
        <w:t>If we terminate Dr. Cautreels, Dr. Leaman or Dr. Johnston without "cause" or he resigns for "good reason," subject to his timely executing a release of claims in our favor and continued compliance with a separate restrictive covenant agreement, he is entitled to receive (i) base salary continuation for a period of 12 months, (ii) a prorated portion of the annual bonus he would otherwise have earned for the year of termination, based on actual performance for the full year (or based on his target bonus for Dr. Cautreels and Dr. Johnston, or based on 50% of his annual base salary for Dr. Leaman, if such termination occurs during the first quarter of the calendar year),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139" w:lineRule="exact"/>
        <w:rPr>
          <w:sz w:val="20"/>
          <w:szCs w:val="20"/>
          <w:color w:val="auto"/>
        </w:rPr>
      </w:pPr>
    </w:p>
    <w:p>
      <w:pPr>
        <w:ind w:left="8"/>
        <w:spacing w:after="0" w:line="252" w:lineRule="auto"/>
        <w:rPr>
          <w:sz w:val="20"/>
          <w:szCs w:val="20"/>
          <w:color w:val="auto"/>
        </w:rPr>
      </w:pPr>
      <w:r>
        <w:rPr>
          <w:rFonts w:ascii="Arial" w:cs="Arial" w:eastAsia="Arial" w:hAnsi="Arial"/>
          <w:sz w:val="12"/>
          <w:szCs w:val="12"/>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bonus opportunity; (ii) a material diminution in his authority, title, duties or areas of responsibility; (iii) the requirement that he report to someone other than the Board of Directors with respect to Dr. Cautreels or the chief executive officer with respect to Dr. Leaman and Dr. Johnston; (iv) the relocation of his primary office to a location more than 40 miles from the Boston metropolitan area, other than a relocation to a location within 40 miles of Lancaster, Pennsylvania for Dr. Leaman; or (v) a material breach by the company of the employment agreement or any other written agreement with the named executive officer.</w:t>
      </w:r>
    </w:p>
    <w:p>
      <w:pPr>
        <w:spacing w:after="0" w:line="139" w:lineRule="exact"/>
        <w:rPr>
          <w:sz w:val="20"/>
          <w:szCs w:val="20"/>
          <w:color w:val="auto"/>
        </w:rPr>
      </w:pPr>
    </w:p>
    <w:p>
      <w:pPr>
        <w:ind w:left="8" w:right="540"/>
        <w:spacing w:after="0" w:line="256" w:lineRule="auto"/>
        <w:rPr>
          <w:sz w:val="20"/>
          <w:szCs w:val="20"/>
          <w:color w:val="auto"/>
        </w:rPr>
      </w:pPr>
      <w:r>
        <w:rPr>
          <w:rFonts w:ascii="Arial" w:cs="Arial" w:eastAsia="Arial" w:hAnsi="Arial"/>
          <w:sz w:val="12"/>
          <w:szCs w:val="12"/>
          <w:color w:val="auto"/>
        </w:rPr>
        <w:t>Pursuant to his employment agreement, Dr. Leaman is also entitled to receive (i) additional payments of $7,000 per month for up to 12 months to offset the costs of travel between his primary residence in Pennsylvania and the company's offices in Watertown, Massachusetts in performing his duties for the company and (ii) direct payment of, or reimbursement for, up to $75,000 in moving expenses incurred in connection with his relocation to the greater Boston, Massachusetts area.</w:t>
      </w:r>
    </w:p>
    <w:p>
      <w:pPr>
        <w:spacing w:after="0" w:line="135"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We also entered into non-disclosure, non-competition and assignment of intellectual property agreements with the named executive officers pursuant to which each of Drs. Cautreels, Leaman and Johnston agree to refrain from engaging in direct competition with us or soliciting our employees, in each case, while employed and following his termination of employment for any reason for a period of 12 months.</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POTENTIAL PAYMENTS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right="80"/>
        <w:spacing w:after="0" w:line="256" w:lineRule="auto"/>
        <w:rPr>
          <w:sz w:val="20"/>
          <w:szCs w:val="20"/>
          <w:color w:val="auto"/>
        </w:rPr>
      </w:pPr>
      <w:r>
        <w:rPr>
          <w:rFonts w:ascii="Arial" w:cs="Arial" w:eastAsia="Arial" w:hAnsi="Arial"/>
          <w:sz w:val="12"/>
          <w:szCs w:val="12"/>
          <w:color w:val="auto"/>
        </w:rPr>
        <w:t>In addition to the accelerated vesting provisions provided in the named executive officers’ employment agreements, the agreements governing the named executive officers’ unvested stock options granted under the 2008 Plan provide for full accelerated vesting if the named executive officers’ employment is terminated by us without cause or if they resign for good reason, in either case, within 12 months following a change in control.</w:t>
      </w:r>
    </w:p>
    <w:p>
      <w:pPr>
        <w:spacing w:after="0" w:line="200" w:lineRule="exact"/>
        <w:rPr>
          <w:sz w:val="20"/>
          <w:szCs w:val="20"/>
          <w:color w:val="auto"/>
        </w:rPr>
      </w:pPr>
    </w:p>
    <w:p>
      <w:pPr>
        <w:spacing w:after="0" w:line="241" w:lineRule="exact"/>
        <w:rPr>
          <w:sz w:val="20"/>
          <w:szCs w:val="20"/>
          <w:color w:val="auto"/>
        </w:rPr>
      </w:pPr>
    </w:p>
    <w:p>
      <w:pPr>
        <w:jc w:val="center"/>
        <w:ind w:right="-27"/>
        <w:spacing w:after="0"/>
        <w:rPr>
          <w:sz w:val="20"/>
          <w:szCs w:val="20"/>
          <w:color w:val="auto"/>
        </w:rPr>
      </w:pPr>
      <w:r>
        <w:rPr>
          <w:rFonts w:ascii="Arial" w:cs="Arial" w:eastAsia="Arial" w:hAnsi="Arial"/>
          <w:sz w:val="9"/>
          <w:szCs w:val="9"/>
          <w:color w:val="auto"/>
        </w:rPr>
        <w:t>27</w:t>
      </w:r>
    </w:p>
    <w:p>
      <w:pPr>
        <w:sectPr>
          <w:pgSz w:w="11900" w:h="16838" w:orient="portrait"/>
          <w:cols w:equalWidth="0" w:num="1">
            <w:col w:w="11448"/>
          </w:cols>
          <w:pgMar w:left="212" w:top="445" w:right="239" w:bottom="1440" w:gutter="0" w:footer="0" w:header="0"/>
        </w:sectPr>
      </w:pPr>
    </w:p>
    <w:bookmarkStart w:id="33" w:name="page34"/>
    <w:bookmarkEnd w:id="33"/>
    <w:p>
      <w:pPr>
        <w:ind w:left="8"/>
        <w:spacing w:after="0"/>
        <w:rPr>
          <w:sz w:val="20"/>
          <w:szCs w:val="20"/>
          <w:color w:val="auto"/>
        </w:rPr>
      </w:pPr>
      <w:r>
        <w:rPr>
          <w:rFonts w:ascii="Arial" w:cs="Arial" w:eastAsia="Arial" w:hAnsi="Arial"/>
          <w:sz w:val="9"/>
          <w:szCs w:val="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maintain a compensation program for our non-employee directors under which each non-employee director receives the following amounts for their services on our Board of Directors:</w:t>
      </w:r>
    </w:p>
    <w:p>
      <w:pPr>
        <w:spacing w:after="0" w:line="138" w:lineRule="exact"/>
        <w:rPr>
          <w:sz w:val="20"/>
          <w:szCs w:val="20"/>
          <w:color w:val="auto"/>
        </w:rPr>
      </w:pPr>
    </w:p>
    <w:p>
      <w:pPr>
        <w:ind w:left="8" w:right="60"/>
        <w:spacing w:after="0" w:line="283" w:lineRule="auto"/>
        <w:rPr>
          <w:sz w:val="20"/>
          <w:szCs w:val="20"/>
          <w:color w:val="auto"/>
        </w:rPr>
      </w:pPr>
      <w:r>
        <w:rPr>
          <w:rFonts w:ascii="Arial" w:cs="Arial" w:eastAsia="Arial" w:hAnsi="Arial"/>
          <w:sz w:val="12"/>
          <w:szCs w:val="12"/>
          <w:i w:val="1"/>
          <w:iCs w:val="1"/>
          <w:color w:val="auto"/>
        </w:rPr>
        <w:t>Initial Equity Award</w:t>
      </w:r>
      <w:r>
        <w:rPr>
          <w:rFonts w:ascii="Arial" w:cs="Arial" w:eastAsia="Arial" w:hAnsi="Arial"/>
          <w:sz w:val="12"/>
          <w:szCs w:val="12"/>
          <w:color w:val="auto"/>
        </w:rPr>
        <w:t>. Upon a director’s initial election or appointment to our Board of Directors, the director receives an option to purchase 12,820 shares of our common stock, which award vests in substantially equal</w:t>
      </w:r>
      <w:r>
        <w:rPr>
          <w:rFonts w:ascii="Arial" w:cs="Arial" w:eastAsia="Arial" w:hAnsi="Arial"/>
          <w:sz w:val="12"/>
          <w:szCs w:val="12"/>
          <w:i w:val="1"/>
          <w:iCs w:val="1"/>
          <w:color w:val="auto"/>
        </w:rPr>
        <w:t xml:space="preserve"> </w:t>
      </w:r>
      <w:r>
        <w:rPr>
          <w:rFonts w:ascii="Arial" w:cs="Arial" w:eastAsia="Arial" w:hAnsi="Arial"/>
          <w:sz w:val="12"/>
          <w:szCs w:val="12"/>
          <w:color w:val="auto"/>
        </w:rPr>
        <w:t>monthly installments over three years following the date of grant, subject to accelerated vesting upon a change in control.</w:t>
      </w:r>
    </w:p>
    <w:p>
      <w:pPr>
        <w:spacing w:after="0" w:line="107" w:lineRule="exact"/>
        <w:rPr>
          <w:sz w:val="20"/>
          <w:szCs w:val="20"/>
          <w:color w:val="auto"/>
        </w:rPr>
      </w:pPr>
    </w:p>
    <w:p>
      <w:pPr>
        <w:ind w:left="8" w:right="140"/>
        <w:spacing w:after="0" w:line="266" w:lineRule="auto"/>
        <w:rPr>
          <w:sz w:val="20"/>
          <w:szCs w:val="20"/>
          <w:color w:val="auto"/>
        </w:rPr>
      </w:pPr>
      <w:r>
        <w:rPr>
          <w:rFonts w:ascii="Arial" w:cs="Arial" w:eastAsia="Arial" w:hAnsi="Arial"/>
          <w:sz w:val="12"/>
          <w:szCs w:val="12"/>
          <w:i w:val="1"/>
          <w:iCs w:val="1"/>
          <w:color w:val="auto"/>
        </w:rPr>
        <w:t>Annual Equity Award</w:t>
      </w:r>
      <w:r>
        <w:rPr>
          <w:rFonts w:ascii="Arial" w:cs="Arial" w:eastAsia="Arial" w:hAnsi="Arial"/>
          <w:sz w:val="12"/>
          <w:szCs w:val="12"/>
          <w:color w:val="auto"/>
        </w:rPr>
        <w:t>. If a director has served on our Board of Directors for at least six months as of the date of an annual meeting of stockholders, the director receives an option to purchase 6,410 shares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on the date of the annual meeting, which award vests in a single installment on the earlier of the day before the next annual meeting or the first anniversary of the date of grant, subject to accelerated vesting upon a change in control.</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Annual Retainer Fees</w:t>
      </w:r>
      <w:r>
        <w:rPr>
          <w:rFonts w:ascii="Arial" w:cs="Arial" w:eastAsia="Arial" w:hAnsi="Arial"/>
          <w:sz w:val="12"/>
          <w:szCs w:val="12"/>
          <w:color w:val="auto"/>
        </w:rPr>
        <w:t>. In addition to option grants, each director receives an annual retainer for service on our Board of Directors and additional fees for service on a committee of our Board of Directors as follows:</w:t>
      </w:r>
    </w:p>
    <w:p>
      <w:pPr>
        <w:spacing w:after="0" w:line="234" w:lineRule="exact"/>
        <w:rPr>
          <w:sz w:val="20"/>
          <w:szCs w:val="20"/>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annual director fee of $35,000,</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chairman of the board and lead independent director, $15,000,</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chairman of the audit committee, $15,000,</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audit committee member other than the chairman, $7,500,</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chairman of the compensation committee, $10,000,</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compensation committee member other than the chairman, $5,000,</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chairman of the nominating and corporate governance committee, $7,500, and</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nominating and corporate governance committee member other than the chairman, $3,500.</w:t>
      </w:r>
    </w:p>
    <w:p>
      <w:pPr>
        <w:spacing w:after="0" w:line="150" w:lineRule="exact"/>
        <w:rPr>
          <w:sz w:val="20"/>
          <w:szCs w:val="20"/>
          <w:color w:val="auto"/>
        </w:rPr>
      </w:pPr>
    </w:p>
    <w:p>
      <w:pPr>
        <w:ind w:left="8" w:right="60"/>
        <w:spacing w:after="0" w:line="256" w:lineRule="auto"/>
        <w:rPr>
          <w:sz w:val="20"/>
          <w:szCs w:val="20"/>
          <w:color w:val="auto"/>
        </w:rPr>
      </w:pPr>
      <w:r>
        <w:rPr>
          <w:rFonts w:ascii="Arial" w:cs="Arial" w:eastAsia="Arial" w:hAnsi="Arial"/>
          <w:sz w:val="12"/>
          <w:szCs w:val="12"/>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Dr. Cautreels, our President and Chief Executive Officer, also serves on our Board of Directors but receives no additional compensation for this service.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compensation earned to our non-employee directors for their service on our Board of Directors during 2017.</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2017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6"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3300" w:type="dxa"/>
            <w:vAlign w:val="bottom"/>
          </w:tcPr>
          <w:p>
            <w:pPr>
              <w:ind w:left="1980"/>
              <w:spacing w:after="0"/>
              <w:rPr>
                <w:sz w:val="20"/>
                <w:szCs w:val="20"/>
                <w:color w:val="auto"/>
              </w:rPr>
            </w:pPr>
            <w:r>
              <w:rPr>
                <w:rFonts w:ascii="Arial" w:cs="Arial" w:eastAsia="Arial" w:hAnsi="Arial"/>
                <w:sz w:val="9"/>
                <w:szCs w:val="9"/>
                <w:b w:val="1"/>
                <w:bCs w:val="1"/>
                <w:color w:val="auto"/>
              </w:rPr>
              <w:t>Name</w:t>
            </w:r>
          </w:p>
        </w:tc>
        <w:tc>
          <w:tcPr>
            <w:tcW w:w="2760" w:type="dxa"/>
            <w:vAlign w:val="bottom"/>
            <w:gridSpan w:val="2"/>
          </w:tcPr>
          <w:p>
            <w:pPr>
              <w:ind w:left="1060"/>
              <w:spacing w:after="0"/>
              <w:rPr>
                <w:sz w:val="20"/>
                <w:szCs w:val="20"/>
                <w:color w:val="auto"/>
              </w:rPr>
            </w:pPr>
            <w:r>
              <w:rPr>
                <w:rFonts w:ascii="Arial" w:cs="Arial" w:eastAsia="Arial" w:hAnsi="Arial"/>
                <w:sz w:val="9"/>
                <w:szCs w:val="9"/>
                <w:b w:val="1"/>
                <w:bCs w:val="1"/>
                <w:color w:val="auto"/>
              </w:rPr>
              <w:t>Fees earned or paid in cash ($)(1)</w:t>
            </w:r>
          </w:p>
        </w:tc>
        <w:tc>
          <w:tcPr>
            <w:tcW w:w="1840" w:type="dxa"/>
            <w:vAlign w:val="bottom"/>
            <w:gridSpan w:val="2"/>
          </w:tcPr>
          <w:p>
            <w:pPr>
              <w:ind w:left="420"/>
              <w:spacing w:after="0"/>
              <w:rPr>
                <w:sz w:val="20"/>
                <w:szCs w:val="20"/>
                <w:color w:val="auto"/>
              </w:rPr>
            </w:pPr>
            <w:r>
              <w:rPr>
                <w:rFonts w:ascii="Arial" w:cs="Arial" w:eastAsia="Arial" w:hAnsi="Arial"/>
                <w:sz w:val="9"/>
                <w:szCs w:val="9"/>
                <w:b w:val="1"/>
                <w:bCs w:val="1"/>
                <w:color w:val="auto"/>
              </w:rPr>
              <w:t>Option awards ($)(2)</w:t>
            </w:r>
          </w:p>
        </w:tc>
        <w:tc>
          <w:tcPr>
            <w:tcW w:w="1820" w:type="dxa"/>
            <w:vAlign w:val="bottom"/>
            <w:gridSpan w:val="2"/>
          </w:tcPr>
          <w:p>
            <w:pPr>
              <w:ind w:left="240"/>
              <w:spacing w:after="0"/>
              <w:rPr>
                <w:sz w:val="20"/>
                <w:szCs w:val="20"/>
                <w:color w:val="auto"/>
              </w:rPr>
            </w:pPr>
            <w:r>
              <w:rPr>
                <w:rFonts w:ascii="Arial" w:cs="Arial" w:eastAsia="Arial" w:hAnsi="Arial"/>
                <w:sz w:val="9"/>
                <w:szCs w:val="9"/>
                <w:b w:val="1"/>
                <w:bCs w:val="1"/>
                <w:color w:val="auto"/>
              </w:rPr>
              <w:t>All other compensation ($)(3)</w:t>
            </w:r>
          </w:p>
        </w:tc>
        <w:tc>
          <w:tcPr>
            <w:tcW w:w="1720" w:type="dxa"/>
            <w:vAlign w:val="bottom"/>
          </w:tcPr>
          <w:p>
            <w:pPr>
              <w:jc w:val="right"/>
              <w:ind w:right="635"/>
              <w:spacing w:after="0"/>
              <w:rPr>
                <w:sz w:val="20"/>
                <w:szCs w:val="20"/>
                <w:color w:val="auto"/>
              </w:rPr>
            </w:pPr>
            <w:r>
              <w:rPr>
                <w:rFonts w:ascii="Arial" w:cs="Arial" w:eastAsia="Arial" w:hAnsi="Arial"/>
                <w:sz w:val="9"/>
                <w:szCs w:val="9"/>
                <w:b w:val="1"/>
                <w:bCs w:val="1"/>
                <w:color w:val="auto"/>
              </w:rPr>
              <w:t>Total ($)</w:t>
            </w:r>
          </w:p>
        </w:tc>
      </w:tr>
      <w:tr>
        <w:trPr>
          <w:trHeight w:val="138"/>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Omid Farokhzad, M.D.</w:t>
            </w:r>
          </w:p>
        </w:tc>
        <w:tc>
          <w:tcPr>
            <w:tcW w:w="26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36,604</w:t>
            </w: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77,015</w:t>
            </w: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75,000</w:t>
            </w:r>
          </w:p>
        </w:tc>
        <w:tc>
          <w:tcPr>
            <w:tcW w:w="1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188,619</w:t>
            </w:r>
          </w:p>
        </w:tc>
      </w:tr>
      <w:tr>
        <w:trPr>
          <w:trHeight w:val="139"/>
        </w:trPr>
        <w:tc>
          <w:tcPr>
            <w:tcW w:w="3300" w:type="dxa"/>
            <w:vAlign w:val="bottom"/>
          </w:tcPr>
          <w:p>
            <w:pPr>
              <w:ind w:left="20"/>
              <w:spacing w:after="0"/>
              <w:rPr>
                <w:sz w:val="20"/>
                <w:szCs w:val="20"/>
                <w:color w:val="auto"/>
              </w:rPr>
            </w:pPr>
            <w:r>
              <w:rPr>
                <w:rFonts w:ascii="Arial" w:cs="Arial" w:eastAsia="Arial" w:hAnsi="Arial"/>
                <w:sz w:val="9"/>
                <w:szCs w:val="9"/>
                <w:color w:val="auto"/>
              </w:rPr>
              <w:t>Timothy Barabe</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46,562</w:t>
            </w:r>
          </w:p>
        </w:tc>
        <w:tc>
          <w:tcPr>
            <w:tcW w:w="120" w:type="dxa"/>
            <w:vAlign w:val="bottom"/>
          </w:tcPr>
          <w:p>
            <w:pPr>
              <w:spacing w:after="0"/>
              <w:rPr>
                <w:sz w:val="12"/>
                <w:szCs w:val="12"/>
                <w:color w:val="auto"/>
              </w:rPr>
            </w:pP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77,015</w:t>
            </w:r>
          </w:p>
        </w:tc>
        <w:tc>
          <w:tcPr>
            <w:tcW w:w="12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123,577</w:t>
            </w:r>
          </w:p>
        </w:tc>
      </w:tr>
      <w:tr>
        <w:trPr>
          <w:trHeight w:val="185"/>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Peter Barton Hutt LL.B., LL.M.</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45,000</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77,015</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122,015</w:t>
            </w:r>
          </w:p>
        </w:tc>
      </w:tr>
      <w:tr>
        <w:trPr>
          <w:trHeight w:val="175"/>
        </w:trPr>
        <w:tc>
          <w:tcPr>
            <w:tcW w:w="3300" w:type="dxa"/>
            <w:vAlign w:val="bottom"/>
          </w:tcPr>
          <w:p>
            <w:pPr>
              <w:ind w:left="20"/>
              <w:spacing w:after="0"/>
              <w:rPr>
                <w:sz w:val="20"/>
                <w:szCs w:val="20"/>
                <w:color w:val="auto"/>
              </w:rPr>
            </w:pPr>
            <w:r>
              <w:rPr>
                <w:rFonts w:ascii="Arial" w:cs="Arial" w:eastAsia="Arial" w:hAnsi="Arial"/>
                <w:sz w:val="9"/>
                <w:szCs w:val="9"/>
                <w:color w:val="auto"/>
              </w:rPr>
              <w:t>Amir Nashat, Ph.D.</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63,646</w:t>
            </w:r>
          </w:p>
        </w:tc>
        <w:tc>
          <w:tcPr>
            <w:tcW w:w="120" w:type="dxa"/>
            <w:vAlign w:val="bottom"/>
          </w:tcPr>
          <w:p>
            <w:pPr>
              <w:spacing w:after="0"/>
              <w:rPr>
                <w:sz w:val="15"/>
                <w:szCs w:val="15"/>
                <w:color w:val="auto"/>
              </w:rPr>
            </w:pP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77,015</w:t>
            </w:r>
          </w:p>
        </w:tc>
        <w:tc>
          <w:tcPr>
            <w:tcW w:w="120" w:type="dxa"/>
            <w:vAlign w:val="bottom"/>
          </w:tcPr>
          <w:p>
            <w:pPr>
              <w:spacing w:after="0"/>
              <w:rPr>
                <w:sz w:val="15"/>
                <w:szCs w:val="15"/>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140,661</w:t>
            </w:r>
          </w:p>
        </w:tc>
      </w:tr>
      <w:tr>
        <w:trPr>
          <w:trHeight w:val="149"/>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Aymeric Sallin</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40,000</w:t>
            </w: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77,015</w:t>
            </w: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117,015</w:t>
            </w:r>
          </w:p>
        </w:tc>
      </w:tr>
      <w:tr>
        <w:trPr>
          <w:trHeight w:val="139"/>
        </w:trPr>
        <w:tc>
          <w:tcPr>
            <w:tcW w:w="3300" w:type="dxa"/>
            <w:vAlign w:val="bottom"/>
          </w:tcPr>
          <w:p>
            <w:pPr>
              <w:ind w:left="20"/>
              <w:spacing w:after="0"/>
              <w:rPr>
                <w:sz w:val="20"/>
                <w:szCs w:val="20"/>
                <w:color w:val="auto"/>
              </w:rPr>
            </w:pPr>
            <w:r>
              <w:rPr>
                <w:rFonts w:ascii="Arial" w:cs="Arial" w:eastAsia="Arial" w:hAnsi="Arial"/>
                <w:sz w:val="9"/>
                <w:szCs w:val="9"/>
                <w:color w:val="auto"/>
              </w:rPr>
              <w:t>Timothy Springer, Ph.D.</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38,500</w:t>
            </w:r>
          </w:p>
        </w:tc>
        <w:tc>
          <w:tcPr>
            <w:tcW w:w="120" w:type="dxa"/>
            <w:vAlign w:val="bottom"/>
          </w:tcPr>
          <w:p>
            <w:pPr>
              <w:spacing w:after="0"/>
              <w:rPr>
                <w:sz w:val="12"/>
                <w:szCs w:val="12"/>
                <w:color w:val="auto"/>
              </w:rPr>
            </w:pP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77,015</w:t>
            </w:r>
          </w:p>
        </w:tc>
        <w:tc>
          <w:tcPr>
            <w:tcW w:w="12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115,515</w:t>
            </w:r>
          </w:p>
        </w:tc>
      </w:tr>
      <w:tr>
        <w:trPr>
          <w:trHeight w:val="149"/>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Patrick Zenner (4)</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27,083</w:t>
            </w: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158,339</w:t>
            </w: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185,422</w:t>
            </w:r>
          </w:p>
        </w:tc>
      </w:tr>
    </w:tbl>
    <w:p>
      <w:pPr>
        <w:spacing w:after="0" w:line="111"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Represents cash retainers earned for services rendered as members of the Board of Directors and related Committees.</w:t>
      </w:r>
    </w:p>
    <w:p>
      <w:pPr>
        <w:spacing w:after="0" w:line="260" w:lineRule="exact"/>
        <w:rPr>
          <w:sz w:val="20"/>
          <w:szCs w:val="20"/>
          <w:color w:val="auto"/>
        </w:rPr>
      </w:pPr>
    </w:p>
    <w:p>
      <w:pPr>
        <w:jc w:val="center"/>
        <w:ind w:right="-27"/>
        <w:spacing w:after="0"/>
        <w:rPr>
          <w:sz w:val="20"/>
          <w:szCs w:val="20"/>
          <w:color w:val="auto"/>
        </w:rPr>
      </w:pPr>
      <w:r>
        <w:rPr>
          <w:rFonts w:ascii="Arial" w:cs="Arial" w:eastAsia="Arial" w:hAnsi="Arial"/>
          <w:sz w:val="9"/>
          <w:szCs w:val="9"/>
          <w:color w:val="auto"/>
        </w:rPr>
        <w:t>28</w:t>
      </w:r>
    </w:p>
    <w:p>
      <w:pPr>
        <w:sectPr>
          <w:pgSz w:w="11900" w:h="16838" w:orient="portrait"/>
          <w:cols w:equalWidth="0" w:num="1">
            <w:col w:w="11448"/>
          </w:cols>
          <w:pgMar w:left="212" w:top="417" w:right="239" w:bottom="1440" w:gutter="0" w:footer="0" w:header="0"/>
        </w:sectPr>
      </w:pPr>
    </w:p>
    <w:bookmarkStart w:id="34" w:name="page35"/>
    <w:bookmarkEnd w:id="34"/>
    <w:p>
      <w:pPr>
        <w:ind w:left="208" w:right="100" w:hanging="208"/>
        <w:spacing w:after="0" w:line="232" w:lineRule="auto"/>
        <w:tabs>
          <w:tab w:leader="none" w:pos="208" w:val="left"/>
        </w:tabs>
        <w:numPr>
          <w:ilvl w:val="0"/>
          <w:numId w:val="27"/>
        </w:numPr>
        <w:rPr>
          <w:rFonts w:ascii="Arial" w:cs="Arial" w:eastAsia="Arial" w:hAnsi="Arial"/>
          <w:sz w:val="10"/>
          <w:szCs w:val="10"/>
          <w:color w:val="auto"/>
        </w:rPr>
      </w:pPr>
      <w:r>
        <w:rPr>
          <w:rFonts w:ascii="Arial" w:cs="Arial" w:eastAsia="Arial" w:hAnsi="Arial"/>
          <w:sz w:val="10"/>
          <w:szCs w:val="10"/>
          <w:color w:val="auto"/>
        </w:rPr>
        <w:t>The value of option awards represents the aggregate grant date fair value of stock options computed in accordance with ASC Topic 718, excluding the effect of estimated forfeitures. For a description of the assumptions used in valuing these awards, see Note 12 to our consolidated audited financial statements included in our 2017 Annual Report.</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7"/>
        </w:numPr>
        <w:rPr>
          <w:rFonts w:ascii="Arial" w:cs="Arial" w:eastAsia="Arial" w:hAnsi="Arial"/>
          <w:sz w:val="10"/>
          <w:szCs w:val="10"/>
          <w:color w:val="auto"/>
        </w:rPr>
      </w:pPr>
      <w:r>
        <w:rPr>
          <w:rFonts w:ascii="Arial" w:cs="Arial" w:eastAsia="Arial" w:hAnsi="Arial"/>
          <w:sz w:val="10"/>
          <w:szCs w:val="10"/>
          <w:color w:val="auto"/>
        </w:rPr>
        <w:t>Other compensation represents compensation earned in 2017 under a consulting agreement with the company. For additional information regarding this agreement, see "Certain relationships and related party transactions".</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7"/>
        </w:numPr>
        <w:rPr>
          <w:rFonts w:ascii="Arial" w:cs="Arial" w:eastAsia="Arial" w:hAnsi="Arial"/>
          <w:sz w:val="10"/>
          <w:szCs w:val="10"/>
          <w:color w:val="auto"/>
        </w:rPr>
      </w:pPr>
      <w:r>
        <w:rPr>
          <w:rFonts w:ascii="Arial" w:cs="Arial" w:eastAsia="Arial" w:hAnsi="Arial"/>
          <w:sz w:val="10"/>
          <w:szCs w:val="10"/>
          <w:color w:val="auto"/>
        </w:rPr>
        <w:t>Mr. Zenner was elected to the Board of Directors in July 2017 and as such received an initial stock option award of 12,820 shares which will vest in equal monthly installments over a three year period following the date of grant.</w:t>
      </w:r>
    </w:p>
    <w:p>
      <w:pPr>
        <w:spacing w:after="0" w:line="98" w:lineRule="exact"/>
        <w:rPr>
          <w:sz w:val="20"/>
          <w:szCs w:val="20"/>
          <w:color w:val="auto"/>
        </w:rPr>
      </w:pPr>
    </w:p>
    <w:p>
      <w:pPr>
        <w:ind w:left="8" w:right="20"/>
        <w:spacing w:after="0" w:line="262" w:lineRule="auto"/>
        <w:rPr>
          <w:sz w:val="20"/>
          <w:szCs w:val="20"/>
          <w:color w:val="auto"/>
        </w:rPr>
      </w:pPr>
      <w:r>
        <w:rPr>
          <w:rFonts w:ascii="Arial" w:cs="Arial" w:eastAsia="Arial" w:hAnsi="Arial"/>
          <w:sz w:val="12"/>
          <w:szCs w:val="12"/>
          <w:color w:val="auto"/>
        </w:rPr>
        <w:t>The table below shows the aggregate number of option awards (exercisable and unexercisable) held by each non-employee director as of December 31, 2017. None of our non-employee directors held unvested stock awards in our company as of that date.</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8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20" w:type="dxa"/>
            <w:vAlign w:val="bottom"/>
          </w:tcPr>
          <w:p>
            <w:pPr>
              <w:jc w:val="right"/>
              <w:ind w:right="775"/>
              <w:spacing w:after="0"/>
              <w:rPr>
                <w:sz w:val="20"/>
                <w:szCs w:val="20"/>
                <w:color w:val="auto"/>
              </w:rPr>
            </w:pPr>
            <w:r>
              <w:rPr>
                <w:rFonts w:ascii="Arial" w:cs="Arial" w:eastAsia="Arial" w:hAnsi="Arial"/>
                <w:sz w:val="9"/>
                <w:szCs w:val="9"/>
                <w:b w:val="1"/>
                <w:bCs w:val="1"/>
                <w:color w:val="auto"/>
              </w:rPr>
              <w:t>Options outstanding</w:t>
            </w:r>
          </w:p>
        </w:tc>
      </w:tr>
      <w:tr>
        <w:trPr>
          <w:trHeight w:val="123"/>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CEEFF"/>
            </w:tcBorders>
          </w:tcPr>
          <w:p>
            <w:pPr>
              <w:spacing w:after="0"/>
              <w:rPr>
                <w:sz w:val="10"/>
                <w:szCs w:val="10"/>
                <w:color w:val="auto"/>
              </w:rPr>
            </w:pPr>
          </w:p>
        </w:tc>
        <w:tc>
          <w:tcPr>
            <w:tcW w:w="2520" w:type="dxa"/>
            <w:vAlign w:val="bottom"/>
            <w:tcBorders>
              <w:bottom w:val="single" w:sz="8" w:color="auto"/>
            </w:tcBorders>
          </w:tcPr>
          <w:p>
            <w:pPr>
              <w:jc w:val="right"/>
              <w:ind w:right="855"/>
              <w:spacing w:after="0"/>
              <w:rPr>
                <w:sz w:val="20"/>
                <w:szCs w:val="20"/>
                <w:color w:val="auto"/>
              </w:rPr>
            </w:pPr>
            <w:r>
              <w:rPr>
                <w:rFonts w:ascii="Arial" w:cs="Arial" w:eastAsia="Arial" w:hAnsi="Arial"/>
                <w:sz w:val="9"/>
                <w:szCs w:val="9"/>
                <w:b w:val="1"/>
                <w:bCs w:val="1"/>
                <w:color w:val="auto"/>
              </w:rPr>
              <w:t>at fiscal year end</w:t>
            </w:r>
          </w:p>
        </w:tc>
      </w:tr>
      <w:tr>
        <w:trPr>
          <w:trHeight w:val="16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Omid Farokhzad, M.D.</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33,964</w:t>
            </w:r>
          </w:p>
        </w:tc>
      </w:tr>
      <w:tr>
        <w:trPr>
          <w:trHeight w:val="175"/>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Timothy Barabe</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16,738</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Peter Barton Hutt J.D., L.L.B., L.L.M.</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51,280</w:t>
            </w:r>
          </w:p>
        </w:tc>
      </w:tr>
      <w:tr>
        <w:trPr>
          <w:trHeight w:val="175"/>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Amir Nashat, Ph.D.</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6,410</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Aymeric Sallin</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6,410</w:t>
            </w:r>
          </w:p>
        </w:tc>
      </w:tr>
      <w:tr>
        <w:trPr>
          <w:trHeight w:val="175"/>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Timothy Springer, Ph.D.</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6,410</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Patrick Zenner</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12,820</w:t>
            </w:r>
          </w:p>
        </w:tc>
      </w:tr>
    </w:tbl>
    <w:p>
      <w:pPr>
        <w:spacing w:after="0" w:line="116"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on our equity compensation plans as of December 31, 2017.</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540" w:type="dxa"/>
            <w:vAlign w:val="bottom"/>
          </w:tcPr>
          <w:p>
            <w:pPr>
              <w:spacing w:after="0"/>
              <w:rPr>
                <w:sz w:val="10"/>
                <w:szCs w:val="10"/>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Number of securities</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Number of securities</w:t>
            </w:r>
          </w:p>
        </w:tc>
      </w:tr>
      <w:tr>
        <w:trPr>
          <w:trHeight w:val="180"/>
        </w:trPr>
        <w:tc>
          <w:tcPr>
            <w:tcW w:w="3540" w:type="dxa"/>
            <w:vAlign w:val="bottom"/>
          </w:tcPr>
          <w:p>
            <w:pPr>
              <w:spacing w:after="0"/>
              <w:rPr>
                <w:sz w:val="15"/>
                <w:szCs w:val="15"/>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to be issued upon</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rPr>
              <w:t>Weighted-average</w:t>
            </w: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remaining available for</w:t>
            </w:r>
          </w:p>
        </w:tc>
      </w:tr>
      <w:tr>
        <w:trPr>
          <w:trHeight w:val="180"/>
        </w:trPr>
        <w:tc>
          <w:tcPr>
            <w:tcW w:w="3540" w:type="dxa"/>
            <w:vAlign w:val="bottom"/>
          </w:tcPr>
          <w:p>
            <w:pPr>
              <w:spacing w:after="0"/>
              <w:rPr>
                <w:sz w:val="15"/>
                <w:szCs w:val="15"/>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exercise of outstanding</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w w:val="98"/>
              </w:rPr>
              <w:t>exercise price of</w:t>
            </w: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future issuance under</w:t>
            </w:r>
          </w:p>
        </w:tc>
      </w:tr>
      <w:tr>
        <w:trPr>
          <w:trHeight w:val="180"/>
        </w:trPr>
        <w:tc>
          <w:tcPr>
            <w:tcW w:w="3540" w:type="dxa"/>
            <w:vAlign w:val="bottom"/>
          </w:tcPr>
          <w:p>
            <w:pPr>
              <w:spacing w:after="0"/>
              <w:rPr>
                <w:sz w:val="15"/>
                <w:szCs w:val="15"/>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stock options, warrants</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rPr>
              <w:t>outstanding options,</w:t>
            </w: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equity compensation</w:t>
            </w:r>
          </w:p>
        </w:tc>
      </w:tr>
      <w:tr>
        <w:trPr>
          <w:trHeight w:val="190"/>
        </w:trPr>
        <w:tc>
          <w:tcPr>
            <w:tcW w:w="3540" w:type="dxa"/>
            <w:vAlign w:val="bottom"/>
            <w:tcBorders>
              <w:bottom w:val="single" w:sz="8" w:color="auto"/>
            </w:tcBorders>
          </w:tcPr>
          <w:p>
            <w:pPr>
              <w:ind w:left="1480"/>
              <w:spacing w:after="0"/>
              <w:rPr>
                <w:sz w:val="20"/>
                <w:szCs w:val="20"/>
                <w:color w:val="auto"/>
              </w:rPr>
            </w:pPr>
            <w:r>
              <w:rPr>
                <w:rFonts w:ascii="Arial" w:cs="Arial" w:eastAsia="Arial" w:hAnsi="Arial"/>
                <w:sz w:val="9"/>
                <w:szCs w:val="9"/>
                <w:b w:val="1"/>
                <w:bCs w:val="1"/>
                <w:color w:val="auto"/>
              </w:rPr>
              <w:t>Plan category</w:t>
            </w:r>
          </w:p>
        </w:tc>
        <w:tc>
          <w:tcPr>
            <w:tcW w:w="1720" w:type="dxa"/>
            <w:vAlign w:val="bottom"/>
            <w:tcBorders>
              <w:bottom w:val="single" w:sz="8" w:color="auto"/>
            </w:tcBorders>
          </w:tcPr>
          <w:p>
            <w:pPr>
              <w:jc w:val="center"/>
              <w:ind w:left="535"/>
              <w:spacing w:after="0"/>
              <w:rPr>
                <w:sz w:val="20"/>
                <w:szCs w:val="20"/>
                <w:color w:val="auto"/>
              </w:rPr>
            </w:pPr>
            <w:r>
              <w:rPr>
                <w:rFonts w:ascii="Arial" w:cs="Arial" w:eastAsia="Arial" w:hAnsi="Arial"/>
                <w:sz w:val="9"/>
                <w:szCs w:val="9"/>
                <w:b w:val="1"/>
                <w:bCs w:val="1"/>
                <w:color w:val="auto"/>
                <w:w w:val="96"/>
              </w:rPr>
              <w:t>and rights</w:t>
            </w:r>
          </w:p>
        </w:tc>
        <w:tc>
          <w:tcPr>
            <w:tcW w:w="5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335"/>
              <w:spacing w:after="0"/>
              <w:rPr>
                <w:sz w:val="20"/>
                <w:szCs w:val="20"/>
                <w:color w:val="auto"/>
              </w:rPr>
            </w:pPr>
            <w:r>
              <w:rPr>
                <w:rFonts w:ascii="Arial" w:cs="Arial" w:eastAsia="Arial" w:hAnsi="Arial"/>
                <w:sz w:val="9"/>
                <w:szCs w:val="9"/>
                <w:b w:val="1"/>
                <w:bCs w:val="1"/>
                <w:color w:val="auto"/>
                <w:w w:val="98"/>
              </w:rPr>
              <w:t>warrants and rights</w:t>
            </w:r>
          </w:p>
        </w:tc>
        <w:tc>
          <w:tcPr>
            <w:tcW w:w="34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 xml:space="preserve">plans </w:t>
            </w:r>
            <w:r>
              <w:rPr>
                <w:rFonts w:ascii="Arial" w:cs="Arial" w:eastAsia="Arial" w:hAnsi="Arial"/>
                <w:sz w:val="15"/>
                <w:szCs w:val="15"/>
                <w:b w:val="1"/>
                <w:bCs w:val="1"/>
                <w:color w:val="auto"/>
                <w:w w:val="88"/>
                <w:vertAlign w:val="superscript"/>
              </w:rPr>
              <w:t>(1)</w:t>
            </w:r>
          </w:p>
        </w:tc>
        <w:tc>
          <w:tcPr>
            <w:tcW w:w="360" w:type="dxa"/>
            <w:vAlign w:val="bottom"/>
          </w:tcPr>
          <w:p>
            <w:pPr>
              <w:spacing w:after="0"/>
              <w:rPr>
                <w:sz w:val="16"/>
                <w:szCs w:val="16"/>
                <w:color w:val="auto"/>
              </w:rPr>
            </w:pPr>
          </w:p>
        </w:tc>
      </w:tr>
      <w:tr>
        <w:trPr>
          <w:trHeight w:val="164"/>
        </w:trPr>
        <w:tc>
          <w:tcPr>
            <w:tcW w:w="3540" w:type="dxa"/>
            <w:vAlign w:val="bottom"/>
          </w:tcPr>
          <w:p>
            <w:pPr>
              <w:spacing w:after="0"/>
              <w:rPr>
                <w:sz w:val="14"/>
                <w:szCs w:val="14"/>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w w:val="90"/>
              </w:rPr>
              <w:t>(a)</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w w:val="86"/>
              </w:rPr>
              <w:t>(b)</w:t>
            </w: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0"/>
              </w:rPr>
              <w:t>(c)</w:t>
            </w:r>
          </w:p>
        </w:tc>
      </w:tr>
      <w:tr>
        <w:trPr>
          <w:trHeight w:val="149"/>
        </w:trPr>
        <w:tc>
          <w:tcPr>
            <w:tcW w:w="3540" w:type="dxa"/>
            <w:vAlign w:val="bottom"/>
            <w:shd w:val="clear" w:color="auto" w:fill="CCEEFF"/>
          </w:tcPr>
          <w:p>
            <w:pPr>
              <w:ind w:left="20"/>
              <w:spacing w:after="0"/>
              <w:rPr>
                <w:sz w:val="20"/>
                <w:szCs w:val="20"/>
                <w:color w:val="auto"/>
              </w:rPr>
            </w:pPr>
            <w:r>
              <w:rPr>
                <w:rFonts w:ascii="Arial" w:cs="Arial" w:eastAsia="Arial" w:hAnsi="Arial"/>
                <w:sz w:val="9"/>
                <w:szCs w:val="9"/>
                <w:color w:val="auto"/>
              </w:rPr>
              <w:t>Equity compensation plans approved by security holders (2)</w:t>
            </w:r>
          </w:p>
        </w:tc>
        <w:tc>
          <w:tcPr>
            <w:tcW w:w="17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2,657,187</w:t>
            </w: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8"/>
                <w:szCs w:val="8"/>
                <w:color w:val="auto"/>
                <w:w w:val="81"/>
              </w:rPr>
              <w:t>(3)</w:t>
            </w:r>
          </w:p>
        </w:tc>
        <w:tc>
          <w:tcPr>
            <w:tcW w:w="40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w:t>
            </w:r>
          </w:p>
        </w:tc>
        <w:tc>
          <w:tcPr>
            <w:tcW w:w="2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9"/>
                <w:szCs w:val="9"/>
                <w:color w:val="auto"/>
              </w:rPr>
              <w:t xml:space="preserve">10.00   </w:t>
            </w:r>
            <w:r>
              <w:rPr>
                <w:rFonts w:ascii="Arial" w:cs="Arial" w:eastAsia="Arial" w:hAnsi="Arial"/>
                <w:sz w:val="15"/>
                <w:szCs w:val="15"/>
                <w:color w:val="auto"/>
                <w:vertAlign w:val="superscript"/>
              </w:rPr>
              <w:t>(4)</w:t>
            </w:r>
          </w:p>
        </w:tc>
        <w:tc>
          <w:tcPr>
            <w:tcW w:w="2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9"/>
                <w:szCs w:val="9"/>
                <w:color w:val="auto"/>
              </w:rPr>
              <w:t xml:space="preserve">904,493   </w:t>
            </w:r>
            <w:r>
              <w:rPr>
                <w:rFonts w:ascii="Arial" w:cs="Arial" w:eastAsia="Arial" w:hAnsi="Arial"/>
                <w:sz w:val="15"/>
                <w:szCs w:val="15"/>
                <w:color w:val="auto"/>
                <w:vertAlign w:val="superscript"/>
              </w:rPr>
              <w:t>(5)</w:t>
            </w:r>
          </w:p>
        </w:tc>
      </w:tr>
      <w:tr>
        <w:trPr>
          <w:trHeight w:val="175"/>
        </w:trPr>
        <w:tc>
          <w:tcPr>
            <w:tcW w:w="3540" w:type="dxa"/>
            <w:vAlign w:val="bottom"/>
          </w:tcPr>
          <w:p>
            <w:pPr>
              <w:ind w:left="20"/>
              <w:spacing w:after="0"/>
              <w:rPr>
                <w:sz w:val="20"/>
                <w:szCs w:val="20"/>
                <w:color w:val="auto"/>
              </w:rPr>
            </w:pPr>
            <w:r>
              <w:rPr>
                <w:rFonts w:ascii="Arial" w:cs="Arial" w:eastAsia="Arial" w:hAnsi="Arial"/>
                <w:sz w:val="9"/>
                <w:szCs w:val="9"/>
                <w:color w:val="auto"/>
              </w:rPr>
              <w:t>Equity compensation plans not approved by security holders</w:t>
            </w:r>
          </w:p>
        </w:tc>
        <w:tc>
          <w:tcPr>
            <w:tcW w:w="17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2"/>
          </w:tcPr>
          <w:p>
            <w:pPr>
              <w:jc w:val="right"/>
              <w:ind w:right="440"/>
              <w:spacing w:after="0"/>
              <w:rPr>
                <w:sz w:val="20"/>
                <w:szCs w:val="20"/>
                <w:color w:val="auto"/>
              </w:rPr>
            </w:pPr>
            <w:r>
              <w:rPr>
                <w:rFonts w:ascii="Arial" w:cs="Arial" w:eastAsia="Arial" w:hAnsi="Arial"/>
                <w:sz w:val="9"/>
                <w:szCs w:val="9"/>
                <w:color w:val="auto"/>
              </w:rPr>
              <w:t>—</w:t>
            </w:r>
          </w:p>
        </w:tc>
        <w:tc>
          <w:tcPr>
            <w:tcW w:w="2640" w:type="dxa"/>
            <w:vAlign w:val="bottom"/>
            <w:gridSpan w:val="2"/>
          </w:tcPr>
          <w:p>
            <w:pPr>
              <w:jc w:val="right"/>
              <w:ind w:right="460"/>
              <w:spacing w:after="0"/>
              <w:rPr>
                <w:sz w:val="20"/>
                <w:szCs w:val="20"/>
                <w:color w:val="auto"/>
              </w:rPr>
            </w:pPr>
            <w:r>
              <w:rPr>
                <w:rFonts w:ascii="Arial" w:cs="Arial" w:eastAsia="Arial" w:hAnsi="Arial"/>
                <w:sz w:val="9"/>
                <w:szCs w:val="9"/>
                <w:color w:val="auto"/>
              </w:rPr>
              <w:t>—</w:t>
            </w:r>
          </w:p>
        </w:tc>
      </w:tr>
      <w:tr>
        <w:trPr>
          <w:trHeight w:val="163"/>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Total</w:t>
            </w:r>
          </w:p>
        </w:tc>
        <w:tc>
          <w:tcPr>
            <w:tcW w:w="17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2,657,187</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9"/>
                <w:szCs w:val="9"/>
                <w:color w:val="auto"/>
              </w:rPr>
              <w:t>$</w:t>
            </w:r>
          </w:p>
        </w:tc>
        <w:tc>
          <w:tcPr>
            <w:tcW w:w="18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10.00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904,493</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108" w:lineRule="exact"/>
        <w:rPr>
          <w:sz w:val="20"/>
          <w:szCs w:val="20"/>
          <w:color w:val="auto"/>
        </w:rPr>
      </w:pPr>
    </w:p>
    <w:p>
      <w:pPr>
        <w:ind w:left="208" w:right="60" w:hanging="208"/>
        <w:spacing w:after="0" w:line="253" w:lineRule="auto"/>
        <w:tabs>
          <w:tab w:leader="none" w:pos="208" w:val="left"/>
        </w:tabs>
        <w:numPr>
          <w:ilvl w:val="0"/>
          <w:numId w:val="28"/>
        </w:numPr>
        <w:rPr>
          <w:rFonts w:ascii="Arial" w:cs="Arial" w:eastAsia="Arial" w:hAnsi="Arial"/>
          <w:sz w:val="9"/>
          <w:szCs w:val="9"/>
          <w:color w:val="auto"/>
        </w:rPr>
      </w:pPr>
      <w:r>
        <w:rPr>
          <w:rFonts w:ascii="Arial" w:cs="Arial" w:eastAsia="Arial" w:hAnsi="Arial"/>
          <w:sz w:val="9"/>
          <w:szCs w:val="9"/>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 of Directors.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04" w:lineRule="exact"/>
        <w:rPr>
          <w:rFonts w:ascii="Arial" w:cs="Arial" w:eastAsia="Arial" w:hAnsi="Arial"/>
          <w:sz w:val="9"/>
          <w:szCs w:val="9"/>
          <w:color w:val="auto"/>
        </w:rPr>
      </w:pPr>
    </w:p>
    <w:p>
      <w:pPr>
        <w:ind w:left="208" w:hanging="208"/>
        <w:spacing w:after="0"/>
        <w:tabs>
          <w:tab w:leader="none" w:pos="208" w:val="left"/>
        </w:tabs>
        <w:numPr>
          <w:ilvl w:val="0"/>
          <w:numId w:val="28"/>
        </w:numPr>
        <w:rPr>
          <w:rFonts w:ascii="Arial" w:cs="Arial" w:eastAsia="Arial" w:hAnsi="Arial"/>
          <w:sz w:val="9"/>
          <w:szCs w:val="9"/>
          <w:color w:val="auto"/>
        </w:rPr>
      </w:pPr>
      <w:r>
        <w:rPr>
          <w:rFonts w:ascii="Arial" w:cs="Arial" w:eastAsia="Arial" w:hAnsi="Arial"/>
          <w:sz w:val="9"/>
          <w:szCs w:val="9"/>
          <w:color w:val="auto"/>
        </w:rPr>
        <w:t>Includes the 2016 Plan, the 2008 Plan and the 2016 ESPP.</w:t>
      </w:r>
    </w:p>
    <w:p>
      <w:pPr>
        <w:spacing w:after="0" w:line="112" w:lineRule="exact"/>
        <w:rPr>
          <w:rFonts w:ascii="Arial" w:cs="Arial" w:eastAsia="Arial" w:hAnsi="Arial"/>
          <w:sz w:val="9"/>
          <w:szCs w:val="9"/>
          <w:color w:val="auto"/>
        </w:rPr>
      </w:pPr>
    </w:p>
    <w:p>
      <w:pPr>
        <w:ind w:left="208" w:hanging="208"/>
        <w:spacing w:after="0"/>
        <w:tabs>
          <w:tab w:leader="none" w:pos="208" w:val="left"/>
        </w:tabs>
        <w:numPr>
          <w:ilvl w:val="0"/>
          <w:numId w:val="28"/>
        </w:numPr>
        <w:rPr>
          <w:rFonts w:ascii="Arial" w:cs="Arial" w:eastAsia="Arial" w:hAnsi="Arial"/>
          <w:sz w:val="9"/>
          <w:szCs w:val="9"/>
          <w:color w:val="auto"/>
        </w:rPr>
      </w:pPr>
      <w:r>
        <w:rPr>
          <w:rFonts w:ascii="Arial" w:cs="Arial" w:eastAsia="Arial" w:hAnsi="Arial"/>
          <w:sz w:val="9"/>
          <w:szCs w:val="9"/>
          <w:color w:val="auto"/>
        </w:rPr>
        <w:t>Includes 1,388,515 outstanding options to purchase stock under the 2008 Plan and 1,268,672 outstanding options to purchase stock under the 2016 Plan.</w:t>
      </w:r>
    </w:p>
    <w:p>
      <w:pPr>
        <w:spacing w:after="0" w:line="112" w:lineRule="exact"/>
        <w:rPr>
          <w:rFonts w:ascii="Arial" w:cs="Arial" w:eastAsia="Arial" w:hAnsi="Arial"/>
          <w:sz w:val="9"/>
          <w:szCs w:val="9"/>
          <w:color w:val="auto"/>
        </w:rPr>
      </w:pPr>
    </w:p>
    <w:p>
      <w:pPr>
        <w:ind w:left="208" w:hanging="208"/>
        <w:spacing w:after="0"/>
        <w:tabs>
          <w:tab w:leader="none" w:pos="208" w:val="left"/>
        </w:tabs>
        <w:numPr>
          <w:ilvl w:val="0"/>
          <w:numId w:val="28"/>
        </w:numPr>
        <w:rPr>
          <w:rFonts w:ascii="Arial" w:cs="Arial" w:eastAsia="Arial" w:hAnsi="Arial"/>
          <w:sz w:val="9"/>
          <w:szCs w:val="9"/>
          <w:color w:val="auto"/>
        </w:rPr>
      </w:pPr>
      <w:r>
        <w:rPr>
          <w:rFonts w:ascii="Arial" w:cs="Arial" w:eastAsia="Arial" w:hAnsi="Arial"/>
          <w:sz w:val="9"/>
          <w:szCs w:val="9"/>
          <w:color w:val="auto"/>
        </w:rPr>
        <w:t>As of December 31, 2017, the weighted-average exercise price of outstanding options under the 2008 Plan was $5.47 and the weighted-average exercise price of outstanding options under the 2016 Plan was $14.96.</w:t>
      </w:r>
    </w:p>
    <w:p>
      <w:pPr>
        <w:spacing w:after="0" w:line="112" w:lineRule="exact"/>
        <w:rPr>
          <w:rFonts w:ascii="Arial" w:cs="Arial" w:eastAsia="Arial" w:hAnsi="Arial"/>
          <w:sz w:val="9"/>
          <w:szCs w:val="9"/>
          <w:color w:val="auto"/>
        </w:rPr>
      </w:pPr>
    </w:p>
    <w:p>
      <w:pPr>
        <w:ind w:left="208" w:right="240" w:hanging="208"/>
        <w:spacing w:after="0" w:line="260" w:lineRule="auto"/>
        <w:tabs>
          <w:tab w:leader="none" w:pos="208" w:val="left"/>
        </w:tabs>
        <w:numPr>
          <w:ilvl w:val="0"/>
          <w:numId w:val="28"/>
        </w:numPr>
        <w:rPr>
          <w:rFonts w:ascii="Arial" w:cs="Arial" w:eastAsia="Arial" w:hAnsi="Arial"/>
          <w:sz w:val="9"/>
          <w:szCs w:val="9"/>
          <w:color w:val="auto"/>
        </w:rPr>
      </w:pPr>
      <w:r>
        <w:rPr>
          <w:rFonts w:ascii="Arial" w:cs="Arial" w:eastAsia="Arial" w:hAnsi="Arial"/>
          <w:sz w:val="9"/>
          <w:szCs w:val="9"/>
          <w:color w:val="auto"/>
        </w:rPr>
        <w:t>Represents 563,300 shares available for issuance under the 2016 Plan and 341,193 shares available for issuance under the 2016 ESPP. To the extent outstanding stock options under the 2008 Plan are forfeited or lapse unexercised, the shares of common stock subject to such stock option awards will be available for issuance under the 2016 Plan. On December 31, 2017, a total of 29,127 shares were subject to outstanding purchase rights under the ESPP.</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29</w:t>
      </w:r>
    </w:p>
    <w:p>
      <w:pPr>
        <w:sectPr>
          <w:pgSz w:w="11900" w:h="16838" w:orient="portrait"/>
          <w:cols w:equalWidth="0" w:num="1">
            <w:col w:w="11488"/>
          </w:cols>
          <w:pgMar w:left="212" w:top="413" w:right="199" w:bottom="1440" w:gutter="0" w:footer="0" w:header="0"/>
        </w:sectPr>
      </w:pPr>
    </w:p>
    <w:bookmarkStart w:id="35" w:name="page36"/>
    <w:bookmarkEnd w:id="35"/>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20" w:lineRule="exact"/>
        <w:rPr>
          <w:sz w:val="20"/>
          <w:szCs w:val="20"/>
          <w:color w:val="auto"/>
        </w:rPr>
      </w:pPr>
    </w:p>
    <w:p>
      <w:pPr>
        <w:ind w:left="8" w:right="40"/>
        <w:spacing w:after="0" w:line="252" w:lineRule="auto"/>
        <w:rPr>
          <w:sz w:val="20"/>
          <w:szCs w:val="20"/>
          <w:color w:val="auto"/>
        </w:rPr>
      </w:pPr>
      <w:r>
        <w:rPr>
          <w:rFonts w:ascii="Arial" w:cs="Arial" w:eastAsia="Arial" w:hAnsi="Arial"/>
          <w:sz w:val="12"/>
          <w:szCs w:val="12"/>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as of April 20, 2018,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22,349,840 shares of Common Stock outstanding as of April 20, 2018. In computing the number of shares beneficially owned by a person and the percentage ownership of that person, shares of Common Stock subject to options, warrants or other rights held by such person that are currently exercisable or will become exercisable within 60 days of April 20, 2018 are considered outstanding, although these shares are not considered outstanding for purposes of computing the percentage ownership of any other person.</w:t>
      </w:r>
    </w:p>
    <w:p>
      <w:pPr>
        <w:spacing w:after="0" w:line="22" w:lineRule="exact"/>
        <w:rPr>
          <w:sz w:val="20"/>
          <w:szCs w:val="20"/>
          <w:color w:val="auto"/>
        </w:rPr>
      </w:pPr>
    </w:p>
    <w:p>
      <w:pPr>
        <w:ind w:left="8" w:right="220"/>
        <w:spacing w:after="0" w:line="262" w:lineRule="auto"/>
        <w:rPr>
          <w:sz w:val="20"/>
          <w:szCs w:val="20"/>
          <w:color w:val="auto"/>
        </w:rPr>
      </w:pPr>
      <w:r>
        <w:rPr>
          <w:rFonts w:ascii="Arial" w:cs="Arial" w:eastAsia="Arial" w:hAnsi="Arial"/>
          <w:sz w:val="12"/>
          <w:szCs w:val="12"/>
          <w:color w:val="auto"/>
        </w:rPr>
        <w:t>Unless otherwise indicated, the address of each beneficial owner listed below is 480 Arsenal Way,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jc w:val="center"/>
              <w:ind w:left="595"/>
              <w:spacing w:after="0"/>
              <w:rPr>
                <w:sz w:val="20"/>
                <w:szCs w:val="20"/>
                <w:color w:val="auto"/>
              </w:rPr>
            </w:pPr>
            <w:r>
              <w:rPr>
                <w:rFonts w:ascii="Arial" w:cs="Arial" w:eastAsia="Arial" w:hAnsi="Arial"/>
                <w:sz w:val="9"/>
                <w:szCs w:val="9"/>
                <w:b w:val="1"/>
                <w:bCs w:val="1"/>
                <w:color w:val="auto"/>
              </w:rPr>
              <w:t>Number of</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Pr>
          <w:p>
            <w:pPr>
              <w:jc w:val="center"/>
              <w:spacing w:after="0"/>
              <w:rPr>
                <w:sz w:val="20"/>
                <w:szCs w:val="20"/>
                <w:color w:val="auto"/>
              </w:rPr>
            </w:pPr>
            <w:r>
              <w:rPr>
                <w:rFonts w:ascii="Arial" w:cs="Arial" w:eastAsia="Arial" w:hAnsi="Arial"/>
                <w:sz w:val="9"/>
                <w:szCs w:val="9"/>
                <w:b w:val="1"/>
                <w:bCs w:val="1"/>
                <w:color w:val="auto"/>
              </w:rPr>
              <w:t>Percentage</w:t>
            </w:r>
          </w:p>
        </w:tc>
      </w:tr>
      <w:tr>
        <w:trPr>
          <w:trHeight w:val="99"/>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jc w:val="center"/>
              <w:ind w:left="595"/>
              <w:spacing w:after="0" w:line="99" w:lineRule="exact"/>
              <w:rPr>
                <w:sz w:val="20"/>
                <w:szCs w:val="20"/>
                <w:color w:val="auto"/>
              </w:rPr>
            </w:pPr>
            <w:r>
              <w:rPr>
                <w:rFonts w:ascii="Arial" w:cs="Arial" w:eastAsia="Arial" w:hAnsi="Arial"/>
                <w:sz w:val="9"/>
                <w:szCs w:val="9"/>
                <w:b w:val="1"/>
                <w:bCs w:val="1"/>
                <w:color w:val="auto"/>
              </w:rPr>
              <w:t>shares</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of shares</w:t>
            </w:r>
          </w:p>
        </w:tc>
      </w:tr>
      <w:tr>
        <w:trPr>
          <w:trHeight w:val="99"/>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jc w:val="center"/>
              <w:ind w:left="595"/>
              <w:spacing w:after="0" w:line="99"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beneficially</w:t>
            </w:r>
          </w:p>
        </w:tc>
      </w:tr>
      <w:tr>
        <w:trPr>
          <w:trHeight w:val="1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 of beneficial owner</w:t>
            </w:r>
          </w:p>
        </w:tc>
        <w:tc>
          <w:tcPr>
            <w:tcW w:w="120" w:type="dxa"/>
            <w:vAlign w:val="bottom"/>
            <w:tcBorders>
              <w:bottom w:val="single" w:sz="8" w:color="CFF0FC"/>
            </w:tcBorders>
          </w:tcPr>
          <w:p>
            <w:pPr>
              <w:spacing w:after="0"/>
              <w:rPr>
                <w:sz w:val="10"/>
                <w:szCs w:val="10"/>
                <w:color w:val="auto"/>
              </w:rPr>
            </w:pPr>
          </w:p>
        </w:tc>
        <w:tc>
          <w:tcPr>
            <w:tcW w:w="1420" w:type="dxa"/>
            <w:vAlign w:val="bottom"/>
            <w:tcBorders>
              <w:bottom w:val="single" w:sz="8" w:color="auto"/>
            </w:tcBorders>
          </w:tcPr>
          <w:p>
            <w:pPr>
              <w:jc w:val="center"/>
              <w:ind w:left="595"/>
              <w:spacing w:after="0"/>
              <w:rPr>
                <w:sz w:val="20"/>
                <w:szCs w:val="20"/>
                <w:color w:val="auto"/>
              </w:rPr>
            </w:pPr>
            <w:r>
              <w:rPr>
                <w:rFonts w:ascii="Arial" w:cs="Arial" w:eastAsia="Arial" w:hAnsi="Arial"/>
                <w:sz w:val="9"/>
                <w:szCs w:val="9"/>
                <w:b w:val="1"/>
                <w:bCs w:val="1"/>
                <w:color w:val="auto"/>
              </w:rPr>
              <w:t>owned</w:t>
            </w: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owned</w:t>
            </w:r>
          </w:p>
        </w:tc>
      </w:tr>
      <w:tr>
        <w:trPr>
          <w:trHeight w:val="16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b w:val="1"/>
                <w:bCs w:val="1"/>
                <w:i w:val="1"/>
                <w:iCs w:val="1"/>
                <w:color w:val="auto"/>
              </w:rPr>
              <w:t>5% Stockholders</w:t>
            </w:r>
          </w:p>
        </w:tc>
        <w:tc>
          <w:tcPr>
            <w:tcW w:w="14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TAS Partners LLC, and Leukon Partners, LP as affiliated entities (1)</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2,237,713</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10.0%</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Entities affiliated with OrbiMed Advisors LLC (2)</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1,849,371</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8.3%</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Entities affiliated with Polaris Partners (3)</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1,627,527</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7.3%</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Vivo Capital VIII, LLC (4)</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1,119,189</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5.0%</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RUSNANO (5)</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1,118,368</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5.0%</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b w:val="1"/>
                <w:bCs w:val="1"/>
                <w:i w:val="1"/>
                <w:iCs w:val="1"/>
                <w:color w:val="auto"/>
              </w:rPr>
              <w:t>Named Executive Officers, Directors and Nominees</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Werner Cautreels, Ph.D. (6)</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647,433</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2.9%</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Lloyd Johnston, Ph.D. (7)</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127,868</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John Leaman, M.D.</w:t>
            </w:r>
          </w:p>
        </w:tc>
        <w:tc>
          <w:tcPr>
            <w:tcW w:w="14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206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Omid Farokhzad, M.D. (8)</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451,781</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2.0%</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Timothy C. Barabe (9)</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19,244</w:t>
            </w:r>
          </w:p>
        </w:tc>
        <w:tc>
          <w:tcPr>
            <w:tcW w:w="120" w:type="dxa"/>
            <w:vAlign w:val="bottom"/>
          </w:tcPr>
          <w:p>
            <w:pPr>
              <w:spacing w:after="0"/>
              <w:rPr>
                <w:sz w:val="15"/>
                <w:szCs w:val="15"/>
                <w:color w:val="auto"/>
              </w:rPr>
            </w:pPr>
          </w:p>
        </w:tc>
        <w:tc>
          <w:tcPr>
            <w:tcW w:w="206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Peter Barton Hutt, LL.B., LL.M. (10)</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51,280</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Amir Nashat, Ph.D. (3) (11)</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1,633,937</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7.3%</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Aymeric Sallin (12)</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6,410</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Timothy A. Springer, Ph.D. (1) (13)</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2,244,123</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10.0%</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Patrick Zenner (14)</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4,273</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r>
      <w:tr>
        <w:trPr>
          <w:trHeight w:val="198"/>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80"/>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All executive officers, directors and director nominees as a group (14 persons) (15)</w:t>
            </w:r>
          </w:p>
        </w:tc>
        <w:tc>
          <w:tcPr>
            <w:tcW w:w="14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5,624,187</w:t>
            </w:r>
          </w:p>
        </w:tc>
        <w:tc>
          <w:tcPr>
            <w:tcW w:w="12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25.2%</w:t>
            </w:r>
          </w:p>
        </w:tc>
      </w:tr>
    </w:tbl>
    <w:p>
      <w:pPr>
        <w:spacing w:after="0" w:line="108" w:lineRule="exact"/>
        <w:rPr>
          <w:sz w:val="20"/>
          <w:szCs w:val="20"/>
          <w:color w:val="auto"/>
        </w:rPr>
      </w:pPr>
    </w:p>
    <w:p>
      <w:pPr>
        <w:ind w:left="708" w:hanging="690"/>
        <w:spacing w:after="0"/>
        <w:tabs>
          <w:tab w:leader="none" w:pos="708" w:val="left"/>
        </w:tabs>
        <w:numPr>
          <w:ilvl w:val="0"/>
          <w:numId w:val="29"/>
        </w:numPr>
        <w:rPr>
          <w:rFonts w:ascii="Arial" w:cs="Arial" w:eastAsia="Arial" w:hAnsi="Arial"/>
          <w:sz w:val="9"/>
          <w:szCs w:val="9"/>
          <w:color w:val="auto"/>
        </w:rPr>
      </w:pPr>
      <w:r>
        <w:rPr>
          <w:rFonts w:ascii="Arial" w:cs="Arial" w:eastAsia="Arial" w:hAnsi="Arial"/>
          <w:sz w:val="9"/>
          <w:szCs w:val="9"/>
          <w:color w:val="auto"/>
        </w:rPr>
        <w:t>Represents beneficial ownership of less than one percent of our outstanding common stock.</w:t>
      </w:r>
    </w:p>
    <w:p>
      <w:pPr>
        <w:spacing w:after="0" w:line="86" w:lineRule="exact"/>
        <w:rPr>
          <w:sz w:val="20"/>
          <w:szCs w:val="20"/>
          <w:color w:val="auto"/>
        </w:rPr>
      </w:pPr>
    </w:p>
    <w:p>
      <w:pPr>
        <w:ind w:left="208" w:right="20" w:hanging="208"/>
        <w:spacing w:after="0" w:line="253" w:lineRule="auto"/>
        <w:tabs>
          <w:tab w:leader="none" w:pos="208" w:val="left"/>
        </w:tabs>
        <w:numPr>
          <w:ilvl w:val="0"/>
          <w:numId w:val="30"/>
        </w:numPr>
        <w:rPr>
          <w:rFonts w:ascii="Arial" w:cs="Arial" w:eastAsia="Arial" w:hAnsi="Arial"/>
          <w:sz w:val="9"/>
          <w:szCs w:val="9"/>
          <w:color w:val="auto"/>
        </w:rPr>
      </w:pPr>
      <w:r>
        <w:rPr>
          <w:rFonts w:ascii="Arial" w:cs="Arial" w:eastAsia="Arial" w:hAnsi="Arial"/>
          <w:sz w:val="9"/>
          <w:szCs w:val="9"/>
          <w:color w:val="auto"/>
        </w:rPr>
        <w:t>Consists of (i) 445,576 shares of common stock held by TAS Partners, LLC, or TAS, (ii) 4,304 shares of common stock underlying warrants currently exercisable or exercisable within 60 days of April 20, 2018 held by TAS, (iii) 1,237,028 shares of common stock held by Leukon Investments LP, or Leukon, (iv) 5,326 shares of common stock underlying warrants currently exercisable or exercisable within 60 days of April 20, 2018 held by Leukon, (v) 79,130 shares of common stock underlying warrants currently exercisable or exercisable within 60 days of April 20, 2018 held by Dr. Timothy Springer, and (vi) 5,000 shares of common stock held by Dr. Springer's wife. LKST, Inc. is the general partner of Leukon. Dr. Springer, our director, is the president of LKST, Inc. and is also the manager of TAS. Dr. Springer disclaims beneficial ownership of the shares held by TAS and Leukon. Each</w:t>
      </w:r>
    </w:p>
    <w:p>
      <w:pPr>
        <w:spacing w:after="0" w:line="230"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30</w:t>
      </w:r>
    </w:p>
    <w:p>
      <w:pPr>
        <w:sectPr>
          <w:pgSz w:w="11900" w:h="16838" w:orient="portrait"/>
          <w:cols w:equalWidth="0" w:num="1">
            <w:col w:w="11488"/>
          </w:cols>
          <w:pgMar w:left="212" w:top="872" w:right="199" w:bottom="1440" w:gutter="0" w:footer="0" w:header="0"/>
        </w:sectPr>
      </w:pPr>
    </w:p>
    <w:bookmarkStart w:id="36" w:name="page37"/>
    <w:bookmarkEnd w:id="36"/>
    <w:p>
      <w:pPr>
        <w:ind w:left="208"/>
        <w:spacing w:after="0"/>
        <w:rPr>
          <w:sz w:val="20"/>
          <w:szCs w:val="20"/>
          <w:color w:val="auto"/>
        </w:rPr>
      </w:pPr>
      <w:r>
        <w:rPr>
          <w:rFonts w:ascii="Arial" w:cs="Arial" w:eastAsia="Arial" w:hAnsi="Arial"/>
          <w:sz w:val="9"/>
          <w:szCs w:val="9"/>
          <w:color w:val="auto"/>
        </w:rPr>
        <w:t>of TAS and Leukon disclaim beneficial ownership of the shares held by the other. The address of TAS and Leukon is 36 Woodman Road, Chestnut Hill, MA 02467.</w:t>
      </w:r>
    </w:p>
    <w:p>
      <w:pPr>
        <w:spacing w:after="0" w:line="176" w:lineRule="exact"/>
        <w:rPr>
          <w:sz w:val="20"/>
          <w:szCs w:val="20"/>
          <w:color w:val="auto"/>
        </w:rPr>
      </w:pPr>
    </w:p>
    <w:p>
      <w:pPr>
        <w:ind w:left="208" w:right="20" w:hanging="208"/>
        <w:spacing w:after="0" w:line="252" w:lineRule="auto"/>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Based solely on a Schedule 13D/A filed with the SEC on January 26, 2018, consists of (i) 1,825,415 shares of common stock held by OrbiMed Private Investments III, LP, or OPI III, (ii) 17,382 shares of common stock held by OrbiMed Associates III, LP, or Associates III and, together with OPI III, the OrbiMed Funds, and (iii) 6,574 shares of common stock underlying warrants currently exercisable or exercisable within 60 days of April 20, 2018. OrbiMed Capital GP III LLC, or GP III, is the sole general partner of OPI III and OrbiMed Advisors LLC, or OrbiMed Advisors, is the sole managing member of GP III and the sole general partner of Associates III. By virtue of such relationships, GP III and OrbiMed Advisors may be deemed to have shared voting and investment power over the shares held by OPI III and OrbiMed Advisors may be deemed to have voting and investment power over the shares held by Associates III. OrbiMed Advisors exercises its investment and voting power through a management committee comprised of Carl L. Gordon, Sven H. Borho and Jonathan T. Silverstein, each of whom disclaims beneficial ownership of the shares held by OPI III and Associates III. OrbiMed Advisors and GP III have their principal offices at 601 Lexington Avenue, 54th Floor, New York, NY 10022.</w:t>
      </w:r>
    </w:p>
    <w:p>
      <w:pPr>
        <w:spacing w:after="0" w:line="141" w:lineRule="exact"/>
        <w:rPr>
          <w:rFonts w:ascii="Arial" w:cs="Arial" w:eastAsia="Arial" w:hAnsi="Arial"/>
          <w:sz w:val="9"/>
          <w:szCs w:val="9"/>
          <w:color w:val="auto"/>
        </w:rPr>
      </w:pPr>
    </w:p>
    <w:p>
      <w:pPr>
        <w:ind w:left="208" w:right="20" w:hanging="208"/>
        <w:spacing w:after="0" w:line="250" w:lineRule="auto"/>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Based on a Schedule 13D/A filed with the SEC on September 29, 2017, consists of (i) 1,550,478 shares of common stock held by Polaris Venture Partners V, L.P., or PVP V, (ii) 19,990 shares of common stock underlying warrants currently exercisable or exercisable within 60 days of April 20, 2018 held by PVP V, (iii) 30,215 shares of common stock held by Polaris Venture Partners Entrepreneurs’ Fund V, L.P., or PVPE V, (iv) 389 shares of common stock underlying warrants currently exercisable or exercisable within 60 days of April 20, 2018 held by PVPE V,</w:t>
      </w:r>
    </w:p>
    <w:p>
      <w:pPr>
        <w:ind w:left="208"/>
        <w:spacing w:after="0" w:line="252" w:lineRule="auto"/>
        <w:rPr>
          <w:rFonts w:ascii="Arial" w:cs="Arial" w:eastAsia="Arial" w:hAnsi="Arial"/>
          <w:sz w:val="9"/>
          <w:szCs w:val="9"/>
          <w:color w:val="auto"/>
        </w:rPr>
      </w:pPr>
      <w:r>
        <w:rPr>
          <w:rFonts w:ascii="Arial" w:cs="Arial" w:eastAsia="Arial" w:hAnsi="Arial"/>
          <w:sz w:val="9"/>
          <w:szCs w:val="9"/>
          <w:color w:val="auto"/>
        </w:rPr>
        <w:t>(v) 10,618 shares of common stock held by Polaris Venture Partners Founders’ Fund V, L.P., or PVPFF V, (vi) 136 shares of common stock underlying warrants currently exercisable or exercisable within 60 days of April 20, 2018 held by PVPFF V, (vii) 15,502 shares of common stock held by Polaris Venture Partners Special Founders’ Fund V, L.P., or PVPSFF V and, together with PVP V, PVPE V, PVPFF V and PVPSFF V, the Funds, and (viii) 199 shares of common stock underlying warrants currently exercisable or exercisable within 60 days of April 20, 2018 held by PVPSFF V. The general partner of each of the Funds is Polaris Venture Management Co., V, L.L.C., or PVM V. PVM V may be deemed to have sole voting and investment power with respect to the shares held by the Funds. Jonathan A. Flint and Terrance G. McGuire are managing members of PVM V and Dr. Amir Nashat, our director, is a member of PVM V. As a result, each of Messrs. Flint and McGuire and Dr. Nashat may be deemed to have shared voting and investment powers for the shares held by the Funds. Each such person disclaims beneficial ownership of all securities other than those he or she owns directly, if any, or by virtue of his or her indirect pro rata interest, as a member of PVM V, in the securities owned by the Funds. The address of the beneficial owners is c/o Polaris Partners, One Marina Park Drive, 10th Floor, Boston, Massachusetts, 02210.</w:t>
      </w:r>
    </w:p>
    <w:p>
      <w:pPr>
        <w:spacing w:after="0" w:line="140" w:lineRule="exact"/>
        <w:rPr>
          <w:rFonts w:ascii="Arial" w:cs="Arial" w:eastAsia="Arial" w:hAnsi="Arial"/>
          <w:sz w:val="9"/>
          <w:szCs w:val="9"/>
          <w:color w:val="auto"/>
        </w:rPr>
      </w:pPr>
    </w:p>
    <w:p>
      <w:pPr>
        <w:ind w:left="208" w:right="40" w:hanging="208"/>
        <w:spacing w:after="0" w:line="255" w:lineRule="auto"/>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Based on a Schedule 13G filed with the SEC on June 30, 2017, consists of (i) 983,395 shares of common stock held by Vivo Capital Fund VIII, L.P. or Vivo Fund, and (ii) 135,794 shares of common stock held by Vivo Capital Surplus Fund VIII, L.P., or Vivo Surplus Fund. Vivo Capital VIII, LLC, or Vivo GP is the general partner of both Vivo Fund and Vivo Surplus Fund, collectively referred to as the Vivo Funds. The voting members of Vivo GP are Mr. Frank Kung, Mr. Albert Cha, Mr. Edgar Engelman, Mr. Chen Yu and Mr. Shan Fu, collectively referred to as Vivo Management. None of Vivo Management has individual voting or investment power with respect to these shares and each disclaims beneficial ownership of such shares. The address of Vivo GP is 505 Hamilton Avenue, Suite 207, Palo Alto, CA 94301.</w:t>
      </w:r>
    </w:p>
    <w:p>
      <w:pPr>
        <w:spacing w:after="0" w:line="138" w:lineRule="exact"/>
        <w:rPr>
          <w:rFonts w:ascii="Arial" w:cs="Arial" w:eastAsia="Arial" w:hAnsi="Arial"/>
          <w:sz w:val="9"/>
          <w:szCs w:val="9"/>
          <w:color w:val="auto"/>
        </w:rPr>
      </w:pPr>
    </w:p>
    <w:p>
      <w:pPr>
        <w:ind w:left="208" w:right="20" w:hanging="208"/>
        <w:spacing w:after="0" w:line="108" w:lineRule="exact"/>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Based in part on a Schedule 13G/A filed with the SEC on February 6, 2018, consists of (i) 1,105,265 shares of common stock held by RUSNANO and (ii) 13,103 shares of common stock underlying warrants currently exercisable or exercisable within 60 days of April 20, 2018 held by RUSNANO. RUSNANO is a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German Pikhoya,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RUSNANO and RUSNANO Management Company LLC is 10A prospect 60</w:t>
      </w:r>
      <w:r>
        <w:rPr>
          <w:rFonts w:ascii="MS PGothic" w:cs="MS PGothic" w:eastAsia="MS PGothic" w:hAnsi="MS PGothic"/>
          <w:sz w:val="9"/>
          <w:szCs w:val="9"/>
          <w:color w:val="auto"/>
        </w:rPr>
        <w:t>‑</w:t>
      </w:r>
      <w:r>
        <w:rPr>
          <w:rFonts w:ascii="Arial" w:cs="Arial" w:eastAsia="Arial" w:hAnsi="Arial"/>
          <w:sz w:val="9"/>
          <w:szCs w:val="9"/>
          <w:color w:val="auto"/>
        </w:rPr>
        <w:t>letiya Oktyabrya, Moscow, Russian Federation 117036.</w:t>
      </w:r>
    </w:p>
    <w:p>
      <w:pPr>
        <w:spacing w:after="0" w:line="145"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34,936 shares of common stock underlying outstanding stock options exercisable within 60 days of April 20, 2018.</w:t>
      </w:r>
    </w:p>
    <w:p>
      <w:pPr>
        <w:spacing w:after="0" w:line="148"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13,736 shares of common stock underlying outstanding stock options exercisable within 60 days of April 20, 2018.</w:t>
      </w:r>
    </w:p>
    <w:p>
      <w:pPr>
        <w:spacing w:after="0" w:line="148" w:lineRule="exact"/>
        <w:rPr>
          <w:rFonts w:ascii="Arial" w:cs="Arial" w:eastAsia="Arial" w:hAnsi="Arial"/>
          <w:sz w:val="9"/>
          <w:szCs w:val="9"/>
          <w:color w:val="auto"/>
        </w:rPr>
      </w:pPr>
    </w:p>
    <w:p>
      <w:pPr>
        <w:ind w:left="208" w:right="60" w:hanging="208"/>
        <w:spacing w:after="0" w:line="260" w:lineRule="auto"/>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(i) 3,205 shares of common stock underlying outstanding stock options exercisable within 60 days of April 20, 2018; (ii) 202,051 shares of common stock held by a family trust for which Dr. Farokhzad’s wife serves as trustee; and (iii) 25,626 shares of common stock held by BioDynamics Core, L.P., which is managed by BioDynamics, LLC, of which Dr. Farokhzad is a member. Dr. Farokhzad disclaims beneficial ownership over the shares held by the family trust.</w:t>
      </w:r>
    </w:p>
    <w:p>
      <w:pPr>
        <w:spacing w:after="0" w:line="136"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1,781 shares of common stock underlying outstanding stock options exercisable within 60 days of April 20, 2018.</w:t>
      </w:r>
    </w:p>
    <w:p>
      <w:pPr>
        <w:spacing w:after="0" w:line="148"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1,069 shares of common stock underlying outstanding stock options exercisable within 60 days of April 20, 2018.</w:t>
      </w:r>
    </w:p>
    <w:p>
      <w:pPr>
        <w:spacing w:after="0" w:line="141"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5,341 shares of common stock underlying outstanding stock options currently exercisable by Dr. Nashat and 1,069 of common stock underlying outstanding stock options exercisable by Dr. Nashat within 60 days of April 20, 2018.</w:t>
      </w:r>
    </w:p>
    <w:p>
      <w:pPr>
        <w:spacing w:after="0" w:line="155"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1,069 shares of common stock underlying outstanding stock options exercisable within 60 days of April 20, 2018.</w:t>
      </w:r>
    </w:p>
    <w:p>
      <w:pPr>
        <w:spacing w:after="0" w:line="141"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5,341 shares of common stock underlying outstanding stock options currently exercisable by Dr. Springer and 1,069 of common stock underlying outstanding stock options exercisable by Dr. Springer within 60 days of April 20, 2018.</w:t>
      </w:r>
    </w:p>
    <w:p>
      <w:pPr>
        <w:spacing w:after="0" w:line="155"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Includes 712 shares of common stock underlying outstanding stock options exercisable within 60 days of April 20, 2018.</w:t>
      </w:r>
    </w:p>
    <w:p>
      <w:pPr>
        <w:spacing w:after="0" w:line="148" w:lineRule="exact"/>
        <w:rPr>
          <w:rFonts w:ascii="Arial" w:cs="Arial" w:eastAsia="Arial" w:hAnsi="Arial"/>
          <w:sz w:val="9"/>
          <w:szCs w:val="9"/>
          <w:color w:val="auto"/>
        </w:rPr>
      </w:pPr>
    </w:p>
    <w:p>
      <w:pPr>
        <w:ind w:left="208" w:hanging="208"/>
        <w:spacing w:after="0"/>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Consists of (a) 4,514,653 shares of Common Stock and (b) 1,109,534 shares of common stock which the holders have the right to acquire pursuant to outstanding stock options and common stock warrants which are or will be immediately exercisable within 60 days of April 20, 2018.</w:t>
      </w:r>
    </w:p>
    <w:p>
      <w:pPr>
        <w:spacing w:after="0" w:line="239"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31</w:t>
      </w:r>
    </w:p>
    <w:p>
      <w:pPr>
        <w:sectPr>
          <w:pgSz w:w="11900" w:h="16838" w:orient="portrait"/>
          <w:cols w:equalWidth="0" w:num="1">
            <w:col w:w="11468"/>
          </w:cols>
          <w:pgMar w:left="212" w:top="517" w:right="2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of the Securities Act of 1933, as amended,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38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35" w:lineRule="exact"/>
        <w:rPr>
          <w:sz w:val="20"/>
          <w:szCs w:val="20"/>
          <w:color w:val="auto"/>
        </w:rPr>
      </w:pPr>
    </w:p>
    <w:p>
      <w:pPr>
        <w:ind w:right="340"/>
        <w:spacing w:after="0" w:line="256" w:lineRule="auto"/>
        <w:rPr>
          <w:sz w:val="20"/>
          <w:szCs w:val="20"/>
          <w:color w:val="auto"/>
        </w:rPr>
      </w:pPr>
      <w:r>
        <w:rPr>
          <w:rFonts w:ascii="Arial" w:cs="Arial" w:eastAsia="Arial" w:hAnsi="Arial"/>
          <w:sz w:val="12"/>
          <w:szCs w:val="12"/>
          <w:color w:val="auto"/>
        </w:rPr>
        <w:t>We entered into an amended and restated investors’ rights agreement in April 2014, which was further amended in July 2014, August 2015 and June 2016 with our director, Omid Farokhzad, the holders of our preferred stock, including entities in which certain other of our directors or former directors are related, and certain other stockholders. The agreement provides for certain rights relating to the registration of such holders’ common stock, including shares issuable upon conversion of preferred stock, and a right of first refusal to purchase future securities sold by us.</w:t>
      </w:r>
    </w:p>
    <w:p>
      <w:pPr>
        <w:spacing w:after="0" w:line="27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CONSULTING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We have entered into a consulting agreement with director Omid Farokhzad, M.D., which provides for an annual payment of $75,000 to Dr. Farokhzad.</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The consulting agreement with Dr. Farokhzad provides that we may terminate the agreement at any time, but must deposit with an escrow agent the consulting fees for the prior 90 days which would then be payable to Dr. Farokhzad post-termination. The agreement may also be terminated without penalty by both parties upon mutual consent or by Dr. Farokhzad with 30 days’ prior written notice. The agreement contains provisions regarding intellectual property assignment, confidentiality, noncompetition and nonsolicitation.</w:t>
      </w:r>
    </w:p>
    <w:p>
      <w:pPr>
        <w:spacing w:after="0" w:line="28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We have entered into employment agreements with our named executive officers. For more information regarding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9"/>
          <w:szCs w:val="9"/>
          <w:color w:val="auto"/>
        </w:rPr>
        <w:t>32</w:t>
      </w:r>
    </w:p>
    <w:p>
      <w:pPr>
        <w:sectPr>
          <w:pgSz w:w="11900" w:h="16838" w:orient="portrait"/>
          <w:cols w:equalWidth="0" w:num="1">
            <w:col w:w="11460"/>
          </w:cols>
          <w:pgMar w:left="220" w:top="873" w:right="21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these agreements, see the section in this proxy statement entitled “Executive and Director Compensation-Employment Agreements.”</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9"/>
          <w:szCs w:val="9"/>
          <w:color w:val="auto"/>
        </w:rPr>
        <w:t>33</w:t>
      </w:r>
    </w:p>
    <w:p>
      <w:pPr>
        <w:sectPr>
          <w:pgSz w:w="11900" w:h="16838" w:orient="portrait"/>
          <w:cols w:equalWidth="0" w:num="1">
            <w:col w:w="11460"/>
          </w:cols>
          <w:pgMar w:left="220" w:top="409" w:right="21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2017, with the exception of one late Form 4 filing by Dr. Lloyd Johnston relating to three transactions in January 2017.</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9"/>
          <w:szCs w:val="9"/>
          <w:color w:val="auto"/>
        </w:rPr>
        <w:t>34</w:t>
      </w:r>
    </w:p>
    <w:p>
      <w:pPr>
        <w:sectPr>
          <w:pgSz w:w="11900" w:h="16838" w:orient="portrait"/>
          <w:cols w:equalWidth="0" w:num="1">
            <w:col w:w="11340"/>
          </w:cols>
          <w:pgMar w:left="220" w:top="873" w:right="33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During the fiscal year ended December 31, 2017, Peter Barton Hutt, Amir Nashat, Ph.D. and Aymeric Sallin served as members of our Compensation Committee. Peter Barton Hutt served as chairperson of the Compensation Committee.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726376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96"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Stockholders who intend to have a proposal considered for inclusion in our proxy materials for presentation at our 2019 Annual Meeting of Stockholders pursuant to Rule 14a-8 under the Exchange Act must submit the proposal to our Corporate Secretary at our offices at 480 Arsenal Way, Watertown, Massachusetts 02472 in writing not later than December 26, 2018.</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Stockholders intending to present a proposal at the 2019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2019 Annual Meeting of Stockholders no earlier than the close of business on February 15, 2019 and no later than the close of business on March 17, 2019. The notice must contain the information required by the Amended and Restated Bylaws, a copy of which is available upon request to our Secretary. In the event that the date of the 2019 Annual Meeting of Stockholders is more than 30 days before or more than 60 days after June 15, 2019, then our Secretary must receive such written notice not earlier than the close of business on the 120th day prior to the 2019 Annual Meeting and not later than the close of business on the 90th day prior to the 2019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63765"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Our Board of Directors is not aware of any matter to be presented for action at the Annual Meeting other than the matters referred to above and does not intend to bring any other matters before the Annual Meeting.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35</w:t>
      </w:r>
    </w:p>
    <w:p>
      <w:pPr>
        <w:sectPr>
          <w:pgSz w:w="11900" w:h="16838" w:orient="portrait"/>
          <w:cols w:equalWidth="0" w:num="1">
            <w:col w:w="11460"/>
          </w:cols>
          <w:pgMar w:left="220" w:top="791" w:right="2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accompanying proxy is solicited by and on behalf of our Board of Directors, whose Notice of Annual Meeting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9"/>
          <w:szCs w:val="9"/>
          <w:color w:val="auto"/>
        </w:rPr>
        <w:t>36</w:t>
      </w:r>
    </w:p>
    <w:p>
      <w:pPr>
        <w:sectPr>
          <w:pgSz w:w="11900" w:h="16838" w:orient="portrait"/>
          <w:cols w:equalWidth="0" w:num="1">
            <w:col w:w="11460"/>
          </w:cols>
          <w:pgMar w:left="220" w:top="791" w:right="2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Selecta's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A copy of Selecta’s Annual Report on Form 10-K for the fiscal year ended December 31, 2017, including financial statements and schedules thereto but not including exhibits, as filed with the SEC, will be sent to any stockholder of record on April 20, 2018 without charge upon written request addressed to:</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Selecta Biosciences, Inc.</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Attention: Corporate Secretary</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480 Arsenal Way</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Watertown, MA 02472</w:t>
      </w:r>
    </w:p>
    <w:p>
      <w:pPr>
        <w:spacing w:after="0" w:line="246"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 xml:space="preserve">A reasonable fee will be charged for copies of exhibits. You also may access this proxy statement and our Annual Report on Form 10-K at </w:t>
      </w:r>
      <w:r>
        <w:rPr>
          <w:rFonts w:ascii="Arial" w:cs="Arial" w:eastAsia="Arial" w:hAnsi="Arial"/>
          <w:sz w:val="12"/>
          <w:szCs w:val="12"/>
          <w:i w:val="1"/>
          <w:iCs w:val="1"/>
          <w:color w:val="auto"/>
        </w:rPr>
        <w:t>www.proxyvote.com</w:t>
      </w:r>
      <w:r>
        <w:rPr>
          <w:rFonts w:ascii="Arial" w:cs="Arial" w:eastAsia="Arial" w:hAnsi="Arial"/>
          <w:sz w:val="12"/>
          <w:szCs w:val="12"/>
          <w:color w:val="auto"/>
        </w:rPr>
        <w:t xml:space="preserve">. You also may access our Annual Report on Form 10-K for the year ended December 31, 2017 at </w:t>
      </w:r>
      <w:r>
        <w:rPr>
          <w:rFonts w:ascii="Arial" w:cs="Arial" w:eastAsia="Arial" w:hAnsi="Arial"/>
          <w:sz w:val="12"/>
          <w:szCs w:val="12"/>
          <w:i w:val="1"/>
          <w:iCs w:val="1"/>
          <w:color w:val="auto"/>
        </w:rPr>
        <w:t>www.selectabio.com</w:t>
      </w:r>
      <w:r>
        <w:rPr>
          <w:rFonts w:ascii="Arial" w:cs="Arial" w:eastAsia="Arial" w:hAnsi="Arial"/>
          <w:sz w:val="12"/>
          <w:szCs w:val="12"/>
          <w:color w:val="auto"/>
        </w:rPr>
        <w:t>.</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34086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08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David Abraham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Compliance Officer, General Counsel and Corporate Secretary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Watertown,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April 25, 2018</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9"/>
          <w:szCs w:val="9"/>
          <w:color w:val="auto"/>
        </w:rPr>
        <w:t>37</w:t>
      </w:r>
    </w:p>
    <w:p>
      <w:pPr>
        <w:sectPr>
          <w:pgSz w:w="11900" w:h="16838" w:orient="portrait"/>
          <w:cols w:equalWidth="0" w:num="1">
            <w:col w:w="11380"/>
          </w:cols>
          <w:pgMar w:left="220" w:top="818" w:right="2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397510</wp:posOffset>
            </wp:positionV>
            <wp:extent cx="3900805" cy="50501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3900805" cy="505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8"/>
          <w:szCs w:val="8"/>
          <w:color w:val="auto"/>
        </w:rPr>
        <w:t>38</w:t>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260350</wp:posOffset>
            </wp:positionV>
            <wp:extent cx="3900805" cy="5050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3900805" cy="505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8"/>
          <w:szCs w:val="8"/>
          <w:color w:val="auto"/>
        </w:rPr>
        <w:t>39</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Ü"/>
      <w:numFmt w:val="bullet"/>
      <w:start w:val="1"/>
    </w:lvl>
  </w:abstractNum>
  <w:abstractNum w:abstractNumId="9">
    <w:nsid w:val="436C6125"/>
    <w:multiLevelType w:val="hybridMultilevel"/>
    <w:lvl w:ilvl="0">
      <w:lvlJc w:val="left"/>
      <w:lvlText w:val="Ü"/>
      <w:numFmt w:val="bullet"/>
      <w:start w:val="1"/>
    </w:lvl>
  </w:abstractNum>
  <w:abstractNum w:abstractNumId="10">
    <w:nsid w:val="628C895D"/>
    <w:multiLevelType w:val="hybridMultilevel"/>
    <w:lvl w:ilvl="0">
      <w:lvlJc w:val="left"/>
      <w:lvlText w:val="(%1)"/>
      <w:numFmt w:val="lowerRoman"/>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3"/>
      <w:numFmt w:val="bullet"/>
      <w:start w:val="1"/>
    </w:lvl>
  </w:abstractNum>
  <w:abstractNum w:abstractNumId="13">
    <w:nsid w:val="2443A858"/>
    <w:multiLevelType w:val="hybridMultilevel"/>
    <w:lvl w:ilvl="0">
      <w:lvlJc w:val="left"/>
      <w:lvlText w:val="4"/>
      <w:numFmt w:val="bullet"/>
      <w:start w:val="1"/>
    </w:lvl>
  </w:abstractNum>
  <w:abstractNum w:abstractNumId="14">
    <w:nsid w:val="2D1D5AE9"/>
    <w:multiLevelType w:val="hybridMultilevel"/>
    <w:lvl w:ilvl="0">
      <w:lvlJc w:val="left"/>
      <w:lvlText w:val="5"/>
      <w:numFmt w:val="bullet"/>
      <w:start w:val="1"/>
    </w:lvl>
  </w:abstractNum>
  <w:abstractNum w:abstractNumId="15">
    <w:nsid w:val="6763845E"/>
    <w:multiLevelType w:val="hybridMultilevel"/>
    <w:lvl w:ilvl="0">
      <w:lvlJc w:val="left"/>
      <w:lvlText w:val="6"/>
      <w:numFmt w:val="bullet"/>
      <w:start w:val="1"/>
    </w:lvl>
  </w:abstractNum>
  <w:abstractNum w:abstractNumId="16">
    <w:nsid w:val="75A2A8D4"/>
    <w:multiLevelType w:val="hybridMultilevel"/>
    <w:lvl w:ilvl="0">
      <w:lvlJc w:val="left"/>
      <w:lvlText w:val="7"/>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2019-12-07T15:02:21Z</dcterms:created>
  <dcterms:modified xsi:type="dcterms:W3CDTF">2019-12-07T15:02:21Z</dcterms:modified>
</cp:coreProperties>
</file>