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SPRINGER TIMOTHY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3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36 WOODMAN ROAD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08/20/2019</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gridSpan w:val="3"/>
          </w:tcPr>
          <w:p>
            <w:pPr>
              <w:spacing w:after="0"/>
              <w:rPr>
                <w:sz w:val="12"/>
                <w:szCs w:val="12"/>
                <w:color w:val="auto"/>
              </w:rPr>
            </w:pPr>
          </w:p>
        </w:tc>
        <w:tc>
          <w:tcPr>
            <w:tcW w:w="1520" w:type="dxa"/>
            <w:vAlign w:val="bottom"/>
            <w:tcBorders>
              <w:bottom w:val="single" w:sz="8" w:color="2C2C2C"/>
            </w:tcBorders>
            <w:gridSpan w:val="3"/>
          </w:tcPr>
          <w:p>
            <w:pPr>
              <w:spacing w:after="0"/>
              <w:rPr>
                <w:sz w:val="12"/>
                <w:szCs w:val="12"/>
                <w:color w:val="auto"/>
              </w:rPr>
            </w:pPr>
          </w:p>
        </w:tc>
        <w:tc>
          <w:tcPr>
            <w:tcW w:w="660" w:type="dxa"/>
            <w:vAlign w:val="bottom"/>
            <w:tcBorders>
              <w:bottom w:val="single" w:sz="8" w:color="2C2C2C"/>
            </w:tcBorders>
            <w:gridSpan w:val="2"/>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gridSpan w:val="8"/>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CHESTNUT</w:t>
            </w: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02467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HILL</w:t>
            </w: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7"/>
            <w:vMerge w:val="restart"/>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ind w:left="42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1520" w:type="dxa"/>
            <w:vAlign w:val="bottom"/>
            <w:tcBorders>
              <w:bottom w:val="single" w:sz="8" w:color="2C2C2C"/>
            </w:tcBorders>
            <w:gridSpan w:val="3"/>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0"/>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8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80" w:type="dxa"/>
            <w:vAlign w:val="bottom"/>
            <w:gridSpan w:val="3"/>
            <w:vMerge w:val="restart"/>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4"/>
          </w:tcPr>
          <w:p>
            <w:pPr>
              <w:ind w:left="600"/>
              <w:spacing w:after="0"/>
              <w:rPr>
                <w:sz w:val="20"/>
                <w:szCs w:val="20"/>
                <w:color w:val="auto"/>
              </w:rPr>
            </w:pPr>
            <w:r>
              <w:rPr>
                <w:rFonts w:ascii="Arial" w:cs="Arial" w:eastAsia="Arial" w:hAnsi="Arial"/>
                <w:sz w:val="18"/>
                <w:szCs w:val="18"/>
                <w:color w:val="0000FF"/>
                <w:w w:val="88"/>
              </w:rPr>
              <w:t>08/20/2019</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A</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0000FF"/>
                <w:w w:val="89"/>
              </w:rPr>
              <w:t>1,600,000</w:t>
            </w:r>
          </w:p>
        </w:tc>
        <w:tc>
          <w:tcPr>
            <w:tcW w:w="480" w:type="dxa"/>
            <w:vAlign w:val="bottom"/>
          </w:tcPr>
          <w:p>
            <w:pPr>
              <w:ind w:left="2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1.81</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6,056,597</w:t>
            </w:r>
          </w:p>
        </w:tc>
        <w:tc>
          <w:tcPr>
            <w:tcW w:w="320" w:type="dxa"/>
            <w:vAlign w:val="bottom"/>
          </w:tcPr>
          <w:p>
            <w:pPr>
              <w:spacing w:after="0"/>
              <w:rPr>
                <w:sz w:val="23"/>
                <w:szCs w:val="23"/>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0000FF"/>
              </w:rPr>
              <w:t>D</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4"/>
            <w:vMerge w:val="restart"/>
          </w:tcPr>
          <w:p>
            <w:pPr>
              <w:ind w:left="600"/>
              <w:spacing w:after="0"/>
              <w:rPr>
                <w:sz w:val="20"/>
                <w:szCs w:val="20"/>
                <w:color w:val="auto"/>
              </w:rPr>
            </w:pPr>
            <w:r>
              <w:rPr>
                <w:rFonts w:ascii="Arial" w:cs="Arial" w:eastAsia="Arial" w:hAnsi="Arial"/>
                <w:sz w:val="18"/>
                <w:szCs w:val="18"/>
                <w:color w:val="0000FF"/>
                <w:w w:val="88"/>
              </w:rPr>
              <w:t>08/20/2019</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A</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0000FF"/>
                <w:w w:val="89"/>
              </w:rPr>
              <w:t>1,100,000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1.81</w:t>
            </w: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1,545,576</w:t>
            </w:r>
          </w:p>
        </w:tc>
        <w:tc>
          <w:tcPr>
            <w:tcW w:w="320" w:type="dxa"/>
            <w:vAlign w:val="bottom"/>
          </w:tcPr>
          <w:p>
            <w:pPr>
              <w:spacing w:after="0"/>
              <w:rPr>
                <w:sz w:val="22"/>
                <w:szCs w:val="22"/>
                <w:color w:val="auto"/>
              </w:rPr>
            </w:pPr>
          </w:p>
        </w:tc>
        <w:tc>
          <w:tcPr>
            <w:tcW w:w="50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420" w:type="dxa"/>
            <w:vAlign w:val="bottom"/>
          </w:tcPr>
          <w:p>
            <w:pPr>
              <w:ind w:left="140"/>
              <w:spacing w:after="0"/>
              <w:rPr>
                <w:sz w:val="20"/>
                <w:szCs w:val="20"/>
                <w:color w:val="auto"/>
              </w:rPr>
            </w:pPr>
            <w:r>
              <w:rPr>
                <w:rFonts w:ascii="Arial" w:cs="Arial" w:eastAsia="Arial" w:hAnsi="Arial"/>
                <w:sz w:val="18"/>
                <w:szCs w:val="18"/>
                <w:color w:val="0000FF"/>
                <w:w w:val="81"/>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80" w:type="dxa"/>
            <w:vAlign w:val="bottom"/>
            <w:gridSpan w:val="3"/>
            <w:vMerge w:val="restart"/>
          </w:tcPr>
          <w:p>
            <w:pPr>
              <w:ind w:left="140"/>
              <w:spacing w:after="0"/>
              <w:rPr>
                <w:sz w:val="20"/>
                <w:szCs w:val="20"/>
                <w:color w:val="auto"/>
              </w:rPr>
            </w:pPr>
            <w:r>
              <w:rPr>
                <w:rFonts w:ascii="Arial" w:cs="Arial" w:eastAsia="Arial" w:hAnsi="Arial"/>
                <w:sz w:val="18"/>
                <w:szCs w:val="18"/>
                <w:color w:val="0000FF"/>
                <w:w w:val="87"/>
              </w:rPr>
              <w:t>Footnotes</w:t>
            </w:r>
            <w:r>
              <w:rPr>
                <w:rFonts w:ascii="Arial" w:cs="Arial" w:eastAsia="Arial" w:hAnsi="Arial"/>
                <w:sz w:val="22"/>
                <w:szCs w:val="22"/>
                <w:color w:val="008000"/>
                <w:w w:val="87"/>
                <w:vertAlign w:val="superscript"/>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1,237,028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ind w:left="80"/>
              <w:spacing w:after="0"/>
              <w:rPr>
                <w:sz w:val="20"/>
                <w:szCs w:val="20"/>
                <w:color w:val="auto"/>
              </w:rPr>
            </w:pPr>
            <w:r>
              <w:rPr>
                <w:rFonts w:ascii="Arial" w:cs="Arial" w:eastAsia="Arial" w:hAnsi="Arial"/>
                <w:sz w:val="18"/>
                <w:szCs w:val="18"/>
                <w:color w:val="0000FF"/>
              </w:rPr>
              <w:t>I</w:t>
            </w:r>
          </w:p>
        </w:tc>
        <w:tc>
          <w:tcPr>
            <w:tcW w:w="420" w:type="dxa"/>
            <w:vAlign w:val="bottom"/>
            <w:tcBorders>
              <w:top w:val="single" w:sz="8" w:color="2C2C2C"/>
            </w:tcBorders>
          </w:tcPr>
          <w:p>
            <w:pPr>
              <w:ind w:left="140"/>
              <w:spacing w:after="0"/>
              <w:rPr>
                <w:sz w:val="20"/>
                <w:szCs w:val="20"/>
                <w:color w:val="auto"/>
              </w:rPr>
            </w:pPr>
            <w:r>
              <w:rPr>
                <w:rFonts w:ascii="Arial" w:cs="Arial" w:eastAsia="Arial" w:hAnsi="Arial"/>
                <w:sz w:val="18"/>
                <w:szCs w:val="18"/>
                <w:color w:val="0000FF"/>
                <w:w w:val="81"/>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86,418</w:t>
            </w:r>
          </w:p>
        </w:tc>
        <w:tc>
          <w:tcPr>
            <w:tcW w:w="320" w:type="dxa"/>
            <w:vAlign w:val="bottom"/>
          </w:tcPr>
          <w:p>
            <w:pPr>
              <w:spacing w:after="0"/>
              <w:rPr>
                <w:sz w:val="23"/>
                <w:szCs w:val="23"/>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0000FF"/>
              </w:rPr>
              <w:t>I</w:t>
            </w:r>
          </w:p>
        </w:tc>
        <w:tc>
          <w:tcPr>
            <w:tcW w:w="1180" w:type="dxa"/>
            <w:vAlign w:val="bottom"/>
            <w:gridSpan w:val="3"/>
          </w:tcPr>
          <w:p>
            <w:pPr>
              <w:ind w:left="14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gridSpan w:val="16"/>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LKST, Inc. is the general partner of Leukon Investments LP. Timothy Springer is the president of LKST, Inc. and the managing member of TAS Partners, LLC. The Reporting Person disclaims beneficial ownership of the securities held by Leukon Investments LP and TAS Partners, LLC except to the extent of his pecuniary interest therein, if any.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TAS Partners, LLC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Held by Leukon Investments LP.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60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60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Timothy</w:t>
      </w:r>
      <w:r>
        <w:rPr>
          <w:sz w:val="20"/>
          <w:szCs w:val="20"/>
          <w:color w:val="auto"/>
        </w:rPr>
        <w:tab/>
      </w:r>
      <w:r>
        <w:rPr>
          <w:rFonts w:ascii="Arial" w:cs="Arial" w:eastAsia="Arial" w:hAnsi="Arial"/>
          <w:sz w:val="15"/>
          <w:szCs w:val="15"/>
          <w:color w:val="0000FF"/>
        </w:rPr>
        <w:t>08/20/2019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0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006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2019-12-24T07:25:12Z</dcterms:created>
  <dcterms:modified xsi:type="dcterms:W3CDTF">2019-12-24T07:25:12Z</dcterms:modified>
</cp:coreProperties>
</file>