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363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Siewers David</w:t>
              </w:r>
            </w:hyperlink>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2"/>
          </w:tcPr>
          <w:p>
            <w:pPr>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780" w:type="dxa"/>
            <w:vAlign w:val="bottom"/>
            <w:gridSpan w:val="3"/>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06/29/2017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7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0"/>
          <w:szCs w:val="20"/>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47"/>
        <w:spacing w:after="0"/>
        <w:rPr>
          <w:sz w:val="20"/>
          <w:szCs w:val="20"/>
          <w:color w:val="auto"/>
        </w:rPr>
      </w:pPr>
      <w:r>
        <w:rPr>
          <w:rFonts w:ascii="Arial" w:cs="Arial" w:eastAsia="Arial" w:hAnsi="Arial"/>
          <w:sz w:val="17"/>
          <w:szCs w:val="17"/>
          <w:color w:val="0000FF"/>
        </w:rPr>
        <w:t>Chief Financial Officer</w:t>
      </w:r>
    </w:p>
    <w:p>
      <w:pPr>
        <w:spacing w:after="0" w:line="400" w:lineRule="exact"/>
        <w:rPr>
          <w:sz w:val="20"/>
          <w:szCs w:val="20"/>
          <w:color w:val="auto"/>
        </w:rPr>
      </w:pPr>
    </w:p>
    <w:p>
      <w:pPr>
        <w:sectPr>
          <w:pgSz w:w="11900" w:h="16838" w:orient="portrait"/>
          <w:cols w:equalWidth="0" w:num="2">
            <w:col w:w="7960" w:space="73"/>
            <w:col w:w="3487"/>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90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02472</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160" w:type="dxa"/>
            <w:vAlign w:val="bottom"/>
            <w:tcBorders>
              <w:top w:val="single" w:sz="8" w:color="2C2C2C"/>
            </w:tcBorders>
            <w:gridSpan w:val="15"/>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06/29/2017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3,846</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0.47</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0000FF"/>
                <w:w w:val="89"/>
              </w:rPr>
              <w:t>3,882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06/29/2017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5,770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0.63</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0000FF"/>
                <w:w w:val="89"/>
              </w:rPr>
              <w:t>9,652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06/29/2017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15"/>
              <w:spacing w:after="0" w:line="318" w:lineRule="exact"/>
              <w:rPr>
                <w:sz w:val="20"/>
                <w:szCs w:val="20"/>
                <w:color w:val="auto"/>
              </w:rPr>
            </w:pPr>
            <w:r>
              <w:rPr>
                <w:rFonts w:ascii="Arial" w:cs="Arial" w:eastAsia="Arial" w:hAnsi="Arial"/>
                <w:sz w:val="34"/>
                <w:szCs w:val="34"/>
                <w:color w:val="0000FF"/>
                <w:w w:val="81"/>
                <w:vertAlign w:val="subscript"/>
              </w:rPr>
              <w:t>9,616</w:t>
            </w:r>
            <w:r>
              <w:rPr>
                <w:rFonts w:ascii="Arial" w:cs="Arial" w:eastAsia="Arial" w:hAnsi="Arial"/>
                <w:sz w:val="11"/>
                <w:szCs w:val="11"/>
                <w:color w:val="008000"/>
                <w:w w:val="81"/>
              </w:rPr>
              <w:t>(1)(2)</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20.0002</w:t>
            </w:r>
            <w:r>
              <w:rPr>
                <w:rFonts w:ascii="Arial" w:cs="Arial" w:eastAsia="Arial" w:hAnsi="Arial"/>
                <w:sz w:val="22"/>
                <w:szCs w:val="22"/>
                <w:color w:val="008000"/>
                <w:w w:val="90"/>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5"/>
              <w:spacing w:after="0"/>
              <w:rPr>
                <w:sz w:val="20"/>
                <w:szCs w:val="20"/>
                <w:color w:val="auto"/>
              </w:rPr>
            </w:pPr>
            <w:r>
              <w:rPr>
                <w:rFonts w:ascii="Arial" w:cs="Arial" w:eastAsia="Arial" w:hAnsi="Arial"/>
                <w:sz w:val="17"/>
                <w:szCs w:val="17"/>
                <w:color w:val="0000FF"/>
                <w:w w:val="94"/>
              </w:rPr>
              <w:t>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06/29/2017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175"/>
              <w:spacing w:after="0" w:line="318" w:lineRule="exact"/>
              <w:rPr>
                <w:sz w:val="20"/>
                <w:szCs w:val="20"/>
                <w:color w:val="auto"/>
              </w:rPr>
            </w:pPr>
            <w:r>
              <w:rPr>
                <w:rFonts w:ascii="Arial" w:cs="Arial" w:eastAsia="Arial" w:hAnsi="Arial"/>
                <w:sz w:val="34"/>
                <w:szCs w:val="34"/>
                <w:color w:val="0000FF"/>
                <w:vertAlign w:val="subscript"/>
              </w:rPr>
              <w:t>36</w:t>
            </w:r>
            <w:r>
              <w:rPr>
                <w:rFonts w:ascii="Arial" w:cs="Arial" w:eastAsia="Arial" w:hAnsi="Arial"/>
                <w:sz w:val="11"/>
                <w:szCs w:val="11"/>
                <w:color w:val="008000"/>
              </w:rPr>
              <w:t>(4)</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5"/>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gridSpan w:val="2"/>
            <w:vMerge w:val="restart"/>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restart"/>
          </w:tcPr>
          <w:p>
            <w:pPr>
              <w:ind w:left="320"/>
              <w:spacing w:after="0"/>
              <w:rPr>
                <w:sz w:val="20"/>
                <w:szCs w:val="20"/>
                <w:color w:val="auto"/>
              </w:rPr>
            </w:pPr>
            <w:r>
              <w:rPr>
                <w:rFonts w:ascii="Arial" w:cs="Arial" w:eastAsia="Arial" w:hAnsi="Arial"/>
                <w:sz w:val="13"/>
                <w:szCs w:val="13"/>
                <w:color w:val="0000FF"/>
                <w:w w:val="87"/>
              </w:rPr>
              <w:t>3,846</w:t>
            </w:r>
            <w:r>
              <w:rPr>
                <w:rFonts w:ascii="Arial" w:cs="Arial" w:eastAsia="Arial" w:hAnsi="Arial"/>
                <w:sz w:val="22"/>
                <w:szCs w:val="22"/>
                <w:color w:val="008000"/>
                <w:w w:val="87"/>
                <w:vertAlign w:val="superscript"/>
              </w:rPr>
              <w:t>(1)</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w w:val="92"/>
              </w:rPr>
              <w:t>3,846</w:t>
            </w:r>
            <w:r>
              <w:rPr>
                <w:rFonts w:ascii="Arial" w:cs="Arial" w:eastAsia="Arial" w:hAnsi="Arial"/>
                <w:sz w:val="22"/>
                <w:szCs w:val="22"/>
                <w:color w:val="008000"/>
                <w:w w:val="92"/>
                <w:vertAlign w:val="superscript"/>
              </w:rPr>
              <w:t>(1)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0.47</w:t>
            </w:r>
          </w:p>
        </w:tc>
        <w:tc>
          <w:tcPr>
            <w:tcW w:w="1080" w:type="dxa"/>
            <w:vAlign w:val="bottom"/>
          </w:tcPr>
          <w:p>
            <w:pPr>
              <w:jc w:val="right"/>
              <w:ind w:right="154"/>
              <w:spacing w:after="0" w:line="142" w:lineRule="exact"/>
              <w:rPr>
                <w:sz w:val="20"/>
                <w:szCs w:val="20"/>
                <w:color w:val="auto"/>
              </w:rPr>
            </w:pPr>
            <w:r>
              <w:rPr>
                <w:rFonts w:ascii="Arial" w:cs="Arial" w:eastAsia="Arial" w:hAnsi="Arial"/>
                <w:sz w:val="13"/>
                <w:szCs w:val="13"/>
                <w:color w:val="0000FF"/>
              </w:rPr>
              <w:t>06/29/2017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ind w:left="120"/>
              <w:spacing w:after="0" w:line="142" w:lineRule="exact"/>
              <w:rPr>
                <w:sz w:val="20"/>
                <w:szCs w:val="20"/>
                <w:color w:val="auto"/>
              </w:rPr>
            </w:pPr>
            <w:r>
              <w:rPr>
                <w:rFonts w:ascii="Arial" w:cs="Arial" w:eastAsia="Arial" w:hAnsi="Arial"/>
                <w:sz w:val="13"/>
                <w:szCs w:val="13"/>
                <w:color w:val="0000FF"/>
              </w:rPr>
              <w:t>09/19/2019</w:t>
            </w:r>
          </w:p>
        </w:tc>
        <w:tc>
          <w:tcPr>
            <w:tcW w:w="5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26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ind w:right="75"/>
              <w:spacing w:after="0" w:line="14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restart"/>
          </w:tcPr>
          <w:p>
            <w:pPr>
              <w:ind w:left="320"/>
              <w:spacing w:after="0"/>
              <w:rPr>
                <w:sz w:val="20"/>
                <w:szCs w:val="20"/>
                <w:color w:val="auto"/>
              </w:rPr>
            </w:pPr>
            <w:r>
              <w:rPr>
                <w:rFonts w:ascii="Arial" w:cs="Arial" w:eastAsia="Arial" w:hAnsi="Arial"/>
                <w:sz w:val="13"/>
                <w:szCs w:val="13"/>
                <w:color w:val="0000FF"/>
                <w:w w:val="87"/>
              </w:rPr>
              <w:t>5,770</w:t>
            </w:r>
            <w:r>
              <w:rPr>
                <w:rFonts w:ascii="Arial" w:cs="Arial" w:eastAsia="Arial" w:hAnsi="Arial"/>
                <w:sz w:val="22"/>
                <w:szCs w:val="22"/>
                <w:color w:val="008000"/>
                <w:w w:val="87"/>
                <w:vertAlign w:val="superscript"/>
              </w:rPr>
              <w:t>(2)</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w w:val="92"/>
              </w:rPr>
              <w:t>5,770</w:t>
            </w:r>
            <w:r>
              <w:rPr>
                <w:rFonts w:ascii="Arial" w:cs="Arial" w:eastAsia="Arial" w:hAnsi="Arial"/>
                <w:sz w:val="22"/>
                <w:szCs w:val="22"/>
                <w:color w:val="008000"/>
                <w:w w:val="92"/>
                <w:vertAlign w:val="superscript"/>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0.63</w:t>
            </w:r>
          </w:p>
        </w:tc>
        <w:tc>
          <w:tcPr>
            <w:tcW w:w="1080" w:type="dxa"/>
            <w:vAlign w:val="bottom"/>
          </w:tcPr>
          <w:p>
            <w:pPr>
              <w:jc w:val="right"/>
              <w:ind w:right="154"/>
              <w:spacing w:after="0" w:line="142" w:lineRule="exact"/>
              <w:rPr>
                <w:sz w:val="20"/>
                <w:szCs w:val="20"/>
                <w:color w:val="auto"/>
              </w:rPr>
            </w:pPr>
            <w:r>
              <w:rPr>
                <w:rFonts w:ascii="Arial" w:cs="Arial" w:eastAsia="Arial" w:hAnsi="Arial"/>
                <w:sz w:val="13"/>
                <w:szCs w:val="13"/>
                <w:color w:val="0000FF"/>
              </w:rPr>
              <w:t>06/29/2017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ind w:left="120"/>
              <w:spacing w:after="0" w:line="142" w:lineRule="exact"/>
              <w:rPr>
                <w:sz w:val="20"/>
                <w:szCs w:val="20"/>
                <w:color w:val="auto"/>
              </w:rPr>
            </w:pPr>
            <w:r>
              <w:rPr>
                <w:rFonts w:ascii="Arial" w:cs="Arial" w:eastAsia="Arial" w:hAnsi="Arial"/>
                <w:sz w:val="13"/>
                <w:szCs w:val="13"/>
                <w:color w:val="0000FF"/>
              </w:rPr>
              <w:t>09/06/2020</w:t>
            </w:r>
          </w:p>
        </w:tc>
        <w:tc>
          <w:tcPr>
            <w:tcW w:w="5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26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0000FF"/>
              </w:rPr>
              <w:t>9,614</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for the 3,846 shares were effected pursuant to a Rule 10b5-1 trading plan adopted by the reporting person on December 21, 2016.</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for the 5,770 shares were effected pursuant to a Rule 10b5-1 trading plan adopted by the reporting person on December 21, 2016.</w:t>
      </w:r>
    </w:p>
    <w:p>
      <w:pPr>
        <w:spacing w:after="0" w:line="49" w:lineRule="exact"/>
        <w:rPr>
          <w:rFonts w:ascii="Arial" w:cs="Arial" w:eastAsia="Arial" w:hAnsi="Arial"/>
          <w:sz w:val="13"/>
          <w:szCs w:val="13"/>
          <w:color w:val="008000"/>
        </w:rPr>
      </w:pPr>
    </w:p>
    <w:p>
      <w:pPr>
        <w:jc w:val="both"/>
        <w:ind w:left="40" w:right="38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$20.00 to $20.01, inclusive. The reporting person undertakes to provide to Issuer, any security holder of Issuer, or the staff of the Securities and Exchange commission, upon request, full information regarding the number of shares sold at each separate price within the set forth herein.</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36 shares sold were effected pursuant to a Rule 10b5-1 trading plan adopted by the reporting person on December 14, 2016.</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this option are fully vested.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/s/David Siewers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06/30/2017</w:t>
            </w:r>
          </w:p>
        </w:tc>
      </w:tr>
      <w:tr>
        <w:trPr>
          <w:trHeight w:val="233"/>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2019-12-04T01:48:25Z</dcterms:created>
  <dcterms:modified xsi:type="dcterms:W3CDTF">2019-12-04T01:48:25Z</dcterms:modified>
</cp:coreProperties>
</file>