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1)*</w:t>
      </w: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SELECTA BIOSCIENCES,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816212104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Advisors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OrbiMed Capital GP III LLC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Samuel D. Isaly</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601 Lexington Avenue, 54th Floor</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NY 10022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(212) 739-6400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Authorized to Receive Notices and Communications)</w:t>
      </w: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to Receive Notices and Communications)</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August 11,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jc w:val="both"/>
        <w:ind w:firstLine="63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10"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Note: Schedules filed in paper format shall include a signed original and five copies of the schedule, including all exhibits. See § 240.13d-7(b) for other parties to whom copies are to be sent.</w:t>
      </w:r>
    </w:p>
    <w:p>
      <w:pPr>
        <w:spacing w:after="0" w:line="197" w:lineRule="exact"/>
        <w:rPr>
          <w:sz w:val="24"/>
          <w:szCs w:val="24"/>
          <w:color w:val="auto"/>
        </w:rPr>
      </w:pPr>
    </w:p>
    <w:p>
      <w:pPr>
        <w:jc w:val="both"/>
        <w:ind w:firstLine="63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7" w:lineRule="exact"/>
        <w:rPr>
          <w:sz w:val="24"/>
          <w:szCs w:val="24"/>
          <w:color w:val="auto"/>
        </w:rPr>
      </w:pPr>
    </w:p>
    <w:p>
      <w:pPr>
        <w:jc w:val="both"/>
        <w:ind w:firstLine="63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364490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458470</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107"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11"/>
        </w:trPr>
        <w:tc>
          <w:tcPr>
            <w:tcW w:w="18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w w:val="91"/>
              </w:rPr>
              <w:t>CUSIP No. 816212104</w:t>
            </w: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8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3100" w:type="dxa"/>
            <w:vAlign w:val="bottom"/>
            <w:tcBorders>
              <w:bottom w:val="single" w:sz="8" w:color="auto"/>
            </w:tcBorders>
            <w:gridSpan w:val="5"/>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10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2280" w:type="dxa"/>
            <w:vAlign w:val="bottom"/>
            <w:gridSpan w:val="4"/>
          </w:tcPr>
          <w:p>
            <w:pPr>
              <w:ind w:left="60"/>
              <w:spacing w:after="0"/>
              <w:rPr>
                <w:sz w:val="20"/>
                <w:szCs w:val="20"/>
                <w:color w:val="auto"/>
              </w:rPr>
            </w:pPr>
            <w:r>
              <w:rPr>
                <w:rFonts w:ascii="Arial" w:cs="Arial" w:eastAsia="Arial" w:hAnsi="Arial"/>
                <w:sz w:val="18"/>
                <w:szCs w:val="18"/>
                <w:color w:val="auto"/>
              </w:rPr>
              <w:t>OrbiMed Advisors LLC</w:t>
            </w: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3"/>
              </w:rPr>
              <w:t>SOURCE OF FUNDS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9780" w:type="dxa"/>
            <w:vAlign w:val="bottom"/>
            <w:tcBorders>
              <w:bottom w:val="single" w:sz="8" w:color="auto"/>
              <w:right w:val="single" w:sz="8" w:color="auto"/>
            </w:tcBorders>
            <w:gridSpan w:val="6"/>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9"/>
              </w:rPr>
              <w:t>Delaware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1,849,371 (1)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BENEFICIALLY OWNED</w:t>
            </w: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50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40" w:type="dxa"/>
            <w:vAlign w:val="bottom"/>
            <w:tcBorders>
              <w:left w:val="single" w:sz="8" w:color="auto"/>
              <w:right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32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6"/>
              </w:rPr>
              <w:t>PERSON WITH</w:t>
            </w: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500" w:type="dxa"/>
            <w:vAlign w:val="bottom"/>
            <w:tcBorders>
              <w:right w:val="single" w:sz="8" w:color="auto"/>
            </w:tcBorders>
            <w:gridSpan w:val="2"/>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tcBorders>
            <w:gridSpan w:val="2"/>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1,849,371</w:t>
            </w:r>
          </w:p>
        </w:tc>
        <w:tc>
          <w:tcPr>
            <w:tcW w:w="6680" w:type="dxa"/>
            <w:vAlign w:val="bottom"/>
            <w:tcBorders>
              <w:right w:val="single" w:sz="8" w:color="auto"/>
            </w:tcBorders>
          </w:tcPr>
          <w:p>
            <w:pPr>
              <w:jc w:val="right"/>
              <w:ind w:right="633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4"/>
              </w:rPr>
              <w:t>1,849,371</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7500" w:type="dxa"/>
            <w:vAlign w:val="bottom"/>
            <w:tcBorders>
              <w:bottom w:val="single" w:sz="8" w:color="auto"/>
              <w:right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8.38%(2)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IA</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16465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firstLine="8"/>
        <w:spacing w:after="0" w:line="277" w:lineRule="auto"/>
        <w:tabs>
          <w:tab w:leader="none" w:pos="291" w:val="left"/>
        </w:tabs>
        <w:numPr>
          <w:ilvl w:val="0"/>
          <w:numId w:val="1"/>
        </w:numPr>
        <w:rPr>
          <w:rFonts w:ascii="Arial" w:cs="Arial" w:eastAsia="Arial" w:hAnsi="Arial"/>
          <w:sz w:val="18"/>
          <w:szCs w:val="18"/>
          <w:color w:val="auto"/>
        </w:rPr>
      </w:pPr>
      <w:r>
        <w:rPr>
          <w:rFonts w:ascii="Arial" w:cs="Arial" w:eastAsia="Arial" w:hAnsi="Arial"/>
          <w:sz w:val="18"/>
          <w:szCs w:val="18"/>
          <w:color w:val="auto"/>
        </w:rPr>
        <w:t>Includes (i) 1,842,797 outstanding shares of common stock, par value $0.0001 per share (the “Shares”), of Selecta Biosciences, Inc., a Delaware corporation (the “Issuer”), and (ii) 6,574 Shares issuable upon the exercise of warrants to purchase shares (the “Warrants”).</w:t>
      </w:r>
    </w:p>
    <w:p>
      <w:pPr>
        <w:spacing w:after="0" w:line="170" w:lineRule="exact"/>
        <w:rPr>
          <w:rFonts w:ascii="Arial" w:cs="Arial" w:eastAsia="Arial" w:hAnsi="Arial"/>
          <w:sz w:val="18"/>
          <w:szCs w:val="18"/>
          <w:color w:val="auto"/>
        </w:rPr>
      </w:pPr>
    </w:p>
    <w:p>
      <w:pPr>
        <w:ind w:firstLine="8"/>
        <w:spacing w:after="0" w:line="277" w:lineRule="auto"/>
        <w:tabs>
          <w:tab w:leader="none" w:pos="268"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percentage is calculated based upon 22,074,378 outstanding Shares, as set forth in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11, 2017, and includes 6,574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11"/>
        </w:trPr>
        <w:tc>
          <w:tcPr>
            <w:tcW w:w="18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w w:val="91"/>
              </w:rPr>
              <w:t>CUSIP No. 816212104</w:t>
            </w: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8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3100" w:type="dxa"/>
            <w:vAlign w:val="bottom"/>
            <w:tcBorders>
              <w:bottom w:val="single" w:sz="8" w:color="auto"/>
            </w:tcBorders>
            <w:gridSpan w:val="5"/>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10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2280" w:type="dxa"/>
            <w:vAlign w:val="bottom"/>
            <w:gridSpan w:val="4"/>
          </w:tcPr>
          <w:p>
            <w:pPr>
              <w:ind w:left="60"/>
              <w:spacing w:after="0"/>
              <w:rPr>
                <w:sz w:val="20"/>
                <w:szCs w:val="20"/>
                <w:color w:val="auto"/>
              </w:rPr>
            </w:pPr>
            <w:r>
              <w:rPr>
                <w:rFonts w:ascii="Arial" w:cs="Arial" w:eastAsia="Arial" w:hAnsi="Arial"/>
                <w:sz w:val="18"/>
                <w:szCs w:val="18"/>
                <w:color w:val="auto"/>
                <w:w w:val="99"/>
              </w:rPr>
              <w:t>OrbiMed Capital GP III LLC</w:t>
            </w: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3"/>
              </w:rPr>
              <w:t>SOURCE OF FUNDS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9780" w:type="dxa"/>
            <w:vAlign w:val="bottom"/>
            <w:tcBorders>
              <w:bottom w:val="single" w:sz="8" w:color="auto"/>
              <w:right w:val="single" w:sz="8" w:color="auto"/>
            </w:tcBorders>
            <w:gridSpan w:val="6"/>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9"/>
              </w:rPr>
              <w:t>Delaware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1,831,928 (1)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BENEFICIALLY OWNED</w:t>
            </w: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7500" w:type="dxa"/>
            <w:vAlign w:val="bottom"/>
            <w:tcBorders>
              <w:right w:val="single" w:sz="8" w:color="auto"/>
            </w:tcBorders>
            <w:gridSpan w:val="2"/>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40" w:type="dxa"/>
            <w:vAlign w:val="bottom"/>
            <w:tcBorders>
              <w:left w:val="single" w:sz="8" w:color="auto"/>
              <w:right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32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6"/>
              </w:rPr>
              <w:t>PERSON WITH</w:t>
            </w: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500" w:type="dxa"/>
            <w:vAlign w:val="bottom"/>
            <w:tcBorders>
              <w:right w:val="single" w:sz="8" w:color="auto"/>
            </w:tcBorders>
            <w:gridSpan w:val="2"/>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tcBorders>
            <w:gridSpan w:val="2"/>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1,831,928</w:t>
            </w:r>
          </w:p>
        </w:tc>
        <w:tc>
          <w:tcPr>
            <w:tcW w:w="6680" w:type="dxa"/>
            <w:vAlign w:val="bottom"/>
            <w:tcBorders>
              <w:right w:val="single" w:sz="8" w:color="auto"/>
            </w:tcBorders>
          </w:tcPr>
          <w:p>
            <w:pPr>
              <w:jc w:val="right"/>
              <w:ind w:right="633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4"/>
              </w:rPr>
              <w:t>1,831,928</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7500" w:type="dxa"/>
            <w:vAlign w:val="bottom"/>
            <w:tcBorders>
              <w:bottom w:val="single" w:sz="8" w:color="auto"/>
              <w:right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7"/>
              </w:rPr>
              <w:t>8.30% (2)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OO</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firstLine="332"/>
        <w:spacing w:after="0" w:line="277" w:lineRule="auto"/>
        <w:tabs>
          <w:tab w:leader="none" w:pos="6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 1,825,415 outstanding shares of common stock, par value $0.0001 per share (the “Shares”), of Selecta Biosciences, Inc., a Delaware corporation (the “Issuer”), and (ii) 6,513 Shares issuable upon the exercise of warrants to purchase shares (the “Warrants”).</w:t>
      </w:r>
    </w:p>
    <w:p>
      <w:pPr>
        <w:spacing w:after="0" w:line="197" w:lineRule="exact"/>
        <w:rPr>
          <w:rFonts w:ascii="Arial" w:cs="Arial" w:eastAsia="Arial" w:hAnsi="Arial"/>
          <w:sz w:val="18"/>
          <w:szCs w:val="18"/>
          <w:color w:val="auto"/>
        </w:rPr>
      </w:pPr>
    </w:p>
    <w:p>
      <w:pPr>
        <w:ind w:firstLine="332"/>
        <w:spacing w:after="0" w:line="277" w:lineRule="auto"/>
        <w:tabs>
          <w:tab w:leader="none" w:pos="589" w:val="left"/>
        </w:tabs>
        <w:numPr>
          <w:ilvl w:val="0"/>
          <w:numId w:val="2"/>
        </w:numPr>
        <w:rPr>
          <w:rFonts w:ascii="Arial" w:cs="Arial" w:eastAsia="Arial" w:hAnsi="Arial"/>
          <w:sz w:val="18"/>
          <w:szCs w:val="18"/>
          <w:color w:val="auto"/>
        </w:rPr>
      </w:pPr>
      <w:r>
        <w:rPr>
          <w:rFonts w:ascii="Arial" w:cs="Arial" w:eastAsia="Arial" w:hAnsi="Arial"/>
          <w:sz w:val="18"/>
          <w:szCs w:val="18"/>
          <w:color w:val="auto"/>
        </w:rPr>
        <w:t>This percentage is calculated based upon 22,074,378 shares of Issuer, as set forth in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11, 2017, and includes 6,513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245745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11"/>
        </w:trPr>
        <w:tc>
          <w:tcPr>
            <w:tcW w:w="1800" w:type="dxa"/>
            <w:vAlign w:val="bottom"/>
            <w:tcBorders>
              <w:top w:val="single" w:sz="8" w:color="auto"/>
              <w:left w:val="single" w:sz="8" w:color="auto"/>
            </w:tcBorders>
            <w:gridSpan w:val="2"/>
          </w:tcPr>
          <w:p>
            <w:pPr>
              <w:ind w:left="100"/>
              <w:spacing w:after="0"/>
              <w:rPr>
                <w:sz w:val="20"/>
                <w:szCs w:val="20"/>
                <w:color w:val="auto"/>
              </w:rPr>
            </w:pPr>
            <w:r>
              <w:rPr>
                <w:rFonts w:ascii="Arial" w:cs="Arial" w:eastAsia="Arial" w:hAnsi="Arial"/>
                <w:sz w:val="18"/>
                <w:szCs w:val="18"/>
                <w:color w:val="auto"/>
                <w:w w:val="91"/>
              </w:rPr>
              <w:t>CUSIP No. 816212104</w:t>
            </w:r>
          </w:p>
        </w:tc>
        <w:tc>
          <w:tcPr>
            <w:tcW w:w="5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6680" w:type="dxa"/>
            <w:vAlign w:val="bottom"/>
            <w:tcBorders>
              <w:top w:val="single" w:sz="8" w:color="auto"/>
              <w:right w:val="single" w:sz="8" w:color="auto"/>
            </w:tcBorders>
          </w:tcPr>
          <w:p>
            <w:pPr>
              <w:spacing w:after="0"/>
              <w:rPr>
                <w:sz w:val="24"/>
                <w:szCs w:val="24"/>
                <w:color w:val="auto"/>
              </w:rPr>
            </w:pPr>
          </w:p>
        </w:tc>
        <w:tc>
          <w:tcPr>
            <w:tcW w:w="68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3100" w:type="dxa"/>
            <w:vAlign w:val="bottom"/>
            <w:tcBorders>
              <w:bottom w:val="single" w:sz="8" w:color="auto"/>
            </w:tcBorders>
            <w:gridSpan w:val="5"/>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w:t>
            </w:r>
          </w:p>
        </w:tc>
        <w:tc>
          <w:tcPr>
            <w:tcW w:w="3100" w:type="dxa"/>
            <w:vAlign w:val="bottom"/>
            <w:gridSpan w:val="5"/>
          </w:tcPr>
          <w:p>
            <w:pPr>
              <w:ind w:left="60"/>
              <w:spacing w:after="0"/>
              <w:rPr>
                <w:sz w:val="20"/>
                <w:szCs w:val="20"/>
                <w:color w:val="auto"/>
              </w:rPr>
            </w:pPr>
            <w:r>
              <w:rPr>
                <w:rFonts w:ascii="Arial" w:cs="Arial" w:eastAsia="Arial" w:hAnsi="Arial"/>
                <w:sz w:val="18"/>
                <w:szCs w:val="18"/>
                <w:color w:val="auto"/>
              </w:rPr>
              <w:t>NAME OF REPORTING PERSON</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Samuel D. Isaly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83"/>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ind w:left="8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55"/>
        </w:trPr>
        <w:tc>
          <w:tcPr>
            <w:tcW w:w="960" w:type="dxa"/>
            <w:vAlign w:val="bottom"/>
            <w:tcBorders>
              <w:left w:val="single" w:sz="8" w:color="auto"/>
              <w:bottom w:val="single" w:sz="8" w:color="auto"/>
              <w:right w:val="single" w:sz="8" w:color="auto"/>
            </w:tcBorders>
          </w:tcPr>
          <w:p>
            <w:pPr>
              <w:spacing w:after="0"/>
              <w:rPr>
                <w:sz w:val="4"/>
                <w:szCs w:val="4"/>
                <w:color w:val="auto"/>
              </w:rPr>
            </w:pPr>
          </w:p>
        </w:tc>
        <w:tc>
          <w:tcPr>
            <w:tcW w:w="1700" w:type="dxa"/>
            <w:vAlign w:val="bottom"/>
            <w:tcBorders>
              <w:bottom w:val="single" w:sz="8" w:color="auto"/>
            </w:tcBorders>
            <w:gridSpan w:val="3"/>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680" w:type="dxa"/>
            <w:vAlign w:val="bottom"/>
            <w:tcBorders>
              <w:bottom w:val="single" w:sz="8" w:color="auto"/>
              <w:right w:val="single" w:sz="8" w:color="auto"/>
            </w:tcBorders>
          </w:tcPr>
          <w:p>
            <w:pPr>
              <w:spacing w:after="0"/>
              <w:rPr>
                <w:sz w:val="4"/>
                <w:szCs w:val="4"/>
                <w:color w:val="auto"/>
              </w:rPr>
            </w:pPr>
          </w:p>
        </w:tc>
        <w:tc>
          <w:tcPr>
            <w:tcW w:w="68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960" w:type="dxa"/>
            <w:vAlign w:val="bottom"/>
            <w:tcBorders>
              <w:left w:val="single" w:sz="8" w:color="auto"/>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gridSpan w:val="3"/>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6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1700" w:type="dxa"/>
            <w:vAlign w:val="bottom"/>
            <w:gridSpan w:val="3"/>
          </w:tcPr>
          <w:p>
            <w:pPr>
              <w:ind w:left="60"/>
              <w:spacing w:after="0"/>
              <w:rPr>
                <w:sz w:val="20"/>
                <w:szCs w:val="20"/>
                <w:color w:val="auto"/>
              </w:rPr>
            </w:pPr>
            <w:r>
              <w:rPr>
                <w:rFonts w:ascii="Arial" w:cs="Arial" w:eastAsia="Arial" w:hAnsi="Arial"/>
                <w:sz w:val="18"/>
                <w:szCs w:val="18"/>
                <w:color w:val="auto"/>
                <w:w w:val="93"/>
              </w:rPr>
              <w:t>SOURCE OF FUNDS</w:t>
            </w: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AF</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9780" w:type="dxa"/>
            <w:vAlign w:val="bottom"/>
            <w:tcBorders>
              <w:bottom w:val="single" w:sz="8" w:color="auto"/>
              <w:right w:val="single" w:sz="8" w:color="auto"/>
            </w:tcBorders>
            <w:gridSpan w:val="6"/>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DISCLOSURE OF LEGAL PROCEEDINGS IS REQUIRED PURSUANT TO ITEMS 2(d) or 2(e)</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9780" w:type="dxa"/>
            <w:vAlign w:val="bottom"/>
            <w:tcBorders>
              <w:bottom w:val="single" w:sz="8" w:color="auto"/>
              <w:right w:val="single" w:sz="8" w:color="auto"/>
            </w:tcBorders>
            <w:gridSpan w:val="6"/>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CITIZENSHIP OR PLACE OF ORGANIZATION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9"/>
              </w:rPr>
              <w:t>Delaware</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7</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SOLE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99"/>
              </w:rPr>
              <w:t>8</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VOTING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23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5"/>
              </w:rPr>
              <w:t>NUMBER OF SHARES</w:t>
            </w: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vMerge w:val="restart"/>
          </w:tcPr>
          <w:p>
            <w:pPr>
              <w:ind w:left="60"/>
              <w:spacing w:after="0"/>
              <w:rPr>
                <w:sz w:val="20"/>
                <w:szCs w:val="20"/>
                <w:color w:val="auto"/>
              </w:rPr>
            </w:pPr>
            <w:r>
              <w:rPr>
                <w:rFonts w:ascii="Arial" w:cs="Arial" w:eastAsia="Arial" w:hAnsi="Arial"/>
                <w:sz w:val="18"/>
                <w:szCs w:val="18"/>
                <w:color w:val="auto"/>
                <w:w w:val="92"/>
              </w:rPr>
              <w:t>1,849,371</w:t>
            </w:r>
          </w:p>
        </w:tc>
        <w:tc>
          <w:tcPr>
            <w:tcW w:w="6680" w:type="dxa"/>
            <w:vAlign w:val="bottom"/>
            <w:tcBorders>
              <w:right w:val="single" w:sz="8" w:color="auto"/>
            </w:tcBorders>
            <w:vMerge w:val="restart"/>
          </w:tcPr>
          <w:p>
            <w:pPr>
              <w:jc w:val="right"/>
              <w:ind w:right="633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8"/>
              </w:rPr>
              <w:t>BENEFICIALLY OWNED</w:t>
            </w:r>
          </w:p>
        </w:tc>
        <w:tc>
          <w:tcPr>
            <w:tcW w:w="32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820" w:type="dxa"/>
            <w:vAlign w:val="bottom"/>
            <w:vMerge w:val="continue"/>
          </w:tcPr>
          <w:p>
            <w:pPr>
              <w:spacing w:after="0"/>
              <w:rPr>
                <w:sz w:val="12"/>
                <w:szCs w:val="12"/>
                <w:color w:val="auto"/>
              </w:rPr>
            </w:pPr>
          </w:p>
        </w:tc>
        <w:tc>
          <w:tcPr>
            <w:tcW w:w="6680" w:type="dxa"/>
            <w:vAlign w:val="bottom"/>
            <w:tcBorders>
              <w:right w:val="single" w:sz="8" w:color="auto"/>
            </w:tcBorders>
            <w:vMerge w:val="continue"/>
          </w:tcPr>
          <w:p>
            <w:pPr>
              <w:spacing w:after="0"/>
              <w:rPr>
                <w:sz w:val="12"/>
                <w:szCs w:val="12"/>
                <w:color w:val="auto"/>
              </w:rPr>
            </w:pPr>
          </w:p>
        </w:tc>
        <w:tc>
          <w:tcPr>
            <w:tcW w:w="6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75"/>
        </w:trPr>
        <w:tc>
          <w:tcPr>
            <w:tcW w:w="2340" w:type="dxa"/>
            <w:vAlign w:val="bottom"/>
            <w:tcBorders>
              <w:left w:val="single" w:sz="8" w:color="auto"/>
              <w:right w:val="single" w:sz="8" w:color="auto"/>
            </w:tcBorders>
            <w:gridSpan w:val="3"/>
            <w:vMerge w:val="continue"/>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2340" w:type="dxa"/>
            <w:vAlign w:val="bottom"/>
            <w:tcBorders>
              <w:left w:val="single" w:sz="8" w:color="auto"/>
              <w:right w:val="single" w:sz="8" w:color="auto"/>
            </w:tcBorders>
            <w:gridSpan w:val="3"/>
          </w:tcPr>
          <w:p>
            <w:pPr>
              <w:jc w:val="center"/>
              <w:spacing w:after="0" w:line="189" w:lineRule="exact"/>
              <w:rPr>
                <w:sz w:val="20"/>
                <w:szCs w:val="20"/>
                <w:color w:val="auto"/>
              </w:rPr>
            </w:pPr>
            <w:r>
              <w:rPr>
                <w:rFonts w:ascii="Arial" w:cs="Arial" w:eastAsia="Arial" w:hAnsi="Arial"/>
                <w:sz w:val="18"/>
                <w:szCs w:val="18"/>
                <w:color w:val="auto"/>
                <w:w w:val="95"/>
              </w:rPr>
              <w:t>BY EACH REPORTING</w:t>
            </w:r>
          </w:p>
        </w:tc>
        <w:tc>
          <w:tcPr>
            <w:tcW w:w="320" w:type="dxa"/>
            <w:vAlign w:val="bottom"/>
          </w:tcPr>
          <w:p>
            <w:pPr>
              <w:spacing w:after="0"/>
              <w:rPr>
                <w:sz w:val="16"/>
                <w:szCs w:val="16"/>
                <w:color w:val="auto"/>
              </w:rPr>
            </w:pPr>
          </w:p>
        </w:tc>
        <w:tc>
          <w:tcPr>
            <w:tcW w:w="580" w:type="dxa"/>
            <w:vAlign w:val="bottom"/>
            <w:tcBorders>
              <w:right w:val="single" w:sz="8" w:color="auto"/>
            </w:tcBorders>
            <w:vMerge w:val="restart"/>
          </w:tcPr>
          <w:p>
            <w:pPr>
              <w:jc w:val="center"/>
              <w:ind w:right="270"/>
              <w:spacing w:after="0"/>
              <w:rPr>
                <w:sz w:val="20"/>
                <w:szCs w:val="20"/>
                <w:color w:val="auto"/>
              </w:rPr>
            </w:pPr>
            <w:r>
              <w:rPr>
                <w:rFonts w:ascii="Arial" w:cs="Arial" w:eastAsia="Arial" w:hAnsi="Arial"/>
                <w:sz w:val="18"/>
                <w:szCs w:val="18"/>
                <w:color w:val="auto"/>
                <w:w w:val="99"/>
              </w:rPr>
              <w:t>9</w:t>
            </w:r>
          </w:p>
        </w:tc>
        <w:tc>
          <w:tcPr>
            <w:tcW w:w="7500" w:type="dxa"/>
            <w:vAlign w:val="bottom"/>
            <w:tcBorders>
              <w:right w:val="single" w:sz="8" w:color="auto"/>
            </w:tcBorders>
            <w:gridSpan w:val="2"/>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6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1800" w:type="dxa"/>
            <w:vAlign w:val="bottom"/>
            <w:tcBorders>
              <w:left w:val="single" w:sz="8" w:color="auto"/>
            </w:tcBorders>
            <w:gridSpan w:val="2"/>
            <w:vMerge w:val="restart"/>
          </w:tcPr>
          <w:p>
            <w:pPr>
              <w:jc w:val="center"/>
              <w:ind w:left="450"/>
              <w:spacing w:after="0"/>
              <w:rPr>
                <w:sz w:val="20"/>
                <w:szCs w:val="20"/>
                <w:color w:val="auto"/>
              </w:rPr>
            </w:pPr>
            <w:r>
              <w:rPr>
                <w:rFonts w:ascii="Arial" w:cs="Arial" w:eastAsia="Arial" w:hAnsi="Arial"/>
                <w:sz w:val="18"/>
                <w:szCs w:val="18"/>
                <w:color w:val="auto"/>
                <w:w w:val="96"/>
              </w:rPr>
              <w:t>PERSON WITH</w:t>
            </w:r>
          </w:p>
        </w:tc>
        <w:tc>
          <w:tcPr>
            <w:tcW w:w="540" w:type="dxa"/>
            <w:vAlign w:val="bottom"/>
            <w:tcBorders>
              <w:right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right w:val="single" w:sz="8" w:color="auto"/>
            </w:tcBorders>
            <w:vMerge w:val="continue"/>
          </w:tcPr>
          <w:p>
            <w:pPr>
              <w:spacing w:after="0"/>
              <w:rPr>
                <w:sz w:val="8"/>
                <w:szCs w:val="8"/>
                <w:color w:val="auto"/>
              </w:rPr>
            </w:pPr>
          </w:p>
        </w:tc>
        <w:tc>
          <w:tcPr>
            <w:tcW w:w="7500" w:type="dxa"/>
            <w:vAlign w:val="bottom"/>
            <w:tcBorders>
              <w:right w:val="single" w:sz="8" w:color="auto"/>
            </w:tcBorders>
            <w:gridSpan w:val="2"/>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00" w:type="dxa"/>
            <w:vAlign w:val="bottom"/>
            <w:tcBorders>
              <w:left w:val="single" w:sz="8" w:color="auto"/>
            </w:tcBorders>
            <w:gridSpan w:val="2"/>
            <w:vMerge w:val="continue"/>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Borders>
              <w:right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668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rPr>
              <w:t>0</w:t>
            </w: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540" w:type="dxa"/>
            <w:vAlign w:val="bottom"/>
            <w:tcBorders>
              <w:right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right w:val="single" w:sz="8" w:color="auto"/>
            </w:tcBorders>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jc w:val="center"/>
              <w:ind w:right="270"/>
              <w:spacing w:after="0"/>
              <w:rPr>
                <w:sz w:val="20"/>
                <w:szCs w:val="20"/>
                <w:color w:val="auto"/>
              </w:rPr>
            </w:pPr>
            <w:r>
              <w:rPr>
                <w:rFonts w:ascii="Arial" w:cs="Arial" w:eastAsia="Arial" w:hAnsi="Arial"/>
                <w:sz w:val="18"/>
                <w:szCs w:val="18"/>
                <w:color w:val="auto"/>
                <w:w w:val="89"/>
              </w:rPr>
              <w:t>10</w:t>
            </w:r>
          </w:p>
        </w:tc>
        <w:tc>
          <w:tcPr>
            <w:tcW w:w="7500" w:type="dxa"/>
            <w:vAlign w:val="bottom"/>
            <w:tcBorders>
              <w:right w:val="single" w:sz="8" w:color="auto"/>
            </w:tcBorders>
            <w:gridSpan w:val="2"/>
          </w:tcPr>
          <w:p>
            <w:pPr>
              <w:ind w:left="60"/>
              <w:spacing w:after="0"/>
              <w:rPr>
                <w:sz w:val="20"/>
                <w:szCs w:val="20"/>
                <w:color w:val="auto"/>
              </w:rPr>
            </w:pPr>
            <w:r>
              <w:rPr>
                <w:rFonts w:ascii="Arial" w:cs="Arial" w:eastAsia="Arial" w:hAnsi="Arial"/>
                <w:sz w:val="18"/>
                <w:szCs w:val="18"/>
                <w:color w:val="auto"/>
              </w:rPr>
              <w:t>SHARED DISPOSITIVE POWER</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tcBorders>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Borders>
              <w:right w:val="single" w:sz="8" w:color="auto"/>
            </w:tcBorders>
          </w:tcPr>
          <w:p>
            <w:pPr>
              <w:spacing w:after="0"/>
              <w:rPr>
                <w:sz w:val="24"/>
                <w:szCs w:val="24"/>
                <w:color w:val="auto"/>
              </w:rPr>
            </w:pPr>
          </w:p>
        </w:tc>
        <w:tc>
          <w:tcPr>
            <w:tcW w:w="820" w:type="dxa"/>
            <w:vAlign w:val="bottom"/>
          </w:tcPr>
          <w:p>
            <w:pPr>
              <w:ind w:left="60"/>
              <w:spacing w:after="0"/>
              <w:rPr>
                <w:sz w:val="20"/>
                <w:szCs w:val="20"/>
                <w:color w:val="auto"/>
              </w:rPr>
            </w:pPr>
            <w:r>
              <w:rPr>
                <w:rFonts w:ascii="Arial" w:cs="Arial" w:eastAsia="Arial" w:hAnsi="Arial"/>
                <w:sz w:val="18"/>
                <w:szCs w:val="18"/>
                <w:color w:val="auto"/>
                <w:w w:val="92"/>
              </w:rPr>
              <w:t>1,849,371</w:t>
            </w:r>
          </w:p>
        </w:tc>
        <w:tc>
          <w:tcPr>
            <w:tcW w:w="6680" w:type="dxa"/>
            <w:vAlign w:val="bottom"/>
            <w:tcBorders>
              <w:right w:val="single" w:sz="8" w:color="auto"/>
            </w:tcBorders>
          </w:tcPr>
          <w:p>
            <w:pPr>
              <w:jc w:val="right"/>
              <w:ind w:right="6330"/>
              <w:spacing w:after="0"/>
              <w:rPr>
                <w:sz w:val="20"/>
                <w:szCs w:val="20"/>
                <w:color w:val="auto"/>
              </w:rPr>
            </w:pPr>
            <w:r>
              <w:rPr>
                <w:rFonts w:ascii="Arial" w:cs="Arial" w:eastAsia="Arial" w:hAnsi="Arial"/>
                <w:sz w:val="18"/>
                <w:szCs w:val="18"/>
                <w:color w:val="auto"/>
              </w:rPr>
              <w:t>(1)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tcBorders>
          </w:tcPr>
          <w:p>
            <w:pPr>
              <w:spacing w:after="0"/>
              <w:rPr>
                <w:sz w:val="6"/>
                <w:szCs w:val="6"/>
                <w:color w:val="auto"/>
              </w:rPr>
            </w:pPr>
          </w:p>
        </w:tc>
        <w:tc>
          <w:tcPr>
            <w:tcW w:w="1380" w:type="dxa"/>
            <w:vAlign w:val="bottom"/>
            <w:tcBorders>
              <w:bottom w:val="single" w:sz="8" w:color="auto"/>
              <w:right w:val="single" w:sz="8" w:color="auto"/>
            </w:tcBorders>
            <w:gridSpan w:val="2"/>
          </w:tcPr>
          <w:p>
            <w:pPr>
              <w:spacing w:after="0"/>
              <w:rPr>
                <w:sz w:val="6"/>
                <w:szCs w:val="6"/>
                <w:color w:val="auto"/>
              </w:rPr>
            </w:pPr>
          </w:p>
        </w:tc>
        <w:tc>
          <w:tcPr>
            <w:tcW w:w="900" w:type="dxa"/>
            <w:vAlign w:val="bottom"/>
            <w:tcBorders>
              <w:bottom w:val="single" w:sz="8" w:color="auto"/>
              <w:right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11</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4"/>
              </w:rPr>
              <w:t>1,849,371</w:t>
            </w:r>
          </w:p>
        </w:tc>
        <w:tc>
          <w:tcPr>
            <w:tcW w:w="540" w:type="dxa"/>
            <w:vAlign w:val="bottom"/>
          </w:tcPr>
          <w:p>
            <w:pPr>
              <w:jc w:val="right"/>
              <w:ind w:right="210"/>
              <w:spacing w:after="0"/>
              <w:rPr>
                <w:sz w:val="20"/>
                <w:szCs w:val="20"/>
                <w:color w:val="auto"/>
              </w:rPr>
            </w:pPr>
            <w:r>
              <w:rPr>
                <w:rFonts w:ascii="Arial" w:cs="Arial" w:eastAsia="Arial" w:hAnsi="Arial"/>
                <w:sz w:val="18"/>
                <w:szCs w:val="18"/>
                <w:color w:val="auto"/>
                <w:w w:val="99"/>
              </w:rPr>
              <w:t>(1)</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CHECK BOX IF THE AGGREGATE AMOUNT IN ROW (11) EXCLUDES CERTAIN SHARES (See Instructions)</w:t>
            </w:r>
          </w:p>
        </w:tc>
        <w:tc>
          <w:tcPr>
            <w:tcW w:w="680" w:type="dxa"/>
            <w:vAlign w:val="bottom"/>
            <w:tcBorders>
              <w:right w:val="single" w:sz="8" w:color="auto"/>
            </w:tcBorders>
          </w:tcPr>
          <w:p>
            <w:pPr>
              <w:ind w:left="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71"/>
        </w:trPr>
        <w:tc>
          <w:tcPr>
            <w:tcW w:w="960" w:type="dxa"/>
            <w:vAlign w:val="bottom"/>
            <w:tcBorders>
              <w:left w:val="single" w:sz="8" w:color="auto"/>
              <w:bottom w:val="single" w:sz="8" w:color="auto"/>
              <w:right w:val="single" w:sz="8" w:color="auto"/>
            </w:tcBorders>
          </w:tcPr>
          <w:p>
            <w:pPr>
              <w:spacing w:after="0"/>
              <w:rPr>
                <w:sz w:val="23"/>
                <w:szCs w:val="23"/>
                <w:color w:val="auto"/>
              </w:rPr>
            </w:pPr>
          </w:p>
        </w:tc>
        <w:tc>
          <w:tcPr>
            <w:tcW w:w="1380" w:type="dxa"/>
            <w:vAlign w:val="bottom"/>
            <w:tcBorders>
              <w:bottom w:val="single" w:sz="8" w:color="auto"/>
            </w:tcBorders>
            <w:gridSpan w:val="2"/>
          </w:tcPr>
          <w:p>
            <w:pPr>
              <w:spacing w:after="0"/>
              <w:rPr>
                <w:sz w:val="23"/>
                <w:szCs w:val="23"/>
                <w:color w:val="auto"/>
              </w:rPr>
            </w:pPr>
          </w:p>
        </w:tc>
        <w:tc>
          <w:tcPr>
            <w:tcW w:w="900" w:type="dxa"/>
            <w:vAlign w:val="bottom"/>
            <w:tcBorders>
              <w:bottom w:val="single" w:sz="8" w:color="auto"/>
            </w:tcBorders>
            <w:gridSpan w:val="2"/>
          </w:tcPr>
          <w:p>
            <w:pPr>
              <w:spacing w:after="0"/>
              <w:rPr>
                <w:sz w:val="23"/>
                <w:szCs w:val="23"/>
                <w:color w:val="auto"/>
              </w:rPr>
            </w:pPr>
          </w:p>
        </w:tc>
        <w:tc>
          <w:tcPr>
            <w:tcW w:w="7500" w:type="dxa"/>
            <w:vAlign w:val="bottom"/>
            <w:tcBorders>
              <w:bottom w:val="single" w:sz="8" w:color="auto"/>
              <w:right w:val="single" w:sz="8" w:color="auto"/>
            </w:tcBorders>
            <w:gridSpan w:val="2"/>
          </w:tcPr>
          <w:p>
            <w:pPr>
              <w:spacing w:after="0"/>
              <w:rPr>
                <w:sz w:val="23"/>
                <w:szCs w:val="23"/>
                <w:color w:val="auto"/>
              </w:rPr>
            </w:pPr>
          </w:p>
        </w:tc>
        <w:tc>
          <w:tcPr>
            <w:tcW w:w="68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PERCENT OF CLASS REPRESENTED BY AMOUNT IN ROW (11)</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w w:val="97"/>
              </w:rPr>
              <w:t>8.38% (2)</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1380" w:type="dxa"/>
            <w:vAlign w:val="bottom"/>
            <w:tcBorders>
              <w:bottom w:val="single" w:sz="8" w:color="auto"/>
            </w:tcBorders>
            <w:gridSpan w:val="2"/>
          </w:tcPr>
          <w:p>
            <w:pPr>
              <w:spacing w:after="0"/>
              <w:rPr>
                <w:sz w:val="6"/>
                <w:szCs w:val="6"/>
                <w:color w:val="auto"/>
              </w:rPr>
            </w:pPr>
          </w:p>
        </w:tc>
        <w:tc>
          <w:tcPr>
            <w:tcW w:w="900" w:type="dxa"/>
            <w:vAlign w:val="bottom"/>
            <w:tcBorders>
              <w:bottom w:val="single" w:sz="8" w:color="auto"/>
            </w:tcBorders>
            <w:gridSpan w:val="2"/>
          </w:tcPr>
          <w:p>
            <w:pPr>
              <w:spacing w:after="0"/>
              <w:rPr>
                <w:sz w:val="6"/>
                <w:szCs w:val="6"/>
                <w:color w:val="auto"/>
              </w:rPr>
            </w:pPr>
          </w:p>
        </w:tc>
        <w:tc>
          <w:tcPr>
            <w:tcW w:w="7500" w:type="dxa"/>
            <w:vAlign w:val="bottom"/>
            <w:tcBorders>
              <w:bottom w:val="single" w:sz="8" w:color="auto"/>
              <w:right w:val="single" w:sz="8" w:color="auto"/>
            </w:tcBorders>
            <w:gridSpan w:val="2"/>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84"/>
        </w:trPr>
        <w:tc>
          <w:tcPr>
            <w:tcW w:w="96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9780" w:type="dxa"/>
            <w:vAlign w:val="bottom"/>
            <w:tcBorders>
              <w:right w:val="single" w:sz="8" w:color="auto"/>
            </w:tcBorders>
            <w:gridSpan w:val="6"/>
          </w:tcPr>
          <w:p>
            <w:pPr>
              <w:ind w:left="60"/>
              <w:spacing w:after="0"/>
              <w:rPr>
                <w:sz w:val="20"/>
                <w:szCs w:val="20"/>
                <w:color w:val="auto"/>
              </w:rPr>
            </w:pPr>
            <w:r>
              <w:rPr>
                <w:rFonts w:ascii="Arial" w:cs="Arial" w:eastAsia="Arial" w:hAnsi="Arial"/>
                <w:sz w:val="18"/>
                <w:szCs w:val="18"/>
                <w:color w:val="auto"/>
              </w:rPr>
              <w:t>TYPE OF REPORTING PERSON (See Instructions)</w:t>
            </w: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960" w:type="dxa"/>
            <w:vAlign w:val="bottom"/>
            <w:tcBorders>
              <w:left w:val="single" w:sz="8" w:color="auto"/>
              <w:right w:val="single" w:sz="8" w:color="auto"/>
            </w:tcBorders>
          </w:tcPr>
          <w:p>
            <w:pPr>
              <w:spacing w:after="0"/>
              <w:rPr>
                <w:sz w:val="24"/>
                <w:szCs w:val="24"/>
                <w:color w:val="auto"/>
              </w:rPr>
            </w:pPr>
          </w:p>
        </w:tc>
        <w:tc>
          <w:tcPr>
            <w:tcW w:w="840" w:type="dxa"/>
            <w:vAlign w:val="bottom"/>
          </w:tcPr>
          <w:p>
            <w:pPr>
              <w:ind w:left="60"/>
              <w:spacing w:after="0"/>
              <w:rPr>
                <w:sz w:val="20"/>
                <w:szCs w:val="20"/>
                <w:color w:val="auto"/>
              </w:rPr>
            </w:pPr>
            <w:r>
              <w:rPr>
                <w:rFonts w:ascii="Arial" w:cs="Arial" w:eastAsia="Arial" w:hAnsi="Arial"/>
                <w:sz w:val="18"/>
                <w:szCs w:val="18"/>
                <w:color w:val="auto"/>
              </w:rPr>
              <w:t>IN</w:t>
            </w: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80" w:type="dxa"/>
            <w:vAlign w:val="bottom"/>
            <w:tcBorders>
              <w:right w:val="single" w:sz="8" w:color="auto"/>
            </w:tcBorders>
          </w:tcPr>
          <w:p>
            <w:pPr>
              <w:spacing w:after="0"/>
              <w:rPr>
                <w:sz w:val="24"/>
                <w:szCs w:val="24"/>
                <w:color w:val="auto"/>
              </w:rPr>
            </w:pPr>
          </w:p>
        </w:tc>
        <w:tc>
          <w:tcPr>
            <w:tcW w:w="6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5"/>
        </w:trPr>
        <w:tc>
          <w:tcPr>
            <w:tcW w:w="960" w:type="dxa"/>
            <w:vAlign w:val="bottom"/>
            <w:tcBorders>
              <w:left w:val="single" w:sz="8" w:color="auto"/>
              <w:bottom w:val="single" w:sz="8" w:color="auto"/>
              <w:right w:val="single" w:sz="8" w:color="auto"/>
            </w:tcBorders>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54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820" w:type="dxa"/>
            <w:vAlign w:val="bottom"/>
            <w:tcBorders>
              <w:bottom w:val="single" w:sz="8" w:color="auto"/>
            </w:tcBorders>
          </w:tcPr>
          <w:p>
            <w:pPr>
              <w:spacing w:after="0"/>
              <w:rPr>
                <w:sz w:val="6"/>
                <w:szCs w:val="6"/>
                <w:color w:val="auto"/>
              </w:rPr>
            </w:pPr>
          </w:p>
        </w:tc>
        <w:tc>
          <w:tcPr>
            <w:tcW w:w="6680" w:type="dxa"/>
            <w:vAlign w:val="bottom"/>
            <w:tcBorders>
              <w:bottom w:val="single" w:sz="8" w:color="auto"/>
              <w:right w:val="single" w:sz="8" w:color="auto"/>
            </w:tcBorders>
          </w:tcPr>
          <w:p>
            <w:pPr>
              <w:spacing w:after="0"/>
              <w:rPr>
                <w:sz w:val="6"/>
                <w:szCs w:val="6"/>
                <w:color w:val="auto"/>
              </w:rPr>
            </w:pPr>
          </w:p>
        </w:tc>
        <w:tc>
          <w:tcPr>
            <w:tcW w:w="6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firstLine="332"/>
        <w:spacing w:after="0" w:line="277" w:lineRule="auto"/>
        <w:tabs>
          <w:tab w:leader="none" w:pos="6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(i) 1,842,797 outstanding shares of common stock, par value $0.0001 per share (the “Shares”), of Selecta Biosciences, Inc., a Delaware corporation (the “Issuer”), and (ii) 6,574 Shares issuable upon the exercise of warrants to purchase shares (the “Warrants”).</w:t>
      </w:r>
    </w:p>
    <w:p>
      <w:pPr>
        <w:spacing w:after="0" w:line="197" w:lineRule="exact"/>
        <w:rPr>
          <w:rFonts w:ascii="Arial" w:cs="Arial" w:eastAsia="Arial" w:hAnsi="Arial"/>
          <w:sz w:val="18"/>
          <w:szCs w:val="18"/>
          <w:color w:val="auto"/>
        </w:rPr>
      </w:pPr>
    </w:p>
    <w:p>
      <w:pPr>
        <w:ind w:firstLine="332"/>
        <w:spacing w:after="0" w:line="277" w:lineRule="auto"/>
        <w:tabs>
          <w:tab w:leader="none" w:pos="589"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This percentage is calculated based upon 22,074,378 shares of Issuer, as set forth in the Issuer’s Form 10-Q, filed with the Securities and 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on August 11, 2017, and includes 6,574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3"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Item 1. Security and Issuer</w:t>
      </w:r>
    </w:p>
    <w:p>
      <w:pPr>
        <w:spacing w:after="0" w:line="256"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This Amendment No. 1 (“</w:t>
      </w:r>
      <w:r>
        <w:rPr>
          <w:rFonts w:ascii="Arial" w:cs="Arial" w:eastAsia="Arial" w:hAnsi="Arial"/>
          <w:sz w:val="18"/>
          <w:szCs w:val="18"/>
          <w:u w:val="single" w:color="auto"/>
          <w:color w:val="auto"/>
        </w:rPr>
        <w:t>Amendment No. 1</w:t>
      </w:r>
      <w:r>
        <w:rPr>
          <w:rFonts w:ascii="Arial" w:cs="Arial" w:eastAsia="Arial" w:hAnsi="Arial"/>
          <w:sz w:val="18"/>
          <w:szCs w:val="18"/>
          <w:color w:val="auto"/>
        </w:rPr>
        <w:t>”) to Schedule 13D relates to the common stock, par value $0.0001 per share (the “</w:t>
      </w:r>
      <w:r>
        <w:rPr>
          <w:rFonts w:ascii="Arial" w:cs="Arial" w:eastAsia="Arial" w:hAnsi="Arial"/>
          <w:sz w:val="18"/>
          <w:szCs w:val="18"/>
          <w:u w:val="single" w:color="auto"/>
          <w:color w:val="auto"/>
        </w:rPr>
        <w:t>Shares</w:t>
      </w:r>
      <w:r>
        <w:rPr>
          <w:rFonts w:ascii="Arial" w:cs="Arial" w:eastAsia="Arial" w:hAnsi="Arial"/>
          <w:sz w:val="18"/>
          <w:szCs w:val="18"/>
          <w:color w:val="auto"/>
        </w:rPr>
        <w:t>”), of Selecta Biosciences, Inc., a corporation organized under the laws of Delaware (the “</w:t>
      </w:r>
      <w:r>
        <w:rPr>
          <w:rFonts w:ascii="Arial" w:cs="Arial" w:eastAsia="Arial" w:hAnsi="Arial"/>
          <w:sz w:val="18"/>
          <w:szCs w:val="18"/>
          <w:u w:val="single" w:color="auto"/>
          <w:color w:val="auto"/>
        </w:rPr>
        <w:t>Issuer</w:t>
      </w:r>
      <w:r>
        <w:rPr>
          <w:rFonts w:ascii="Arial" w:cs="Arial" w:eastAsia="Arial" w:hAnsi="Arial"/>
          <w:sz w:val="18"/>
          <w:szCs w:val="18"/>
          <w:color w:val="auto"/>
        </w:rPr>
        <w:t>”), with its principal executive offices located at 480 Arsenal Street, Building One Watertown, Massachusetts 02472. Information given in response to each item shall be deemed incorporated by reference in all other items, as applicable.</w:t>
      </w:r>
    </w:p>
    <w:p>
      <w:pPr>
        <w:spacing w:after="0" w:line="214"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On August 11, 2017, the Issuer filed its Form 10-Q for the quarterly period ended June 30, 2017, which indicated that the Issuer had increased its total number of outstanding Shares to 22,074,378 (the “Outstanding Share Increase”). As a result of the Outstanding Share Increase, the percentage of outstanding Shares that the Reporting Persons (as defined below) may be deemed to beneficially own was reduced by more than one percent of the Issuer’s Shares outstanding since the filing of the Schedule 13D.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83" w:lineRule="exact"/>
        <w:rPr>
          <w:sz w:val="20"/>
          <w:szCs w:val="20"/>
          <w:color w:val="auto"/>
        </w:rPr>
      </w:pPr>
    </w:p>
    <w:p>
      <w:pPr>
        <w:jc w:val="both"/>
        <w:ind w:firstLine="368"/>
        <w:spacing w:after="0" w:line="264" w:lineRule="auto"/>
        <w:tabs>
          <w:tab w:leader="none" w:pos="1329" w:val="left"/>
        </w:tabs>
        <w:numPr>
          <w:ilvl w:val="0"/>
          <w:numId w:val="4"/>
        </w:numPr>
        <w:rPr>
          <w:rFonts w:ascii="Arial" w:cs="Arial" w:eastAsia="Arial" w:hAnsi="Arial"/>
          <w:sz w:val="18"/>
          <w:szCs w:val="18"/>
          <w:color w:val="auto"/>
        </w:rPr>
      </w:pPr>
      <w:r>
        <w:rPr>
          <w:rFonts w:ascii="Arial" w:cs="Arial" w:eastAsia="Arial" w:hAnsi="Arial"/>
          <w:sz w:val="18"/>
          <w:szCs w:val="18"/>
          <w:color w:val="auto"/>
        </w:rPr>
        <w:t>This Amendment No. 1 is being filed by OrbiMed Advisors LLC (“</w:t>
      </w:r>
      <w:r>
        <w:rPr>
          <w:rFonts w:ascii="Arial" w:cs="Arial" w:eastAsia="Arial" w:hAnsi="Arial"/>
          <w:sz w:val="18"/>
          <w:szCs w:val="18"/>
          <w:u w:val="single" w:color="auto"/>
          <w:color w:val="auto"/>
        </w:rPr>
        <w:t>Advisors</w:t>
      </w:r>
      <w:r>
        <w:rPr>
          <w:rFonts w:ascii="Arial" w:cs="Arial" w:eastAsia="Arial" w:hAnsi="Arial"/>
          <w:sz w:val="18"/>
          <w:szCs w:val="18"/>
          <w:color w:val="auto"/>
        </w:rPr>
        <w:t>”), a limited liability company organized under the laws of Delaware, OrbiMed Capital GP III LLC (“</w:t>
      </w:r>
      <w:r>
        <w:rPr>
          <w:rFonts w:ascii="Arial" w:cs="Arial" w:eastAsia="Arial" w:hAnsi="Arial"/>
          <w:sz w:val="18"/>
          <w:szCs w:val="18"/>
          <w:u w:val="single" w:color="auto"/>
          <w:color w:val="auto"/>
        </w:rPr>
        <w:t>GP III</w:t>
      </w:r>
      <w:r>
        <w:rPr>
          <w:rFonts w:ascii="Arial" w:cs="Arial" w:eastAsia="Arial" w:hAnsi="Arial"/>
          <w:sz w:val="18"/>
          <w:szCs w:val="18"/>
          <w:color w:val="auto"/>
        </w:rPr>
        <w:t>”), a limited liability company organized under the laws of Delaware, and Samuel D. Isaly (“</w:t>
      </w:r>
      <w:r>
        <w:rPr>
          <w:rFonts w:ascii="Arial" w:cs="Arial" w:eastAsia="Arial" w:hAnsi="Arial"/>
          <w:sz w:val="18"/>
          <w:szCs w:val="18"/>
          <w:u w:val="single" w:color="auto"/>
          <w:color w:val="auto"/>
        </w:rPr>
        <w:t>Isaly</w:t>
      </w:r>
      <w:r>
        <w:rPr>
          <w:rFonts w:ascii="Arial" w:cs="Arial" w:eastAsia="Arial" w:hAnsi="Arial"/>
          <w:sz w:val="18"/>
          <w:szCs w:val="18"/>
          <w:color w:val="auto"/>
        </w:rPr>
        <w:t>”), an individual (collectively, the “</w:t>
      </w:r>
      <w:r>
        <w:rPr>
          <w:rFonts w:ascii="Arial" w:cs="Arial" w:eastAsia="Arial" w:hAnsi="Arial"/>
          <w:sz w:val="18"/>
          <w:szCs w:val="18"/>
          <w:u w:val="single" w:color="auto"/>
          <w:color w:val="auto"/>
        </w:rPr>
        <w:t>Reporting Persons</w:t>
      </w:r>
      <w:r>
        <w:rPr>
          <w:rFonts w:ascii="Arial" w:cs="Arial" w:eastAsia="Arial" w:hAnsi="Arial"/>
          <w:sz w:val="18"/>
          <w:szCs w:val="18"/>
          <w:color w:val="auto"/>
        </w:rPr>
        <w:t>”).</w:t>
      </w:r>
    </w:p>
    <w:p>
      <w:pPr>
        <w:spacing w:after="0" w:line="235" w:lineRule="exact"/>
        <w:rPr>
          <w:rFonts w:ascii="Arial" w:cs="Arial" w:eastAsia="Arial" w:hAnsi="Arial"/>
          <w:sz w:val="18"/>
          <w:szCs w:val="18"/>
          <w:color w:val="auto"/>
        </w:rPr>
      </w:pPr>
    </w:p>
    <w:p>
      <w:pPr>
        <w:jc w:val="both"/>
        <w:ind w:firstLine="368"/>
        <w:spacing w:after="0" w:line="259" w:lineRule="auto"/>
        <w:tabs>
          <w:tab w:leader="none" w:pos="633" w:val="left"/>
        </w:tabs>
        <w:numPr>
          <w:ilvl w:val="0"/>
          <w:numId w:val="4"/>
        </w:numPr>
        <w:rPr>
          <w:rFonts w:ascii="Arial" w:cs="Arial" w:eastAsia="Arial" w:hAnsi="Arial"/>
          <w:sz w:val="18"/>
          <w:szCs w:val="18"/>
          <w:color w:val="auto"/>
        </w:rPr>
      </w:pPr>
      <w:r>
        <w:rPr>
          <w:rFonts w:ascii="Arial" w:cs="Arial" w:eastAsia="Arial" w:hAnsi="Arial"/>
          <w:sz w:val="18"/>
          <w:szCs w:val="18"/>
          <w:color w:val="auto"/>
        </w:rPr>
        <w:t>– (c) Advisors, a registered investment adviser under the Investment Advisers Act of 1940, as amended, is the sole general partner of OrbiMed Associates III, LP (“</w:t>
      </w:r>
      <w:r>
        <w:rPr>
          <w:rFonts w:ascii="Arial" w:cs="Arial" w:eastAsia="Arial" w:hAnsi="Arial"/>
          <w:sz w:val="18"/>
          <w:szCs w:val="18"/>
          <w:u w:val="single" w:color="auto"/>
          <w:color w:val="auto"/>
        </w:rPr>
        <w:t>Associates III</w:t>
      </w:r>
      <w:r>
        <w:rPr>
          <w:rFonts w:ascii="Arial" w:cs="Arial" w:eastAsia="Arial" w:hAnsi="Arial"/>
          <w:sz w:val="18"/>
          <w:szCs w:val="18"/>
          <w:color w:val="auto"/>
        </w:rPr>
        <w:t>”) and the sole managing member of GP III, which is the sole general partner of OrbiMed Private Investments III, LP (“</w:t>
      </w:r>
      <w:r>
        <w:rPr>
          <w:rFonts w:ascii="Arial" w:cs="Arial" w:eastAsia="Arial" w:hAnsi="Arial"/>
          <w:sz w:val="18"/>
          <w:szCs w:val="18"/>
          <w:u w:val="single" w:color="auto"/>
          <w:color w:val="auto"/>
        </w:rPr>
        <w:t>OPI</w:t>
      </w:r>
      <w:r>
        <w:rPr>
          <w:rFonts w:ascii="Arial" w:cs="Arial" w:eastAsia="Arial" w:hAnsi="Arial"/>
          <w:sz w:val="18"/>
          <w:szCs w:val="18"/>
          <w:color w:val="auto"/>
        </w:rPr>
        <w:t xml:space="preserve"> </w:t>
      </w:r>
      <w:r>
        <w:rPr>
          <w:rFonts w:ascii="Arial" w:cs="Arial" w:eastAsia="Arial" w:hAnsi="Arial"/>
          <w:sz w:val="18"/>
          <w:szCs w:val="18"/>
          <w:u w:val="single" w:color="auto"/>
          <w:color w:val="auto"/>
        </w:rPr>
        <w:t>III</w:t>
      </w:r>
      <w:r>
        <w:rPr>
          <w:rFonts w:ascii="Arial" w:cs="Arial" w:eastAsia="Arial" w:hAnsi="Arial"/>
          <w:sz w:val="18"/>
          <w:szCs w:val="18"/>
          <w:color w:val="auto"/>
        </w:rPr>
        <w:t>”). OPI III and Associates III hold Shares as described herein. Advisors, GP III, and Isaly have their principal offices at 601 Lexington Avenue, 54th Floor, New York, New York 10022.</w:t>
      </w:r>
    </w:p>
    <w:p>
      <w:pPr>
        <w:spacing w:after="0" w:line="21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The directors and executive officers of Advisors and GP III are set forth on Schedules I and II, attached hereto. Schedules I and II set forth the following information with respect to each such person:</w:t>
      </w:r>
    </w:p>
    <w:p>
      <w:pPr>
        <w:spacing w:after="0" w:line="197" w:lineRule="exact"/>
        <w:rPr>
          <w:sz w:val="20"/>
          <w:szCs w:val="20"/>
          <w:color w:val="auto"/>
        </w:rPr>
      </w:pPr>
    </w:p>
    <w:p>
      <w:pPr>
        <w:ind w:left="800" w:hanging="44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name;</w:t>
      </w:r>
    </w:p>
    <w:p>
      <w:pPr>
        <w:spacing w:after="0" w:line="252" w:lineRule="exact"/>
        <w:rPr>
          <w:rFonts w:ascii="Arial" w:cs="Arial" w:eastAsia="Arial" w:hAnsi="Arial"/>
          <w:sz w:val="18"/>
          <w:szCs w:val="18"/>
          <w:color w:val="auto"/>
        </w:rPr>
      </w:pPr>
    </w:p>
    <w:p>
      <w:pPr>
        <w:ind w:left="800" w:hanging="44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business address;</w:t>
      </w:r>
    </w:p>
    <w:p>
      <w:pPr>
        <w:spacing w:after="0" w:line="252" w:lineRule="exact"/>
        <w:rPr>
          <w:rFonts w:ascii="Arial" w:cs="Arial" w:eastAsia="Arial" w:hAnsi="Arial"/>
          <w:sz w:val="18"/>
          <w:szCs w:val="18"/>
          <w:color w:val="auto"/>
        </w:rPr>
      </w:pPr>
    </w:p>
    <w:p>
      <w:pPr>
        <w:ind w:left="800" w:right="20" w:hanging="441"/>
        <w:spacing w:after="0" w:line="277"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present principal occupation or employment and the name, principal business and address of any corporation or other organization in which such employment is conducted;</w:t>
      </w:r>
    </w:p>
    <w:p>
      <w:pPr>
        <w:spacing w:after="0" w:line="197" w:lineRule="exact"/>
        <w:rPr>
          <w:rFonts w:ascii="Arial" w:cs="Arial" w:eastAsia="Arial" w:hAnsi="Arial"/>
          <w:sz w:val="18"/>
          <w:szCs w:val="18"/>
          <w:color w:val="auto"/>
        </w:rPr>
      </w:pPr>
    </w:p>
    <w:p>
      <w:pPr>
        <w:ind w:left="800" w:hanging="441"/>
        <w:spacing w:after="0"/>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79" w:lineRule="exact"/>
        <w:rPr>
          <w:rFonts w:ascii="Arial" w:cs="Arial" w:eastAsia="Arial" w:hAnsi="Arial"/>
          <w:sz w:val="18"/>
          <w:szCs w:val="18"/>
          <w:color w:val="auto"/>
        </w:rPr>
      </w:pPr>
    </w:p>
    <w:p>
      <w:pPr>
        <w:jc w:val="both"/>
        <w:ind w:firstLine="368"/>
        <w:spacing w:after="0" w:line="259" w:lineRule="auto"/>
        <w:tabs>
          <w:tab w:leader="none" w:pos="635" w:val="left"/>
        </w:tabs>
        <w:numPr>
          <w:ilvl w:val="1"/>
          <w:numId w:val="5"/>
        </w:numPr>
        <w:rPr>
          <w:rFonts w:ascii="Arial" w:cs="Arial" w:eastAsia="Arial" w:hAnsi="Arial"/>
          <w:sz w:val="18"/>
          <w:szCs w:val="18"/>
          <w:color w:val="auto"/>
        </w:rPr>
      </w:pPr>
      <w:r>
        <w:rPr>
          <w:rFonts w:ascii="Arial" w:cs="Arial" w:eastAsia="Arial" w:hAnsi="Arial"/>
          <w:sz w:val="18"/>
          <w:szCs w:val="18"/>
          <w:color w:val="auto"/>
        </w:rPr>
        <w:t>– (e) During the last five years, neither the Reporting Persons nor any Person named in Schedule I or II have been (i) convicted in a criminal proceeding (excluding traffic violations or similar misdemeanors) or (ii)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241" w:lineRule="exact"/>
        <w:rPr>
          <w:sz w:val="20"/>
          <w:szCs w:val="20"/>
          <w:color w:val="auto"/>
        </w:rPr>
      </w:pPr>
    </w:p>
    <w:p>
      <w:pPr>
        <w:ind w:left="1200" w:hanging="832"/>
        <w:spacing w:after="0"/>
        <w:tabs>
          <w:tab w:leader="none" w:pos="12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Isaly is a citizen of the United 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280670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Item 3 of the Schedule 13D is hereby amended and restated to read as follows:</w:t>
      </w:r>
    </w:p>
    <w:p>
      <w:pPr>
        <w:spacing w:after="0" w:line="252" w:lineRule="exact"/>
        <w:rPr>
          <w:sz w:val="20"/>
          <w:szCs w:val="20"/>
          <w:color w:val="auto"/>
        </w:rPr>
      </w:pPr>
    </w:p>
    <w:p>
      <w:pPr>
        <w:ind w:right="180" w:firstLine="648"/>
        <w:spacing w:after="0" w:line="312" w:lineRule="auto"/>
        <w:rPr>
          <w:sz w:val="20"/>
          <w:szCs w:val="20"/>
          <w:color w:val="auto"/>
        </w:rPr>
      </w:pPr>
      <w:r>
        <w:rPr>
          <w:rFonts w:ascii="Arial" w:cs="Arial" w:eastAsia="Arial" w:hAnsi="Arial"/>
          <w:sz w:val="16"/>
          <w:szCs w:val="16"/>
          <w:color w:val="auto"/>
        </w:rPr>
        <w:t>Between 2010–2016, the Reporting Persons acquired 924,271 preferred shares of the Issuer and warrants to purchase additional preferred shares of the Issuer through numerous private financings. In connection with the Issuer’s initial public offering, the Reporting Persons converted all of the acquired preferred shares into 1,292,797 Shares, and the warrants converted into warrants to purchase 6,574 Shares at an exercise price of $17.55 per warrant.</w:t>
      </w:r>
    </w:p>
    <w:p>
      <w:pPr>
        <w:spacing w:after="0" w:line="17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addition, the Reporting Persons purchased 550,000 Shares from the underwriters in connection with the Issuer’s initial public offering at a price of $14.00 per Share for an aggregate purchase price of $7,700,000. The closing of such purchase occurred on June 27, 2016.</w:t>
      </w:r>
    </w:p>
    <w:p>
      <w:pPr>
        <w:spacing w:after="0" w:line="174"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Reporting Persons, pursuant to their authority under the limited partnership agreements of OPI III and Associates III (as applicable), as more particularly described in Item 6 below, caused OPI III and Associates III (as applicable) to purchase the Shares reported on this Schedule 13D with the investment capital of such entities.</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56"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The Shares initially had been acquired by the Reporting Persons for the purpose of making an investment in the Issuer and not with the intention of acquiring control of the Issuer’s business on behalf of OPI III or Associates III.</w:t>
      </w:r>
    </w:p>
    <w:p>
      <w:pPr>
        <w:spacing w:after="0" w:line="197" w:lineRule="exact"/>
        <w:rPr>
          <w:sz w:val="20"/>
          <w:szCs w:val="20"/>
          <w:color w:val="auto"/>
        </w:rPr>
      </w:pPr>
    </w:p>
    <w:p>
      <w:pPr>
        <w:jc w:val="both"/>
        <w:ind w:firstLine="360"/>
        <w:spacing w:after="0" w:line="271" w:lineRule="auto"/>
        <w:rPr>
          <w:sz w:val="20"/>
          <w:szCs w:val="20"/>
          <w:color w:val="auto"/>
        </w:rPr>
      </w:pPr>
      <w:r>
        <w:rPr>
          <w:rFonts w:ascii="Arial" w:cs="Arial" w:eastAsia="Arial" w:hAnsi="Arial"/>
          <w:sz w:val="17"/>
          <w:szCs w:val="17"/>
          <w:color w:val="auto"/>
        </w:rPr>
        <w:t>The Reporting Persons from time to time intend to review their investment in the Issuer on the basis of various factors, including the Issuer’s business, financial condition, results of operations and prospects, general economic and industry conditions, the securities markets in general and those for the Issuer’s Shares in particular, as well as other developments and other investment opportunities. Based upon such review, the Reporting Persons will take such actions in the future as the Reporting Persons may deem appropriate in light of the circumstances existing from time to time. If the Reporting Persons believe that further investment in the Issuer is attractive, whether because of the market price of the Shares or otherwise, they may acquire Shares or other securities of the Issuer either in the open market or in privately negotiated transactions. Similarly, depending on market and other factors, the Reporting Persons may determine to dispose of some or all of the Shares currently owned by the Reporting Persons or otherwise acquired by the Reporting Persons either in the open market or in privately negotiated transactions.</w:t>
      </w:r>
    </w:p>
    <w:p>
      <w:pPr>
        <w:spacing w:after="0" w:line="206" w:lineRule="exact"/>
        <w:rPr>
          <w:sz w:val="20"/>
          <w:szCs w:val="20"/>
          <w:color w:val="auto"/>
        </w:rPr>
      </w:pPr>
    </w:p>
    <w:p>
      <w:pPr>
        <w:jc w:val="both"/>
        <w:ind w:firstLine="360"/>
        <w:spacing w:after="0" w:line="270" w:lineRule="auto"/>
        <w:rPr>
          <w:sz w:val="20"/>
          <w:szCs w:val="20"/>
          <w:color w:val="auto"/>
        </w:rPr>
      </w:pPr>
      <w:r>
        <w:rPr>
          <w:rFonts w:ascii="Arial" w:cs="Arial" w:eastAsia="Arial" w:hAnsi="Arial"/>
          <w:sz w:val="17"/>
          <w:szCs w:val="17"/>
          <w:color w:val="auto"/>
        </w:rPr>
        <w:t>Except as set forth in this Amendment No. 1, the Reporting Persons have not formulated any plans or proposals which relate to or would result in: (a) the acquisition by any person of additional securities of the Issuer or the disposition of securities of the Issuer, (b) an extraordinary corporate transaction, such as a merger, reorganization or liquidation, involving the Issuer or any of its subsidiaries, (c) a sale or transfer of a material amount of the assets of the Issuer or any of its subsidiaries, (d) any change in the present Board of Directors or management of the Issuer, including any plans or proposals to change the number or term of directors or to fill any existing vacancies on the board, (e) any material change in the Issuer’s capitalization or dividend policy of the Issuer, (f) any other material change in the Issuer’s business or corporate structure, (g) any change in the Issuer’s charter or bylaws or other instrument corresponding thereto or other action which may impede the acquisition of control of the Issuer by any person, (h) causing a class of the Issuer’s securities to be deregistered or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83" w:lineRule="exact"/>
        <w:rPr>
          <w:sz w:val="20"/>
          <w:szCs w:val="20"/>
          <w:color w:val="auto"/>
        </w:rPr>
      </w:pPr>
    </w:p>
    <w:p>
      <w:pPr>
        <w:jc w:val="both"/>
        <w:ind w:firstLine="360"/>
        <w:spacing w:after="0" w:line="253" w:lineRule="auto"/>
        <w:rPr>
          <w:sz w:val="20"/>
          <w:szCs w:val="20"/>
          <w:color w:val="auto"/>
        </w:rPr>
      </w:pPr>
      <w:r>
        <w:rPr>
          <w:rFonts w:ascii="Arial" w:cs="Arial" w:eastAsia="Arial" w:hAnsi="Arial"/>
          <w:sz w:val="18"/>
          <w:szCs w:val="18"/>
          <w:color w:val="auto"/>
        </w:rPr>
        <w:t>(a) – (b) As of the date of this filing, Advisors, GP III and Isaly may be deemed, for purposes of Rule 13d-3 of the Act, directly or indirectly, including by reason of their mutual affiliation, to be the beneficial owners of the Shares. Based upon information contained in the Issuer’s Form 10-Q, filed with the SEC on August 11, 2017, such Shares deemed to be indirectly beneficially owned by GP III constitutes approximately 8.30% of the issued and outstanding Shares, and such Shares deemed to be indirectly beneficially owned by Advisors and Isaly constitutes approximately 8.38% of the issued and outstanding Shares. Advisors, pursuant to its authority as the sole managing member of GP III, which is the sole general partner of OPI III, and as the sole general partner of Associates III, may be deemed to indirectly beneficially own the Shares held by OPI III and Associates IIII. GP III, pursuant to its authority as the general partner of OPI III, may be deemed to indirectly beneficially own the Shares held by OPI III. Isaly, pursuant to his authority as the managing member of Advisors and owner of a controlling interest in Advisors, pursuant to its limited liability company agreement, may be deemed to also indirectly beneficially own the Shares attributable to Advisors. As a result, Isaly, Advisors and GP III share the power to direct the vote and the disposition of the Shares held by OPI III described in Item 6 below, and Isaly and Advisors share the power to direct the vote and the disposition of the Shares held by Associates III.</w:t>
      </w:r>
    </w:p>
    <w:p>
      <w:pPr>
        <w:spacing w:after="0" w:line="220" w:lineRule="exact"/>
        <w:rPr>
          <w:sz w:val="20"/>
          <w:szCs w:val="20"/>
          <w:color w:val="auto"/>
        </w:rPr>
      </w:pPr>
    </w:p>
    <w:p>
      <w:pPr>
        <w:jc w:val="both"/>
        <w:ind w:firstLine="360"/>
        <w:spacing w:after="0" w:line="277" w:lineRule="auto"/>
        <w:rPr>
          <w:sz w:val="20"/>
          <w:szCs w:val="20"/>
          <w:color w:val="auto"/>
        </w:rPr>
      </w:pPr>
      <w:r>
        <w:rPr>
          <w:rFonts w:ascii="Arial" w:cs="Arial" w:eastAsia="Arial" w:hAnsi="Arial"/>
          <w:sz w:val="18"/>
          <w:szCs w:val="18"/>
          <w:color w:val="auto"/>
        </w:rPr>
        <w:t>In addition, Advisors and GP III, pursuant to their authority under the limited partnership agreements of OPI III and/or Associates III, prior to the date of this filing, caused OPI III and Associates III, as applicable, to enter into the agreements referred to in Item 6 below.</w:t>
      </w:r>
    </w:p>
    <w:p>
      <w:pPr>
        <w:spacing w:after="0" w:line="224" w:lineRule="exact"/>
        <w:rPr>
          <w:sz w:val="20"/>
          <w:szCs w:val="20"/>
          <w:color w:val="auto"/>
        </w:rPr>
      </w:pPr>
    </w:p>
    <w:p>
      <w:pPr>
        <w:ind w:left="740" w:hanging="7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None of the Reporting Persons has effected any transaction during the past sixty (60) days in any Shares.</w:t>
      </w:r>
    </w:p>
    <w:p>
      <w:pPr>
        <w:spacing w:after="0" w:line="279" w:lineRule="exact"/>
        <w:rPr>
          <w:rFonts w:ascii="Arial" w:cs="Arial" w:eastAsia="Arial" w:hAnsi="Arial"/>
          <w:sz w:val="18"/>
          <w:szCs w:val="18"/>
          <w:color w:val="auto"/>
        </w:rPr>
      </w:pPr>
    </w:p>
    <w:p>
      <w:pPr>
        <w:ind w:left="760" w:hanging="752"/>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79" w:lineRule="exact"/>
        <w:rPr>
          <w:rFonts w:ascii="Arial" w:cs="Arial" w:eastAsia="Arial" w:hAnsi="Arial"/>
          <w:sz w:val="18"/>
          <w:szCs w:val="18"/>
          <w:color w:val="auto"/>
        </w:rPr>
      </w:pPr>
    </w:p>
    <w:p>
      <w:pPr>
        <w:ind w:left="740" w:hanging="732"/>
        <w:spacing w:after="0"/>
        <w:tabs>
          <w:tab w:leader="none" w:pos="7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 with Respect to Securities of the Issuer</w:t>
      </w:r>
    </w:p>
    <w:p>
      <w:pPr>
        <w:spacing w:after="0" w:line="25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In addition to the relationships between the Reporting Persons described in Items 2, 3 and 5 above, GP III is the sole general partner of OPI III, pursuant to the terms of the limited partnership agreement of OPI III. Advisors is the sole managing member of GP III, pursuant to the terms of the limited liability company agreement of GP III, and the sole general partner of Associates III, pursuant to the terms of the limited partnership agreement of Associates</w:t>
      </w:r>
    </w:p>
    <w:p>
      <w:pPr>
        <w:jc w:val="both"/>
        <w:ind w:firstLine="8"/>
        <w:spacing w:after="0" w:line="252" w:lineRule="auto"/>
        <w:tabs>
          <w:tab w:leader="none" w:pos="341" w:val="left"/>
        </w:tabs>
        <w:numPr>
          <w:ilvl w:val="0"/>
          <w:numId w:val="8"/>
        </w:numPr>
        <w:rPr>
          <w:rFonts w:ascii="Arial" w:cs="Arial" w:eastAsia="Arial" w:hAnsi="Arial"/>
          <w:sz w:val="18"/>
          <w:szCs w:val="18"/>
          <w:color w:val="auto"/>
        </w:rPr>
      </w:pPr>
      <w:r>
        <w:rPr>
          <w:rFonts w:ascii="Arial" w:cs="Arial" w:eastAsia="Arial" w:hAnsi="Arial"/>
          <w:sz w:val="18"/>
          <w:szCs w:val="18"/>
          <w:color w:val="auto"/>
        </w:rPr>
        <w:t>Pursuant to these agreements and relationships, Advisors and GP III have discretionary investment management authority with respect to the assets of OPI III, and Advisors has discretionary investment management authority with respect to the assets of Associates III. Such authority includes the power of GP III and Advisors to vote and otherwise dispose of securities purchased by OPI III, and the power of Advisors to vote and otherwise dispose of securities purchased by Associates III. The number of outstanding Shares held of record by OPI III is 1,825,415, and the number of Warrants held of record by OPI III is 6,513. The number of outstanding Shares held of record by Associates III is 17,382 and the number of Warrants held of record by Associates III is 61. Advisors may be considered to hold indirectly 1,842,797 Shares and 6,574 Warrants, and GP III may be considered to hold indirectly 1,825,415 Shares and 6,513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326390</wp:posOffset>
            </wp:positionV>
            <wp:extent cx="7246620" cy="4972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tbl>
      <w:tblPr>
        <w:tblLayout w:type="fixed"/>
        <w:tblInd w:w="32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480"/>
              <w:spacing w:after="0"/>
              <w:rPr>
                <w:sz w:val="20"/>
                <w:szCs w:val="20"/>
                <w:color w:val="auto"/>
              </w:rPr>
            </w:pPr>
            <w:r>
              <w:rPr>
                <w:rFonts w:ascii="Arial" w:cs="Arial" w:eastAsia="Arial" w:hAnsi="Arial"/>
                <w:sz w:val="18"/>
                <w:szCs w:val="18"/>
                <w:b w:val="1"/>
                <w:bCs w:val="1"/>
                <w:color w:val="auto"/>
                <w:w w:val="88"/>
              </w:rPr>
              <w:t>Description</w:t>
            </w:r>
          </w:p>
        </w:tc>
      </w:tr>
    </w:tbl>
    <w:p>
      <w:pPr>
        <w:spacing w:after="0" w:line="148" w:lineRule="exact"/>
        <w:rPr>
          <w:sz w:val="20"/>
          <w:szCs w:val="20"/>
          <w:color w:val="auto"/>
        </w:rPr>
      </w:pPr>
    </w:p>
    <w:p>
      <w:pPr>
        <w:ind w:left="1260" w:hanging="732"/>
        <w:spacing w:after="0"/>
        <w:tabs>
          <w:tab w:leader="none" w:pos="1260" w:val="left"/>
        </w:tabs>
        <w:numPr>
          <w:ilvl w:val="0"/>
          <w:numId w:val="9"/>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OrbiMed Capital GP III LLC and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2053590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07" w:right="1440"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each of the undersigned’s knowledge and belief, each of the undersigned certifies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August 15, 2017</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Capital GP III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OrbiMed Advisors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Samuel D. Isaly</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28987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1052830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Schedule I</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The name and present principal occupation of each of the executive officers and directors of OrbiMed Advisors LLC are set forth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below. Unless otherwise noted, each of these persons are United States citizens and have as their business address 601 Lexington Avenue, 54th Floor,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York, NY 10022.</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4600" w:type="dxa"/>
            <w:vAlign w:val="bottom"/>
            <w:tcBorders>
              <w:top w:val="single" w:sz="8" w:color="auto"/>
              <w:left w:val="single" w:sz="8" w:color="auto"/>
              <w:right w:val="single" w:sz="8" w:color="auto"/>
            </w:tcBorders>
          </w:tcPr>
          <w:p>
            <w:pPr>
              <w:spacing w:after="0"/>
              <w:rPr>
                <w:sz w:val="23"/>
                <w:szCs w:val="23"/>
                <w:color w:val="auto"/>
              </w:rPr>
            </w:pPr>
          </w:p>
        </w:tc>
        <w:tc>
          <w:tcPr>
            <w:tcW w:w="34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8"/>
                <w:szCs w:val="18"/>
                <w:color w:val="auto"/>
              </w:rPr>
              <w:t>Position with Reporting</w:t>
            </w:r>
          </w:p>
        </w:tc>
        <w:tc>
          <w:tcPr>
            <w:tcW w:w="3400" w:type="dxa"/>
            <w:vAlign w:val="bottom"/>
            <w:tcBorders>
              <w:top w:val="single" w:sz="8" w:color="auto"/>
              <w:right w:val="single" w:sz="8" w:color="auto"/>
            </w:tcBorders>
          </w:tcPr>
          <w:p>
            <w:pPr>
              <w:spacing w:after="0"/>
              <w:rPr>
                <w:sz w:val="23"/>
                <w:szCs w:val="23"/>
                <w:color w:val="auto"/>
              </w:rPr>
            </w:pPr>
          </w:p>
        </w:tc>
      </w:tr>
      <w:tr>
        <w:trPr>
          <w:trHeight w:val="230"/>
        </w:trPr>
        <w:tc>
          <w:tcPr>
            <w:tcW w:w="4600" w:type="dxa"/>
            <w:vAlign w:val="bottom"/>
            <w:tcBorders>
              <w:left w:val="single" w:sz="8" w:color="auto"/>
              <w:right w:val="single" w:sz="8" w:color="auto"/>
            </w:tcBorders>
          </w:tcPr>
          <w:p>
            <w:pPr>
              <w:ind w:left="2080"/>
              <w:spacing w:after="0"/>
              <w:rPr>
                <w:sz w:val="20"/>
                <w:szCs w:val="20"/>
                <w:color w:val="auto"/>
              </w:rPr>
            </w:pPr>
            <w:r>
              <w:rPr>
                <w:rFonts w:ascii="Arial" w:cs="Arial" w:eastAsia="Arial" w:hAnsi="Arial"/>
                <w:sz w:val="18"/>
                <w:szCs w:val="18"/>
                <w:color w:val="auto"/>
              </w:rPr>
              <w:t>Name</w:t>
            </w:r>
          </w:p>
        </w:tc>
        <w:tc>
          <w:tcPr>
            <w:tcW w:w="3420" w:type="dxa"/>
            <w:vAlign w:val="bottom"/>
            <w:tcBorders>
              <w:right w:val="single" w:sz="8" w:color="auto"/>
            </w:tcBorders>
          </w:tcPr>
          <w:p>
            <w:pPr>
              <w:ind w:left="1440"/>
              <w:spacing w:after="0"/>
              <w:rPr>
                <w:sz w:val="20"/>
                <w:szCs w:val="20"/>
                <w:color w:val="auto"/>
              </w:rPr>
            </w:pPr>
            <w:r>
              <w:rPr>
                <w:rFonts w:ascii="Arial" w:cs="Arial" w:eastAsia="Arial" w:hAnsi="Arial"/>
                <w:sz w:val="18"/>
                <w:szCs w:val="18"/>
                <w:color w:val="auto"/>
              </w:rPr>
              <w:t>Person</w:t>
            </w:r>
          </w:p>
        </w:tc>
        <w:tc>
          <w:tcPr>
            <w:tcW w:w="3400" w:type="dxa"/>
            <w:vAlign w:val="bottom"/>
            <w:tcBorders>
              <w:right w:val="single" w:sz="8" w:color="auto"/>
            </w:tcBorders>
          </w:tcPr>
          <w:p>
            <w:pPr>
              <w:ind w:left="920"/>
              <w:spacing w:after="0"/>
              <w:rPr>
                <w:sz w:val="20"/>
                <w:szCs w:val="20"/>
                <w:color w:val="auto"/>
              </w:rPr>
            </w:pPr>
            <w:r>
              <w:rPr>
                <w:rFonts w:ascii="Arial" w:cs="Arial" w:eastAsia="Arial" w:hAnsi="Arial"/>
                <w:sz w:val="18"/>
                <w:szCs w:val="18"/>
                <w:color w:val="auto"/>
              </w:rPr>
              <w:t>Principal Occupation</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Samuel D. Isaly</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Managing 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Managing 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Carl L. Gordon</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Sven H. Borho</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German and Swedish Citizen</w:t>
            </w: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Jonathan T. Silverstein</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 Carter Neild</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Geoffrey C. Hsu</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Member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242"/>
        </w:trPr>
        <w:tc>
          <w:tcPr>
            <w:tcW w:w="460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Evan D. Sotiriou</w:t>
            </w:r>
          </w:p>
        </w:tc>
        <w:tc>
          <w:tcPr>
            <w:tcW w:w="34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Chief Financial Officer</w:t>
            </w:r>
          </w:p>
        </w:tc>
      </w:tr>
      <w:tr>
        <w:trPr>
          <w:trHeight w:val="230"/>
        </w:trPr>
        <w:tc>
          <w:tcPr>
            <w:tcW w:w="4600" w:type="dxa"/>
            <w:vAlign w:val="bottom"/>
            <w:tcBorders>
              <w:left w:val="single" w:sz="8" w:color="auto"/>
              <w:right w:val="single" w:sz="8" w:color="auto"/>
            </w:tcBorders>
          </w:tcPr>
          <w:p>
            <w:pPr>
              <w:spacing w:after="0"/>
              <w:rPr>
                <w:sz w:val="20"/>
                <w:szCs w:val="20"/>
                <w:color w:val="auto"/>
              </w:rPr>
            </w:pPr>
          </w:p>
        </w:tc>
        <w:tc>
          <w:tcPr>
            <w:tcW w:w="3420" w:type="dxa"/>
            <w:vAlign w:val="bottom"/>
            <w:tcBorders>
              <w:right w:val="single" w:sz="8" w:color="auto"/>
            </w:tcBorders>
          </w:tcPr>
          <w:p>
            <w:pPr>
              <w:spacing w:after="0"/>
              <w:rPr>
                <w:sz w:val="20"/>
                <w:szCs w:val="20"/>
                <w:color w:val="auto"/>
              </w:rPr>
            </w:pPr>
          </w:p>
        </w:tc>
        <w:tc>
          <w:tcPr>
            <w:tcW w:w="340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OrbiMed Advisors LLC</w:t>
            </w:r>
          </w:p>
        </w:tc>
      </w:tr>
      <w:tr>
        <w:trPr>
          <w:trHeight w:val="48"/>
        </w:trPr>
        <w:tc>
          <w:tcPr>
            <w:tcW w:w="4600" w:type="dxa"/>
            <w:vAlign w:val="bottom"/>
            <w:tcBorders>
              <w:left w:val="single" w:sz="8" w:color="auto"/>
              <w:bottom w:val="single" w:sz="8" w:color="auto"/>
              <w:right w:val="single" w:sz="8" w:color="auto"/>
            </w:tcBorders>
          </w:tcPr>
          <w:p>
            <w:pPr>
              <w:spacing w:after="0"/>
              <w:rPr>
                <w:sz w:val="4"/>
                <w:szCs w:val="4"/>
                <w:color w:val="auto"/>
              </w:rPr>
            </w:pPr>
          </w:p>
        </w:tc>
        <w:tc>
          <w:tcPr>
            <w:tcW w:w="3420" w:type="dxa"/>
            <w:vAlign w:val="bottom"/>
            <w:tcBorders>
              <w:bottom w:val="single" w:sz="8" w:color="auto"/>
              <w:right w:val="single" w:sz="8" w:color="auto"/>
            </w:tcBorders>
          </w:tcPr>
          <w:p>
            <w:pPr>
              <w:spacing w:after="0"/>
              <w:rPr>
                <w:sz w:val="4"/>
                <w:szCs w:val="4"/>
                <w:color w:val="auto"/>
              </w:rPr>
            </w:pPr>
          </w:p>
        </w:tc>
        <w:tc>
          <w:tcPr>
            <w:tcW w:w="3400" w:type="dxa"/>
            <w:vAlign w:val="bottom"/>
            <w:tcBorders>
              <w:bottom w:val="single" w:sz="8" w:color="auto"/>
              <w:right w:val="single" w:sz="8" w:color="auto"/>
            </w:tcBorders>
          </w:tcPr>
          <w:p>
            <w:pPr>
              <w:spacing w:after="0"/>
              <w:rPr>
                <w:sz w:val="4"/>
                <w:szCs w:val="4"/>
                <w:color w:val="auto"/>
              </w:rPr>
            </w:pPr>
          </w:p>
        </w:tc>
      </w:tr>
      <w:tr>
        <w:trPr>
          <w:trHeight w:val="1884"/>
        </w:trPr>
        <w:tc>
          <w:tcPr>
            <w:tcW w:w="46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and operations of OrbiMed Capital GP III LLC are managed by the executive officers and directors of its managing member, OrbiMed Advisors LLC, set forth on Schedule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2407285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64" w:right="279" w:bottom="1440" w:gutter="0" w:footer="0" w:header="0"/>
        </w:sectPr>
      </w:pPr>
    </w:p>
    <w:bookmarkStart w:id="11" w:name="page12"/>
    <w:bookmarkEnd w:id="11"/>
    <w:p>
      <w:pPr>
        <w:ind w:left="4700"/>
        <w:spacing w:after="0"/>
        <w:rPr>
          <w:sz w:val="20"/>
          <w:szCs w:val="20"/>
          <w:color w:val="auto"/>
        </w:rPr>
      </w:pPr>
      <w:r>
        <w:rPr>
          <w:rFonts w:ascii="Arial" w:cs="Arial" w:eastAsia="Arial" w:hAnsi="Arial"/>
          <w:sz w:val="18"/>
          <w:szCs w:val="18"/>
          <w:b w:val="1"/>
          <w:bCs w:val="1"/>
          <w:color w:val="auto"/>
        </w:rPr>
        <w:t>EXHIBIT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172085</wp:posOffset>
            </wp:positionV>
            <wp:extent cx="7246620" cy="4972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9720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380" w:type="dxa"/>
            <w:vAlign w:val="bottom"/>
          </w:tcPr>
          <w:p>
            <w:pPr>
              <w:ind w:left="2480"/>
              <w:spacing w:after="0"/>
              <w:rPr>
                <w:sz w:val="20"/>
                <w:szCs w:val="20"/>
                <w:color w:val="auto"/>
              </w:rPr>
            </w:pPr>
            <w:r>
              <w:rPr>
                <w:rFonts w:ascii="Arial" w:cs="Arial" w:eastAsia="Arial" w:hAnsi="Arial"/>
                <w:sz w:val="18"/>
                <w:szCs w:val="18"/>
                <w:b w:val="1"/>
                <w:bCs w:val="1"/>
                <w:color w:val="auto"/>
                <w:w w:val="88"/>
              </w:rPr>
              <w:t>Description</w:t>
            </w:r>
          </w:p>
        </w:tc>
      </w:tr>
    </w:tbl>
    <w:p>
      <w:pPr>
        <w:spacing w:after="0" w:line="148" w:lineRule="exact"/>
        <w:rPr>
          <w:sz w:val="20"/>
          <w:szCs w:val="20"/>
          <w:color w:val="auto"/>
        </w:rPr>
      </w:pPr>
    </w:p>
    <w:p>
      <w:pPr>
        <w:ind w:left="940" w:hanging="732"/>
        <w:spacing w:after="0"/>
        <w:tabs>
          <w:tab w:leader="none" w:pos="9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Joint Filing Agreement among OrbiMed Advisors LLC, OrbiMed Capital GP III LLC and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2010410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9899"/>
          </w:cols>
          <w:pgMar w:left="560" w:top="364" w:right="1440"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jc w:val="both"/>
        <w:ind w:firstLine="1426"/>
        <w:spacing w:after="0" w:line="297" w:lineRule="auto"/>
        <w:rPr>
          <w:sz w:val="20"/>
          <w:szCs w:val="20"/>
          <w:color w:val="auto"/>
        </w:rPr>
      </w:pPr>
      <w:r>
        <w:rPr>
          <w:rFonts w:ascii="Arial" w:cs="Arial" w:eastAsia="Arial" w:hAnsi="Arial"/>
          <w:sz w:val="16"/>
          <w:szCs w:val="16"/>
          <w:color w:val="auto"/>
        </w:rPr>
        <w:t>The undersigned hereby agree that the Statement on this Schedule 13D, dated August 15, 2017 (the “</w:t>
      </w:r>
      <w:r>
        <w:rPr>
          <w:rFonts w:ascii="Arial" w:cs="Arial" w:eastAsia="Arial" w:hAnsi="Arial"/>
          <w:sz w:val="16"/>
          <w:szCs w:val="16"/>
          <w:u w:val="single" w:color="auto"/>
          <w:color w:val="auto"/>
        </w:rPr>
        <w:t>Schedule 13D</w:t>
      </w:r>
      <w:r>
        <w:rPr>
          <w:rFonts w:ascii="Arial" w:cs="Arial" w:eastAsia="Arial" w:hAnsi="Arial"/>
          <w:sz w:val="16"/>
          <w:szCs w:val="16"/>
          <w:color w:val="auto"/>
        </w:rPr>
        <w:t>”), with respect to the Common Stock, of Selecta Biosciences, Inc. is filed on behalf of each of us pursuant to and in accordance with the provisions of Rule 13d-1(k) under the Securities Exchange Act of 1934, as amended, and that this Agreement shall be included as an Exhibit to this Schedule 13D. Each of the undersigned agrees to be responsible for the timely filing of the Schedule 13D, and for the completeness and accuracy of the information concerning itself contained therein. This Agreement may be executed in any number of counterparts, all of which taken together shall constitute one and the same instrument.</w:t>
      </w:r>
    </w:p>
    <w:p>
      <w:pPr>
        <w:spacing w:after="0" w:line="15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 WITNESS WHEREOF, the undersigned have executed this Agreement as of the 15th day of August, 2017.</w:t>
      </w:r>
    </w:p>
    <w:p>
      <w:pPr>
        <w:spacing w:after="0" w:line="25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Advisors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OrbiMed Capital GP III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OrbiMed Advisors LLC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Samuel D. Isaly</w:t>
      </w:r>
    </w:p>
    <w:p>
      <w:pPr>
        <w:spacing w:after="0" w:line="23" w:lineRule="exact"/>
        <w:rPr>
          <w:sz w:val="20"/>
          <w:szCs w:val="20"/>
          <w:color w:val="auto"/>
        </w:rPr>
      </w:pPr>
    </w:p>
    <w:p>
      <w:pPr>
        <w:ind w:left="6080"/>
        <w:spacing w:after="0"/>
        <w:tabs>
          <w:tab w:leader="none" w:pos="6620" w:val="left"/>
        </w:tabs>
        <w:rPr>
          <w:sz w:val="20"/>
          <w:szCs w:val="20"/>
          <w:color w:val="auto"/>
        </w:rPr>
      </w:pPr>
      <w:r>
        <w:rPr>
          <w:rFonts w:ascii="Arial" w:cs="Arial" w:eastAsia="Arial" w:hAnsi="Arial"/>
          <w:sz w:val="18"/>
          <w:szCs w:val="18"/>
          <w:color w:val="auto"/>
        </w:rPr>
        <w:t>Title:</w:t>
        <w:tab/>
        <w:t>Managing Member</w:t>
      </w:r>
    </w:p>
    <w:p>
      <w:pPr>
        <w:spacing w:after="0" w:line="200" w:lineRule="exact"/>
        <w:rPr>
          <w:sz w:val="20"/>
          <w:szCs w:val="20"/>
          <w:color w:val="auto"/>
        </w:rPr>
      </w:pPr>
    </w:p>
    <w:p>
      <w:pPr>
        <w:spacing w:after="0" w:line="227"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Samuel D. Isaly</w:t>
      </w:r>
    </w:p>
    <w:p>
      <w:pPr>
        <w:spacing w:after="0" w:line="200" w:lineRule="exact"/>
        <w:rPr>
          <w:sz w:val="20"/>
          <w:szCs w:val="20"/>
          <w:color w:val="auto"/>
        </w:rPr>
      </w:pPr>
    </w:p>
    <w:p>
      <w:pPr>
        <w:spacing w:after="0" w:line="2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 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67589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67589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Samuel D. Isaly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992505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lowerLetter"/>
      <w:start w:val="1"/>
    </w:lvl>
  </w:abstractNum>
  <w:abstractNum w:abstractNumId="4">
    <w:nsid w:val="79E2A9E3"/>
    <w:multiLevelType w:val="hybridMultilevel"/>
    <w:lvl w:ilvl="0">
      <w:lvlJc w:val="left"/>
      <w:lvlText w:val="(%1)"/>
      <w:numFmt w:val="lowerRoman"/>
      <w:start w:val="1"/>
    </w:lvl>
    <w:lvl w:ilvl="1">
      <w:lvlJc w:val="left"/>
      <w:lvlText w:val="(%2)"/>
      <w:numFmt w:val="lowerLetter"/>
      <w:start w:val="4"/>
    </w:lvl>
  </w:abstractNum>
  <w:abstractNum w:abstractNumId="5">
    <w:nsid w:val="7545E146"/>
    <w:multiLevelType w:val="hybridMultilevel"/>
    <w:lvl w:ilvl="0">
      <w:lvlJc w:val="left"/>
      <w:lvlText w:val="(%1)"/>
      <w:numFmt w:val="lowerLetter"/>
      <w:start w:val="6"/>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upperLetter"/>
      <w:start w:val="6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2019-12-16T11:29:43Z</dcterms:created>
  <dcterms:modified xsi:type="dcterms:W3CDTF">2019-12-16T11:29:43Z</dcterms:modified>
</cp:coreProperties>
</file>