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9, 2026</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On March 9, 2026, Cartesian Therapeutics, Inc. (the “Company”) announced its financial results for the year ended December 31, 2025. The full text of the press release issued in connection with the announcement is furnished as Exhibit 99.1 to this Current Report on Form 8-K.</w:t>
      </w:r>
    </w:p>
    <w:p>
      <w:pPr>
        <w:spacing w:after="0" w:line="54"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information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440" w:type="dxa"/>
            <w:vAlign w:val="bottom"/>
            <w:gridSpan w:val="3"/>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412"/>
        </w:trPr>
        <w:tc>
          <w:tcPr>
            <w:tcW w:w="124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Cartesian Therapeutics, Inc. issued on March 9, 2026.</w:t>
            </w:r>
          </w:p>
        </w:tc>
      </w:tr>
      <w:tr>
        <w:trPr>
          <w:trHeight w:val="20"/>
        </w:trPr>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r>
      <w:tr>
        <w:trPr>
          <w:trHeight w:val="250"/>
        </w:trPr>
        <w:tc>
          <w:tcPr>
            <w:tcW w:w="12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5"/>
        </w:trPr>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March 9, 2026</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w:t>
            </w:r>
          </w:p>
        </w:tc>
      </w:tr>
    </w:tbl>
    <w:p>
      <w:pPr>
        <w:sectPr>
          <w:pgSz w:w="11900" w:h="16838" w:orient="portrait"/>
          <w:cols w:equalWidth="0" w:num="1">
            <w:col w:w="11200"/>
          </w:cols>
          <w:pgMar w:left="320" w:top="76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19685</wp:posOffset>
            </wp:positionV>
            <wp:extent cx="2031365" cy="505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Cartesian Therapeutics Reports Full Year 2025 Financial Results and Provides Business Update</w:t>
      </w:r>
    </w:p>
    <w:p>
      <w:pPr>
        <w:spacing w:after="0" w:line="17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i w:val="1"/>
          <w:iCs w:val="1"/>
          <w:color w:val="auto"/>
        </w:rPr>
        <w:t>Enrollment continues to progress in Phase 3 AURORA trial of Descartes-08 in myasthenia gravis</w:t>
      </w:r>
    </w:p>
    <w:p>
      <w:pPr>
        <w:spacing w:after="0" w:line="1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i w:val="1"/>
          <w:iCs w:val="1"/>
          <w:color w:val="auto"/>
        </w:rPr>
        <w:t>Phase 2 TRITON trial of Descartes-08 in dermatomyositis and antisynthetase syndrome, expected to initiate in 1H26</w:t>
      </w:r>
    </w:p>
    <w:p>
      <w:pPr>
        <w:spacing w:after="0" w:line="17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i w:val="1"/>
          <w:iCs w:val="1"/>
          <w:color w:val="auto"/>
        </w:rPr>
        <w:t>Phase 1/2 HELIOS pediatric trial of Descartes-08 in juvenile dermatomyositis actively enrolling</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Approximately $126.9 million cash, cash equivalents and restricted cash as of December 31, 2025, expected to support planned operations into mid-2027,</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including completion of ongoing Phase 3 AURORA trial</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Frederick, Md., March 9, 2026 (GLOBE NEWSWIRE) – Cartesian Therapeutics, Inc. (NASDAQ: RNAC) (“we”, the “Company” or “Cartesian”), a late clinical-stage biotechnology company pioneering cell therapy for autoimmune diseases, today reported financial results for the year ended December 31, 2025, and outlined recent business updates.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“Building on a productive year, we look forward to a potentially transformative 2026 as we advance Descartes-08 across several autoimmune indications,” said Carsten Brunn, Ph.D., President and Chief Executive Officer of Cartesian. “Our top priority remains delivering on our Phase 3 AURORA trial in myasthenia gravis (MG), for which we are on track to enroll approximately 100 patients. This trial represents a crucial opportunity to demonstrate the potential of Descartes-08 to improve patient outcomes and redefine the standard-of-care for MG. Descartes-08’s ease of use, including, flexible, convenient outpatient administration with no preconditioning chemotherapy, combined with deep and durable responses observed through 12 months following a single course of treatment, and a favorable safety profile, underscore our belief that Descartes-08 holds significant promise to deliver meaningful benefit to patients.”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 Brunn continued, “Beyond MG, we are working to activate sites for our Phase 2 TRITON trial of Descartes-08 in myositis, which we plan to initiate in the first half of 2026. In parallel, we are also excited to explore potentially enhanced cell therapy delivery options of existing product candidates and next generation agents in development through in-vivo platforms with multiple feasibility studies underway. With an upcoming year of focused clinical execution, we believe we are well-positioned to fill the significant unmet need that remains within the autoimmune treatment landscape.”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Progress and Anticipated Milestones</w:t>
      </w:r>
    </w:p>
    <w:p>
      <w:pPr>
        <w:spacing w:after="0" w:line="171" w:lineRule="exact"/>
        <w:rPr>
          <w:sz w:val="20"/>
          <w:szCs w:val="20"/>
          <w:color w:val="auto"/>
        </w:rPr>
      </w:pPr>
    </w:p>
    <w:p>
      <w:pPr>
        <w:jc w:val="both"/>
        <w:ind w:left="340" w:hanging="332"/>
        <w:spacing w:after="0" w:line="256"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Enrollment Continues to Progress in the Phase 3 AURORA Trial of Descartes-08 in Participants with MG. </w:t>
      </w:r>
      <w:r>
        <w:rPr>
          <w:rFonts w:ascii="Times New Roman" w:cs="Times New Roman" w:eastAsia="Times New Roman" w:hAnsi="Times New Roman"/>
          <w:sz w:val="18"/>
          <w:szCs w:val="18"/>
          <w:color w:val="auto"/>
        </w:rPr>
        <w:t>The randomized, double-blind,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placebo-controlled Phase 3 AURORA trial is designed to assess Descartes-08, Cartesian’s autologous anti-B cell maturation antigen (BCMA) chimeric antigen receptor T-cell therapy (CAR-T) versus placebo (1:1 randomization) administered as six once-weekly outpatient infusions without preconditioning chemotherapy in approximately 100 patients with acetylcholine receptor autoantibody positive (AChR Ab+) MG. The primary endpoint will assess the proportion of Descartes-08 participants with an improvement in MG Activities of Daily Living (MG-ADL) score of three points or more at Month 4 compared to placebo. In December 2025, the AURORA trial was named to </w:t>
      </w:r>
      <w:r>
        <w:rPr>
          <w:rFonts w:ascii="Times New Roman" w:cs="Times New Roman" w:eastAsia="Times New Roman" w:hAnsi="Times New Roman"/>
          <w:sz w:val="18"/>
          <w:szCs w:val="18"/>
          <w:i w:val="1"/>
          <w:iCs w:val="1"/>
          <w:color w:val="auto"/>
        </w:rPr>
        <w:t>Nature Medicine’s</w:t>
      </w:r>
      <w:r>
        <w:rPr>
          <w:rFonts w:ascii="Times New Roman" w:cs="Times New Roman" w:eastAsia="Times New Roman" w:hAnsi="Times New Roman"/>
          <w:sz w:val="18"/>
          <w:szCs w:val="18"/>
          <w:color w:val="auto"/>
        </w:rPr>
        <w:t xml:space="preserve"> “Eleven clinical trials that will shape medicine in 2026” list.</w:t>
      </w:r>
    </w:p>
    <w:p>
      <w:pPr>
        <w:spacing w:after="0" w:line="128"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TRITON Trial Initiation in Myositis Anticipated in 1H26. </w:t>
      </w:r>
      <w:r>
        <w:rPr>
          <w:rFonts w:ascii="Times New Roman" w:cs="Times New Roman" w:eastAsia="Times New Roman" w:hAnsi="Times New Roman"/>
          <w:sz w:val="18"/>
          <w:szCs w:val="18"/>
          <w:color w:val="auto"/>
        </w:rPr>
        <w:t>In January 2026, Cartesian announced that the U.S. Food and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(FDA) accepted the investigational new drug (IND) application for its planned Phase 2 TRITON trial in myositis. The randomized, double-blind, placebo-controlled Phase 2 trial in myositis is designed to assess Descartes-08 versus placebo (1:1 randomization) administered as six weekly outpatient infusions without preconditioning chemotherapy in up to 50 patients with moderate to severe multi-refractory dermatomyositis and antisynthetase syndrome. The primary endpoint is expected to assess safety and efficacy of Descartes-08 compared to placebo added to standard of care in participants with myositis at Week 24. The Company currently intends to conduct a blinded interim analysis through the Data Safety Monitoring Board (DSMB) after ten patients reach the primary endpoint, at which point Cartesian may revise sample size assumptions to what could be necessary to support the trial becoming pivotal, pending FDA review.</w:t>
      </w:r>
    </w:p>
    <w:p>
      <w:pPr>
        <w:spacing w:after="0" w:line="130"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1/2 HELIOS Pediatric Trial of Descartes-08 in Juvenile Dermatomyositis (JDM) Remains Ongoing. </w:t>
      </w:r>
      <w:r>
        <w:rPr>
          <w:rFonts w:ascii="Times New Roman" w:cs="Times New Roman" w:eastAsia="Times New Roman" w:hAnsi="Times New Roman"/>
          <w:sz w:val="18"/>
          <w:szCs w:val="18"/>
          <w:color w:val="auto"/>
        </w:rPr>
        <w:t>In January 2026, Cartesian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initiation of its Phase 1/2 (HELIOS) pediatric trial of Descartes-08 in children and young adults with autoimmune diseases, including JDM. JDM is a rare pediatric autoimmune disorder marked by pathognomonic skin rash and muscle inflammation affecting multiple organ systems. The FDA previously granted Rare Pediatric Disease Designation to Descartes-08 for the treatment of JDM.</w:t>
      </w:r>
    </w:p>
    <w:p>
      <w:pPr>
        <w:sectPr>
          <w:pgSz w:w="11900" w:h="16838" w:orient="portrait"/>
          <w:cols w:equalWidth="0" w:num="1">
            <w:col w:w="11240"/>
          </w:cols>
          <w:pgMar w:left="320" w:top="117" w:right="339" w:bottom="1440" w:gutter="0" w:footer="0" w:header="0"/>
        </w:sectPr>
      </w:pPr>
    </w:p>
    <w:bookmarkStart w:id="4" w:name="page5"/>
    <w:bookmarkEnd w:id="4"/>
    <w:p>
      <w:pPr>
        <w:jc w:val="both"/>
        <w:ind w:left="340" w:hanging="332"/>
        <w:spacing w:after="0" w:line="26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6095"/>
                    </a:xfrm>
                    <a:prstGeom prst="rect">
                      <a:avLst/>
                    </a:prstGeom>
                    <a:noFill/>
                  </pic:spPr>
                </pic:pic>
              </a:graphicData>
            </a:graphic>
          </wp:anchor>
        </w:drawing>
        <w:t xml:space="preserve">Descartes-08’s Mechanism of Action and Phase 2b 12-Month Data in MG Highlighted in </w:t>
      </w:r>
      <w:r>
        <w:rPr>
          <w:rFonts w:ascii="Times New Roman" w:cs="Times New Roman" w:eastAsia="Times New Roman" w:hAnsi="Times New Roman"/>
          <w:sz w:val="18"/>
          <w:szCs w:val="18"/>
          <w:b w:val="1"/>
          <w:bCs w:val="1"/>
          <w:i w:val="1"/>
          <w:iCs w:val="1"/>
          <w:color w:val="auto"/>
        </w:rPr>
        <w:t>Nature Medicine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January 2026, Cartesian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announced the publication of two peer reviewed journal articles in </w:t>
      </w:r>
      <w:r>
        <w:rPr>
          <w:rFonts w:ascii="Times New Roman" w:cs="Times New Roman" w:eastAsia="Times New Roman" w:hAnsi="Times New Roman"/>
          <w:sz w:val="18"/>
          <w:szCs w:val="18"/>
          <w:i w:val="1"/>
          <w:iCs w:val="1"/>
          <w:color w:val="auto"/>
        </w:rPr>
        <w:t>Nature Medicine</w:t>
      </w:r>
      <w:r>
        <w:rPr>
          <w:rFonts w:ascii="Times New Roman" w:cs="Times New Roman" w:eastAsia="Times New Roman" w:hAnsi="Times New Roman"/>
          <w:sz w:val="18"/>
          <w:szCs w:val="18"/>
          <w:color w:val="auto"/>
        </w:rPr>
        <w:t xml:space="preserve"> detailing the mechanism of action of Descartes-08 and outlining deep and durable response data observed throughout 12 months after a single course of therapy in the Phase 2b trial of Descartes-08, consistent with previously announced 12-month data.</w:t>
      </w:r>
    </w:p>
    <w:p>
      <w:pPr>
        <w:spacing w:after="0" w:line="122"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Continuing Evaluation of the Potential for Enhanced Delivery Platforms for Cell Therapies. </w:t>
      </w:r>
      <w:r>
        <w:rPr>
          <w:rFonts w:ascii="Times New Roman" w:cs="Times New Roman" w:eastAsia="Times New Roman" w:hAnsi="Times New Roman"/>
          <w:sz w:val="18"/>
          <w:szCs w:val="18"/>
          <w:color w:val="auto"/>
        </w:rPr>
        <w:t>The Company continues to evaluate the potential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enhanced delivery platforms for its cell therapies with multiple agreements in place to explore optimizing in-vivo delivery of Descartes-08 and next generation agents currently in development.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171" w:lineRule="exact"/>
        <w:rPr>
          <w:sz w:val="20"/>
          <w:szCs w:val="20"/>
          <w:color w:val="auto"/>
        </w:rPr>
      </w:pPr>
    </w:p>
    <w:p>
      <w:pPr>
        <w:jc w:val="both"/>
        <w:ind w:left="340" w:hanging="332"/>
        <w:spacing w:after="0" w:line="26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Adrian Bot Appointed to Cartesian’s Board of Directors. </w:t>
      </w:r>
      <w:r>
        <w:rPr>
          <w:rFonts w:ascii="Times New Roman" w:cs="Times New Roman" w:eastAsia="Times New Roman" w:hAnsi="Times New Roman"/>
          <w:sz w:val="18"/>
          <w:szCs w:val="18"/>
          <w:color w:val="auto"/>
        </w:rPr>
        <w:t>Adrian Bot, M.D., Ph.D., was appointed to the Company’s Board of Directors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2025. Dr. Bot is a biopharma executive with three decades of experience in research and development with a focus on immune, cell, gene therapy and nanomedicines. His appointment to the Board of Directors supports the Company’s strategic expansion to explore potential enhanced delivery platforms for cell therapies.</w:t>
      </w:r>
    </w:p>
    <w:p>
      <w:pPr>
        <w:spacing w:after="0" w:line="122"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Carsten Brunn Named Cartesian’s Chairman of the Board of Directors. </w:t>
      </w:r>
      <w:r>
        <w:rPr>
          <w:rFonts w:ascii="Times New Roman" w:cs="Times New Roman" w:eastAsia="Times New Roman" w:hAnsi="Times New Roman"/>
          <w:sz w:val="18"/>
          <w:szCs w:val="18"/>
          <w:color w:val="auto"/>
        </w:rPr>
        <w:t>Dr. Brunn was appointed Cartesian’s Chairman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October 2025 following the departure of Carrie S. Cox who stepped down to focus on other responsibilities, including her recent appointment as Executive Chair of another publicly-traded company. In connection with Dr. Brunn’s assumption of the role of Chairman of the Board, Patrick Zenner, M.B.A., was named as Lead Independent Director of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2025 Financial Results</w:t>
      </w:r>
    </w:p>
    <w:p>
      <w:pPr>
        <w:spacing w:after="0" w:line="175" w:lineRule="exact"/>
        <w:rPr>
          <w:sz w:val="20"/>
          <w:szCs w:val="20"/>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restricted cash as of December 31, 2025 was $126.9 million and is expected to support planned operations, including completion of the ongoing Phase 3 AURORA trial and initiation of its Phase 2 TRITON trial in myositis, into mid-2027.</w:t>
      </w:r>
    </w:p>
    <w:p>
      <w:pPr>
        <w:spacing w:after="0" w:line="10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 were $58.0 million for the year ended December 31, 2025, compared to $45.1 million for the year ended December 31, 2024. The increase in expenses was primarily a result of increased expenses associated with the ongoing Phase 3 AURORA trial coupled with an increase in employee expenses as a result of headcount growth.</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were $31.5 million for the year ended December 31, 2025, compared to $30.1 million for the year ended December 31, 2024. The increase in expenses was primarily the result of increased facilities and stock-based compensation expenses.</w:t>
      </w:r>
    </w:p>
    <w:p>
      <w:pPr>
        <w:spacing w:after="0" w:line="10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$130.3 million, or $5.02 net loss per share allocable to common stockholders (basic), for the year ended December 31, 2025, compared to net loss of $77.4 million, or $4.48 net loss per share allocable to common stockholders (basic), for the year ended December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Descartes-08</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Descartes-08, Cartesian’s lead cell therapy candidate, is an autologous CAR-T product targeting BCMA in clinical development for generalized MG and myositis, specifically dermatomyositis and antisynthetase syndrome.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juvenile dermatomyositis.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Cartesian Therapeutics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Cartesian Therapeutics is a late clinical-stage company pioneering cell therapy for the treatment of autoimmune diseases. The Company’s lead asset, Descartes-08, is a CAR-T in Phase 3 clinical development for patients with generalized myasthenia gravis and in Phase 1/2 clinical development of juvenile dermatomyositis with plans to initiate a Phase 2 trial in myositis, specifically dermatomyositis and antisynthetase syndrome in the first half of 2026. For more information, please visit www.cartesiantherapeutics.com or follow the Company on LinkedIn or X.</w:t>
      </w:r>
    </w:p>
    <w:p>
      <w:pPr>
        <w:sectPr>
          <w:pgSz w:w="11900" w:h="16838" w:orient="portrait"/>
          <w:cols w:equalWidth="0" w:num="1">
            <w:col w:w="11240"/>
          </w:cols>
          <w:pgMar w:left="320" w:top="12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Forward Looking Statements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in this press release about the future expectations, plans and prospects of the Company, including without limitation, statements regarding the Company’s expected cash resources and cash runway, the ability of the Company’s product candidates to be administered in an outpatient setting or without the need for preconditioning lymphodepleting chemotherapy, the potential of Descartes-08, or any of the Company’s other product candidates to treat MG, juvenile MG, myositis, JDM, or any other disease, the anticipated timing or the outcome of ongoing and planned clinical trials, studies and data readouts, including the ongoing Phase 3 AURORA trial of Descartes-08 in MG, the planned Phase 2 TRITON trial of Descartes-08 in myositis, and the planned Phase 2 pediatric HELIOS trial of Descartes-08 in autoimmune diseases, including JDM, the anticipated timing or the outcome of the FDA’s review of the Company’s regulatory filings, including the number of trials that may be necessary in order to obtain marketing approval, the potential for in-vivo delivery of the Company’s product candidates, the Company’s ability to conduct its clinical trials and preclinical studies, the timing or making of any regulatory filings, the anticipated timing or outcome of selection of developmental product candidates, the ability of the Company to enter into and maintain potential collaborations or partnerships,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political uncertainty, the Company’s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pandemics, and macroeconomic impacts,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ectPr>
          <w:pgSz w:w="11900" w:h="16838" w:orient="portrait"/>
          <w:cols w:equalWidth="0" w:num="1">
            <w:col w:w="11240"/>
          </w:cols>
          <w:pgMar w:left="320" w:top="1251" w:right="339" w:bottom="1440" w:gutter="0" w:footer="0" w:header="0"/>
        </w:sectPr>
      </w:pPr>
    </w:p>
    <w:bookmarkStart w:id="6" w:name="page7"/>
    <w:bookmarkEnd w:id="6"/>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Cartesian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 and par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212,610</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23"/>
        </w:trPr>
        <w:tc>
          <w:tcPr>
            <w:tcW w:w="8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216,626</w:t>
            </w:r>
          </w:p>
        </w:tc>
      </w:tr>
      <w:tr>
        <w:trPr>
          <w:trHeight w:val="270"/>
        </w:trPr>
        <w:tc>
          <w:tcPr>
            <w:tcW w:w="8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150,600</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48,163</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8"/>
        </w:trPr>
        <w:tc>
          <w:tcPr>
            <w:tcW w:w="8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296,411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435,023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9"/>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r>
      <w:tr>
        <w:trPr>
          <w:trHeight w:val="230"/>
        </w:trPr>
        <w:tc>
          <w:tcPr>
            <w:tcW w:w="8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r>
      <w:tr>
        <w:trPr>
          <w:trHeight w:val="230"/>
        </w:trPr>
        <w:tc>
          <w:tcPr>
            <w:tcW w:w="8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value right liability</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w:t>
            </w:r>
          </w:p>
        </w:tc>
      </w:tr>
      <w:tr>
        <w:trPr>
          <w:trHeight w:val="223"/>
        </w:trPr>
        <w:tc>
          <w:tcPr>
            <w:tcW w:w="8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w:t>
            </w:r>
          </w:p>
        </w:tc>
      </w:tr>
      <w:tr>
        <w:trPr>
          <w:trHeight w:val="270"/>
        </w:trPr>
        <w:tc>
          <w:tcPr>
            <w:tcW w:w="8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value right liability, net of current portion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387,739</w:t>
            </w:r>
          </w:p>
        </w:tc>
      </w:tr>
      <w:tr>
        <w:trPr>
          <w:trHeight w:val="230"/>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16,141</w:t>
            </w:r>
          </w:p>
        </w:tc>
      </w:tr>
      <w:tr>
        <w:trPr>
          <w:trHeight w:val="22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422,651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441,825</w:t>
            </w:r>
          </w:p>
        </w:tc>
      </w:tr>
      <w:tr>
        <w:trPr>
          <w:trHeight w:val="250"/>
        </w:trPr>
        <w:tc>
          <w:tcPr>
            <w:tcW w:w="8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8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deficit: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75"/>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Preferred Stock, $0.0001 par value; 134,904.563 shares authorized as of December 31, 2025 and 2024;</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120,790.402 shares issued and outstanding as of December 31, 2025 and 2024</w:t>
            </w:r>
          </w:p>
        </w:tc>
        <w:tc>
          <w:tcPr>
            <w:tcW w:w="2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B Preferred Stock, $0.0001 par value; 437,927 shares authorized, issued and outstanding as of December 31,</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and 2024</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9,427,168.437 shares authorized as of December 31, 2025 and 2024; no shares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as of December 31, 2025 and 2024</w:t>
            </w:r>
          </w:p>
        </w:tc>
        <w:tc>
          <w:tcPr>
            <w:tcW w:w="28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350,000,000 shares authorized as of December 31, 2025 and 2024; 26,011,106 and</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25,767,369 shares issued and outstanding as of December 31, 2025 and 2024, respectively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700,706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689,887</w:t>
            </w: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(692,071)</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w:t>
            </w:r>
          </w:p>
        </w:tc>
      </w:tr>
      <w:tr>
        <w:trPr>
          <w:trHeight w:val="223"/>
        </w:trPr>
        <w:tc>
          <w:tcPr>
            <w:tcW w:w="8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296,411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435,023</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Cartesian Therapeutics,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5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license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38,275</w:t>
            </w:r>
          </w:p>
        </w:tc>
      </w:tr>
      <w:tr>
        <w:trPr>
          <w:trHeight w:val="23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38,913</w:t>
            </w:r>
          </w:p>
        </w:tc>
      </w:tr>
      <w:tr>
        <w:trPr>
          <w:trHeight w:val="257"/>
        </w:trPr>
        <w:tc>
          <w:tcPr>
            <w:tcW w:w="8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45,105</w:t>
            </w:r>
          </w:p>
        </w:tc>
      </w:tr>
      <w:tr>
        <w:trPr>
          <w:trHeight w:val="229"/>
        </w:trPr>
        <w:tc>
          <w:tcPr>
            <w:tcW w:w="8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30,126</w:t>
            </w:r>
          </w:p>
        </w:tc>
      </w:tr>
      <w:tr>
        <w:trPr>
          <w:trHeight w:val="230"/>
        </w:trPr>
        <w:tc>
          <w:tcPr>
            <w:tcW w:w="8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of indefinite-lived intangible and long-lived assets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82,810</w:t>
            </w:r>
          </w:p>
        </w:tc>
      </w:tr>
      <w:tr>
        <w:trPr>
          <w:trHeight w:val="257"/>
        </w:trPr>
        <w:tc>
          <w:tcPr>
            <w:tcW w:w="8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(43,897)</w:t>
            </w:r>
          </w:p>
        </w:tc>
      </w:tr>
      <w:tr>
        <w:trPr>
          <w:trHeight w:val="257"/>
        </w:trPr>
        <w:tc>
          <w:tcPr>
            <w:tcW w:w="8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29"/>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change in fair value of warrant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w:t>
            </w: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change in fair value of contingent value right liability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(36,900)</w:t>
            </w:r>
          </w:p>
        </w:tc>
      </w:tr>
      <w:tr>
        <w:trPr>
          <w:trHeight w:val="229"/>
        </w:trPr>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change in fair value of forward contract liabilities</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w:t>
            </w:r>
          </w:p>
        </w:tc>
      </w:tr>
      <w:tr>
        <w:trPr>
          <w:trHeight w:val="230"/>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8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(33,240)</w:t>
            </w:r>
          </w:p>
        </w:tc>
      </w:tr>
      <w:tr>
        <w:trPr>
          <w:trHeight w:val="270"/>
        </w:trPr>
        <w:tc>
          <w:tcPr>
            <w:tcW w:w="8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(77,137)</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(77,424)</w:t>
            </w:r>
          </w:p>
        </w:tc>
      </w:tr>
      <w:tr>
        <w:trPr>
          <w:trHeight w:val="237"/>
        </w:trPr>
        <w:tc>
          <w:tcPr>
            <w:tcW w:w="8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(77,445)</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8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(77,424)</w:t>
            </w:r>
          </w:p>
        </w:tc>
      </w:tr>
      <w:tr>
        <w:trPr>
          <w:trHeight w:val="256"/>
        </w:trPr>
        <w:tc>
          <w:tcPr>
            <w:tcW w:w="85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allocable to common stockholders: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70"/>
        </w:trPr>
        <w:tc>
          <w:tcPr>
            <w:tcW w:w="8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17,276,822</w:t>
            </w:r>
          </w:p>
        </w:tc>
      </w:tr>
      <w:tr>
        <w:trPr>
          <w:trHeight w:val="234"/>
        </w:trPr>
        <w:tc>
          <w:tcPr>
            <w:tcW w:w="8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25,973,329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17,357,943</w:t>
            </w:r>
          </w:p>
        </w:tc>
      </w:tr>
    </w:tbl>
    <w:p>
      <w:pPr>
        <w:sectPr>
          <w:pgSz w:w="11900" w:h="16838" w:orient="portrait"/>
          <w:cols w:equalWidth="0" w:num="1">
            <w:col w:w="11220"/>
          </w:cols>
          <w:pgMar w:left="320" w:top="125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5308600</wp:posOffset>
            </wp:positionH>
            <wp:positionV relativeFrom="page">
              <wp:posOffset>88900</wp:posOffset>
            </wp:positionV>
            <wp:extent cx="2031365" cy="5054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05460"/>
                    </a:xfrm>
                    <a:prstGeom prst="rect">
                      <a:avLst/>
                    </a:prstGeom>
                    <a:noFill/>
                  </pic:spPr>
                </pic:pic>
              </a:graphicData>
            </a:graphic>
          </wp:anchor>
        </w:drawing>
        <w:t>Investor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Megan LeDuc</w:t>
      </w:r>
    </w:p>
    <w:p>
      <w:pPr>
        <w:spacing w:after="0" w:line="219" w:lineRule="auto"/>
        <w:rPr>
          <w:sz w:val="20"/>
          <w:szCs w:val="20"/>
          <w:color w:val="auto"/>
        </w:rPr>
      </w:pPr>
      <w:r>
        <w:rPr>
          <w:rFonts w:ascii="Times New Roman" w:cs="Times New Roman" w:eastAsia="Times New Roman" w:hAnsi="Times New Roman"/>
          <w:sz w:val="18"/>
          <w:szCs w:val="18"/>
          <w:color w:val="auto"/>
        </w:rPr>
        <w:t>Associate Director of Investor Relations</w:t>
      </w:r>
    </w:p>
    <w:p>
      <w:pPr>
        <w:spacing w:after="0"/>
        <w:rPr>
          <w:sz w:val="20"/>
          <w:szCs w:val="20"/>
          <w:color w:val="auto"/>
        </w:rPr>
      </w:pPr>
      <w:r>
        <w:rPr>
          <w:rFonts w:ascii="Times New Roman" w:cs="Times New Roman" w:eastAsia="Times New Roman" w:hAnsi="Times New Roman"/>
          <w:sz w:val="18"/>
          <w:szCs w:val="18"/>
          <w:color w:val="auto"/>
        </w:rPr>
        <w:t>megan.leduc@cartesiantx.com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19" w:lineRule="auto"/>
        <w:rPr>
          <w:sz w:val="20"/>
          <w:szCs w:val="20"/>
          <w:color w:val="auto"/>
        </w:rPr>
      </w:pPr>
      <w:r>
        <w:rPr>
          <w:rFonts w:ascii="Times New Roman" w:cs="Times New Roman" w:eastAsia="Times New Roman" w:hAnsi="Times New Roman"/>
          <w:sz w:val="18"/>
          <w:szCs w:val="18"/>
          <w:color w:val="auto"/>
        </w:rPr>
        <w:t>Argot Partners</w:t>
      </w:r>
    </w:p>
    <w:p>
      <w:pPr>
        <w:spacing w:after="0"/>
        <w:rPr>
          <w:sz w:val="20"/>
          <w:szCs w:val="20"/>
          <w:color w:val="auto"/>
        </w:rPr>
      </w:pPr>
      <w:r>
        <w:rPr>
          <w:rFonts w:ascii="Times New Roman" w:cs="Times New Roman" w:eastAsia="Times New Roman" w:hAnsi="Times New Roman"/>
          <w:sz w:val="18"/>
          <w:szCs w:val="18"/>
          <w:color w:val="auto"/>
        </w:rPr>
        <w:t>david.rosen@argotpartners.com</w:t>
      </w:r>
    </w:p>
    <w:sectPr>
      <w:pgSz w:w="11900" w:h="16838" w:orient="portrait"/>
      <w:cols w:equalWidth="0" w:num="1">
        <w:col w:w="10139"/>
      </w:cols>
      <w:pgMar w:left="320" w:top="1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2026-03-09T06:04:50Z</dcterms:created>
  <dcterms:modified xsi:type="dcterms:W3CDTF">2026-03-09T06:04:50Z</dcterms:modified>
</cp:coreProperties>
</file>