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 2023</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333-275171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PRE-EFFECTIVE AMENDMENT NO. 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TO</w:t>
      </w:r>
    </w:p>
    <w:p>
      <w:pPr>
        <w:jc w:val="center"/>
        <w:spacing w:after="0" w:line="236" w:lineRule="auto"/>
        <w:rPr>
          <w:sz w:val="20"/>
          <w:szCs w:val="20"/>
          <w:color w:val="auto"/>
        </w:rPr>
      </w:pPr>
      <w:r>
        <w:rPr>
          <w:rFonts w:ascii="Times New Roman" w:cs="Times New Roman" w:eastAsia="Times New Roman" w:hAnsi="Times New Roman"/>
          <w:sz w:val="31"/>
          <w:szCs w:val="31"/>
          <w:b w:val="1"/>
          <w:bCs w:val="1"/>
          <w:color w:val="auto"/>
        </w:rPr>
        <w:t>FORM S-3</w:t>
      </w:r>
    </w:p>
    <w:p>
      <w:pPr>
        <w:jc w:val="center"/>
        <w:spacing w:after="0" w:line="237"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146050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CARTESIAN THERAPEUTICS,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32" w:right="439" w:bottom="982" w:gutter="0" w:footer="0" w:header="0"/>
        </w:sectPr>
      </w:pPr>
    </w:p>
    <w:p>
      <w:pPr>
        <w:spacing w:after="0" w:line="200" w:lineRule="exact"/>
        <w:rPr>
          <w:sz w:val="24"/>
          <w:szCs w:val="24"/>
          <w:color w:val="auto"/>
        </w:rPr>
      </w:pPr>
    </w:p>
    <w:p>
      <w:pPr>
        <w:spacing w:after="0" w:line="20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26-1622110</w:t>
      </w:r>
    </w:p>
    <w:p>
      <w:pPr>
        <w:spacing w:after="0" w:line="27" w:lineRule="exact"/>
        <w:rPr>
          <w:sz w:val="24"/>
          <w:szCs w:val="24"/>
          <w:color w:val="auto"/>
        </w:rPr>
      </w:pPr>
    </w:p>
    <w:p>
      <w:pPr>
        <w:sectPr>
          <w:pgSz w:w="11900" w:h="16838" w:orient="portrait"/>
          <w:cols w:equalWidth="0" w:num="2">
            <w:col w:w="7240" w:space="720"/>
            <w:col w:w="3060"/>
          </w:cols>
          <w:pgMar w:left="440" w:top="232" w:right="439" w:bottom="982"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7" w:lineRule="exact"/>
        <w:rPr>
          <w:sz w:val="24"/>
          <w:szCs w:val="24"/>
          <w:color w:val="auto"/>
        </w:rPr>
      </w:pPr>
    </w:p>
    <w:p>
      <w:pPr>
        <w:sectPr>
          <w:pgSz w:w="11900" w:h="16838" w:orient="portrait"/>
          <w:cols w:equalWidth="0" w:num="2">
            <w:col w:w="7060" w:space="720"/>
            <w:col w:w="3240"/>
          </w:cols>
          <w:pgMar w:left="440" w:top="232" w:right="439" w:bottom="982"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Gaithersburg, Maryland 20878</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(617) 923-1400</w:t>
      </w:r>
    </w:p>
    <w:p>
      <w:pPr>
        <w:sectPr>
          <w:pgSz w:w="11900" w:h="16838" w:orient="portrait"/>
          <w:cols w:equalWidth="0" w:num="1">
            <w:col w:w="11020"/>
          </w:cols>
          <w:pgMar w:left="440" w:top="232" w:right="439" w:bottom="982"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704 Quince Orchard Road</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Gaithersburg, Maryland 20878</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with a copy to:</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161290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80"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40" w:lineRule="exact"/>
        <w:rPr>
          <w:sz w:val="24"/>
          <w:szCs w:val="24"/>
          <w:color w:val="auto"/>
        </w:rPr>
      </w:pPr>
    </w:p>
    <w:p>
      <w:pPr>
        <w:ind w:right="30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right="5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righ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right="1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4l3(b)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right="380" w:firstLine="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400" w:type="dxa"/>
            <w:vAlign w:val="bottom"/>
          </w:tcPr>
          <w:p>
            <w:pPr>
              <w:ind w:left="36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right="5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138430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5" w:lineRule="exact"/>
        <w:rPr>
          <w:sz w:val="24"/>
          <w:szCs w:val="24"/>
          <w:color w:val="auto"/>
        </w:rPr>
      </w:pPr>
    </w:p>
    <w:p>
      <w:pPr>
        <w:ind w:right="28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73660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116840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32" w:right="439" w:bottom="982" w:gutter="0" w:footer="0" w:header="0"/>
          <w:type w:val="continuous"/>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Pre-Effective Amendment No. 1 to the Registration Statement (the “Registration Statement”) on Form S-3 of Cartesian Therapeutics, Inc. (File No. 333- 275171), originally filed on October 25, 2023, is being filed solely to update the name of the registrant from Selecta Biosciences, Inc. to Cartesian Therapeutics, Inc. (the “Company”). Accordingly, this Pre-Effective Amendment No. 1 consists solely of the facing page, this explanatory note and Part II of the Registration Statement, and is not intended to amend or delete any part of the Registration Statement or prospectus included therein except as specifically noted herein.</w:t>
      </w:r>
    </w:p>
    <w:p>
      <w:pPr>
        <w:sectPr>
          <w:pgSz w:w="11900" w:h="16838" w:orient="portrait"/>
          <w:cols w:equalWidth="0" w:num="1">
            <w:col w:w="10680"/>
          </w:cols>
          <w:pgMar w:left="440" w:top="266" w:right="7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ectPr>
          <w:pgSz w:w="11900" w:h="16838" w:orient="portrait"/>
          <w:cols w:equalWidth="0" w:num="1">
            <w:col w:w="11000"/>
          </w:cols>
          <w:pgMar w:left="440" w:top="266" w:right="459" w:bottom="1440" w:gutter="0" w:footer="0" w:header="0"/>
        </w:sectPr>
      </w:pPr>
    </w:p>
    <w:p>
      <w:pPr>
        <w:spacing w:after="0" w:line="18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-119380</wp:posOffset>
            </wp:positionV>
            <wp:extent cx="474916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Blue Sky, qualification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13335</wp:posOffset>
            </wp:positionV>
            <wp:extent cx="474916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Trustee and depositary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Times New Roman" w:cs="Times New Roman" w:eastAsia="Times New Roman" w:hAnsi="Times New Roman"/>
          <w:sz w:val="18"/>
          <w:szCs w:val="18"/>
          <w:color w:val="auto"/>
        </w:rPr>
        <w:t>Warrant agent fees and expenses</w:t>
      </w:r>
    </w:p>
    <w:p>
      <w:pPr>
        <w:spacing w:after="0" w:line="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-119380</wp:posOffset>
            </wp:positionV>
            <wp:extent cx="474916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25" w:hanging="125"/>
        <w:spacing w:after="0"/>
        <w:tabs>
          <w:tab w:leader="none" w:pos="1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14,760</w:t>
      </w:r>
    </w:p>
    <w:p>
      <w:pPr>
        <w:spacing w:after="0" w:line="27" w:lineRule="exact"/>
        <w:rPr>
          <w:rFonts w:ascii="Times New Roman" w:cs="Times New Roman" w:eastAsia="Times New Roman" w:hAnsi="Times New Roman"/>
          <w:sz w:val="18"/>
          <w:szCs w:val="18"/>
          <w:color w:val="auto"/>
        </w:rPr>
      </w:pPr>
    </w:p>
    <w:p>
      <w:pPr>
        <w:ind w:left="125" w:hanging="125"/>
        <w:spacing w:after="0"/>
        <w:tabs>
          <w:tab w:leader="none" w:pos="1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15,500</w:t>
      </w:r>
    </w:p>
    <w:p>
      <w:pPr>
        <w:spacing w:after="0" w:line="9" w:lineRule="exact"/>
        <w:rPr>
          <w:sz w:val="20"/>
          <w:szCs w:val="20"/>
          <w:color w:val="auto"/>
        </w:rPr>
      </w:pPr>
    </w:p>
    <w:p>
      <w:pPr>
        <w:ind w:left="525" w:hanging="525"/>
        <w:spacing w:after="0"/>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5" w:hanging="525"/>
        <w:spacing w:after="0"/>
        <w:tabs>
          <w:tab w:leader="none" w:pos="5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525" w:hanging="525"/>
        <w:spacing w:after="0"/>
        <w:tabs>
          <w:tab w:leader="none" w:pos="5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7" w:lineRule="exact"/>
        <w:rPr>
          <w:rFonts w:ascii="Times New Roman" w:cs="Times New Roman" w:eastAsia="Times New Roman" w:hAnsi="Times New Roman"/>
          <w:sz w:val="18"/>
          <w:szCs w:val="18"/>
          <w:color w:val="auto"/>
        </w:rPr>
      </w:pPr>
    </w:p>
    <w:p>
      <w:pPr>
        <w:ind w:left="525" w:hanging="525"/>
        <w:spacing w:after="0"/>
        <w:tabs>
          <w:tab w:leader="none" w:pos="5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3943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3943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3943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35" w:space="720"/>
            <w:col w:w="2445"/>
          </w:cols>
          <w:pgMar w:left="440" w:top="266" w:right="4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estimated at this time.</w:t>
      </w:r>
    </w:p>
    <w:p>
      <w:pPr>
        <w:spacing w:after="0" w:line="3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right="80" w:firstLine="440"/>
        <w:spacing w:after="0" w:line="272" w:lineRule="auto"/>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0"/>
          </w:cols>
          <w:pgMar w:left="440" w:top="266" w:right="459" w:bottom="1440" w:gutter="0" w:footer="0" w:header="0"/>
          <w:type w:val="continuous"/>
        </w:sectPr>
      </w:pPr>
    </w:p>
    <w:bookmarkStart w:id="3" w:name="page4"/>
    <w:bookmarkEnd w:id="3"/>
    <w:p>
      <w:pPr>
        <w:ind w:left="4"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88" w:lineRule="exact"/>
        <w:rPr>
          <w:sz w:val="20"/>
          <w:szCs w:val="20"/>
          <w:color w:val="auto"/>
        </w:rPr>
      </w:pPr>
    </w:p>
    <w:p>
      <w:pPr>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4" w:right="100" w:hanging="4"/>
        <w:spacing w:after="0" w:line="260"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DGCL, or (iv) for any transaction from which the director derived an improper personal benefit.</w:t>
      </w:r>
    </w:p>
    <w:p>
      <w:pPr>
        <w:spacing w:after="0" w:line="181"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Our restated certificate of incorporation, as amended,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187"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176"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our restated certificate of incorporation, our amended and restated bylaws, any agreement, any vote of stockholders or disinterested directors or otherwise.</w:t>
      </w:r>
    </w:p>
    <w:p>
      <w:pPr>
        <w:spacing w:after="0" w:line="176"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We have purchased and intend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64"/>
          </w:cols>
          <w:pgMar w:left="436" w:top="270" w:right="499" w:bottom="1440" w:gutter="0" w:footer="0" w:header="0"/>
        </w:sectPr>
      </w:pPr>
    </w:p>
    <w:bookmarkStart w:id="4" w:name="page5"/>
    <w:bookmarkEnd w:id="4"/>
    <w:p>
      <w:pPr>
        <w:ind w:left="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Registration Statement.</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340" w:type="dxa"/>
            <w:vAlign w:val="bottom"/>
          </w:tcPr>
          <w:p>
            <w:pPr>
              <w:spacing w:after="0"/>
              <w:rPr>
                <w:sz w:val="15"/>
                <w:szCs w:val="15"/>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40" w:type="dxa"/>
            <w:vAlign w:val="bottom"/>
            <w:gridSpan w:val="16"/>
          </w:tcPr>
          <w:p>
            <w:pPr>
              <w:spacing w:after="0"/>
              <w:rPr>
                <w:sz w:val="15"/>
                <w:szCs w:val="15"/>
                <w:color w:val="auto"/>
              </w:rPr>
            </w:pPr>
          </w:p>
        </w:tc>
      </w:tr>
      <w:tr>
        <w:trPr>
          <w:trHeight w:val="277"/>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3.1</w:t>
            </w:r>
          </w:p>
        </w:tc>
        <w:tc>
          <w:tcPr>
            <w:tcW w:w="1340" w:type="dxa"/>
            <w:vAlign w:val="bottom"/>
          </w:tcPr>
          <w:p>
            <w:pPr>
              <w:spacing w:after="0"/>
              <w:rPr>
                <w:sz w:val="24"/>
                <w:szCs w:val="24"/>
                <w:color w:val="auto"/>
              </w:rPr>
            </w:pPr>
          </w:p>
        </w:tc>
        <w:tc>
          <w:tcPr>
            <w:tcW w:w="8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Restated Certificate of Incorporation of the Company dated as of June 27, 2016, incorporated by reference to Exhibit</w:t>
              </w:r>
            </w:hyperlink>
          </w:p>
        </w:tc>
        <w:tc>
          <w:tcPr>
            <w:tcW w:w="22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Form 8-K (File No. 001-37798) filed on June 29, 2016.</w:t>
              </w:r>
            </w:hyperlink>
          </w:p>
        </w:tc>
        <w:tc>
          <w:tcPr>
            <w:tcW w:w="4200" w:type="dxa"/>
            <w:vAlign w:val="bottom"/>
            <w:gridSpan w:val="8"/>
          </w:tcPr>
          <w:p>
            <w:pPr>
              <w:spacing w:after="0"/>
              <w:rPr>
                <w:sz w:val="17"/>
                <w:szCs w:val="17"/>
                <w:color w:val="auto"/>
              </w:rPr>
            </w:pPr>
          </w:p>
        </w:tc>
      </w:tr>
      <w:tr>
        <w:trPr>
          <w:trHeight w:val="304"/>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tcPr>
          <w:p>
            <w:pPr>
              <w:spacing w:after="0"/>
              <w:rPr>
                <w:sz w:val="24"/>
                <w:szCs w:val="24"/>
                <w:color w:val="auto"/>
              </w:rPr>
            </w:pPr>
          </w:p>
        </w:tc>
        <w:tc>
          <w:tcPr>
            <w:tcW w:w="8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Certificate of Amendment to the Restated Certificate of Incorporation of the Company, dated as of June 21, 2022,</w:t>
              </w:r>
            </w:hyperlink>
          </w:p>
        </w:tc>
        <w:tc>
          <w:tcPr>
            <w:tcW w:w="4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40" w:type="dxa"/>
            <w:vAlign w:val="bottom"/>
            <w:gridSpan w:val="17"/>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incorporated by reference to Exhibit 3.1 to Form 8-K (File No. 001-37798) filed on June 21, 2022</w:t>
              </w:r>
            </w:hyperlink>
          </w:p>
        </w:tc>
      </w:tr>
      <w:tr>
        <w:trPr>
          <w:trHeight w:val="20"/>
        </w:trPr>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3.3</w:t>
            </w:r>
          </w:p>
        </w:tc>
        <w:tc>
          <w:tcPr>
            <w:tcW w:w="1340" w:type="dxa"/>
            <w:vAlign w:val="bottom"/>
          </w:tcPr>
          <w:p>
            <w:pPr>
              <w:spacing w:after="0"/>
              <w:rPr>
                <w:sz w:val="24"/>
                <w:szCs w:val="24"/>
                <w:color w:val="auto"/>
              </w:rPr>
            </w:pPr>
          </w:p>
        </w:tc>
        <w:tc>
          <w:tcPr>
            <w:tcW w:w="8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Certificate of Amendment to the Restated Certificate of Incorporation of the Company, dated as of November 13, 2023,</w:t>
              </w:r>
            </w:hyperlink>
          </w:p>
        </w:tc>
      </w:tr>
      <w:tr>
        <w:trPr>
          <w:trHeight w:val="196"/>
        </w:trPr>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incorporated by reference to Exhibit 3.3 to Form 8-K (File No. 001-37798) filed on November 13, 2023</w:t>
              </w:r>
            </w:hyperlink>
          </w:p>
        </w:tc>
        <w:tc>
          <w:tcPr>
            <w:tcW w:w="1160" w:type="dxa"/>
            <w:vAlign w:val="bottom"/>
            <w:gridSpan w:val="5"/>
          </w:tcPr>
          <w:p>
            <w:pPr>
              <w:spacing w:after="0"/>
              <w:rPr>
                <w:sz w:val="17"/>
                <w:szCs w:val="17"/>
                <w:color w:val="auto"/>
              </w:rPr>
            </w:pPr>
          </w:p>
        </w:tc>
      </w:tr>
      <w:tr>
        <w:trPr>
          <w:trHeight w:val="304"/>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3.4</w:t>
            </w:r>
          </w:p>
        </w:tc>
        <w:tc>
          <w:tcPr>
            <w:tcW w:w="1340" w:type="dxa"/>
            <w:vAlign w:val="bottom"/>
          </w:tcPr>
          <w:p>
            <w:pPr>
              <w:spacing w:after="0"/>
              <w:rPr>
                <w:sz w:val="24"/>
                <w:szCs w:val="24"/>
                <w:color w:val="auto"/>
              </w:rPr>
            </w:pPr>
          </w:p>
        </w:tc>
        <w:tc>
          <w:tcPr>
            <w:tcW w:w="8640" w:type="dxa"/>
            <w:vAlign w:val="bottom"/>
            <w:gridSpan w:val="17"/>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Amended and Restated By-laws of Cartesian Therapeutics, Inc., incorporated by reference to Exhibit 3.2 to Form 10-Q</w:t>
              </w:r>
            </w:hyperlink>
          </w:p>
        </w:tc>
      </w:tr>
      <w:tr>
        <w:trPr>
          <w:trHeight w:val="196"/>
        </w:trPr>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56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(File No. 001-37798) filed on November 13, 2023.</w:t>
              </w:r>
            </w:hyperlink>
          </w:p>
        </w:tc>
        <w:tc>
          <w:tcPr>
            <w:tcW w:w="8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rPr>
              <w:t>4.1</w:t>
            </w:r>
          </w:p>
        </w:tc>
        <w:tc>
          <w:tcPr>
            <w:tcW w:w="1340" w:type="dxa"/>
            <w:vAlign w:val="bottom"/>
          </w:tcPr>
          <w:p>
            <w:pPr>
              <w:spacing w:after="0"/>
              <w:rPr>
                <w:sz w:val="24"/>
                <w:szCs w:val="24"/>
                <w:color w:val="auto"/>
              </w:rPr>
            </w:pPr>
          </w:p>
        </w:tc>
        <w:tc>
          <w:tcPr>
            <w:tcW w:w="8640" w:type="dxa"/>
            <w:vAlign w:val="bottom"/>
            <w:gridSpan w:val="17"/>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Form of Specimen Certificate Representing Common Stock, incorporated by reference to Exhibit 4.2 to Form S-1 (Reg.</w:t>
              </w:r>
            </w:hyperlink>
          </w:p>
        </w:tc>
      </w:tr>
      <w:tr>
        <w:trPr>
          <w:trHeight w:val="196"/>
        </w:trPr>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No. 333-211555), filed with on May 24, 2016.</w:t>
              </w:r>
            </w:hyperlink>
          </w:p>
        </w:tc>
        <w:tc>
          <w:tcPr>
            <w:tcW w:w="20" w:type="dxa"/>
            <w:vAlign w:val="bottom"/>
          </w:tcPr>
          <w:p>
            <w:pPr>
              <w:spacing w:after="0"/>
              <w:rPr>
                <w:sz w:val="17"/>
                <w:szCs w:val="17"/>
                <w:color w:val="auto"/>
              </w:rPr>
            </w:pPr>
          </w:p>
        </w:tc>
      </w:tr>
      <w:tr>
        <w:trPr>
          <w:trHeight w:val="304"/>
        </w:trPr>
        <w:tc>
          <w:tcPr>
            <w:tcW w:w="10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tcPr>
          <w:p>
            <w:pPr>
              <w:spacing w:after="0"/>
              <w:rPr>
                <w:sz w:val="24"/>
                <w:szCs w:val="24"/>
                <w:color w:val="auto"/>
              </w:rPr>
            </w:pPr>
          </w:p>
        </w:tc>
        <w:tc>
          <w:tcPr>
            <w:tcW w:w="136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Form of Indenture.</w:t>
              </w:r>
            </w:hyperlink>
          </w:p>
        </w:tc>
        <w:tc>
          <w:tcPr>
            <w:tcW w:w="1960" w:type="dxa"/>
            <w:vAlign w:val="bottom"/>
            <w:tcBorders>
              <w:top w:val="single" w:sz="8" w:color="0000EE"/>
            </w:tcBorders>
            <w:gridSpan w:val="3"/>
          </w:tcPr>
          <w:p>
            <w:pPr>
              <w:spacing w:after="0"/>
              <w:rPr>
                <w:sz w:val="24"/>
                <w:szCs w:val="24"/>
                <w:color w:val="auto"/>
              </w:rPr>
            </w:pPr>
          </w:p>
        </w:tc>
        <w:tc>
          <w:tcPr>
            <w:tcW w:w="5320" w:type="dxa"/>
            <w:vAlign w:val="bottom"/>
            <w:gridSpan w:val="11"/>
          </w:tcPr>
          <w:p>
            <w:pPr>
              <w:spacing w:after="0"/>
              <w:rPr>
                <w:sz w:val="24"/>
                <w:szCs w:val="24"/>
                <w:color w:val="auto"/>
              </w:rPr>
            </w:pPr>
          </w:p>
        </w:tc>
      </w:tr>
      <w:tr>
        <w:trPr>
          <w:trHeight w:val="345"/>
        </w:trPr>
        <w:tc>
          <w:tcPr>
            <w:tcW w:w="10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tcPr>
          <w:p>
            <w:pPr>
              <w:spacing w:after="0"/>
              <w:rPr>
                <w:sz w:val="24"/>
                <w:szCs w:val="24"/>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Note.</w:t>
            </w:r>
          </w:p>
        </w:tc>
      </w:tr>
      <w:tr>
        <w:trPr>
          <w:trHeight w:val="324"/>
        </w:trPr>
        <w:tc>
          <w:tcPr>
            <w:tcW w:w="10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tcPr>
          <w:p>
            <w:pPr>
              <w:spacing w:after="0"/>
              <w:rPr>
                <w:sz w:val="24"/>
                <w:szCs w:val="24"/>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Warrant.</w:t>
            </w:r>
          </w:p>
        </w:tc>
      </w:tr>
      <w:tr>
        <w:trPr>
          <w:trHeight w:val="324"/>
        </w:trPr>
        <w:tc>
          <w:tcPr>
            <w:tcW w:w="10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tcPr>
          <w:p>
            <w:pPr>
              <w:spacing w:after="0"/>
              <w:rPr>
                <w:sz w:val="24"/>
                <w:szCs w:val="24"/>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324"/>
        </w:trPr>
        <w:tc>
          <w:tcPr>
            <w:tcW w:w="10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tcPr>
          <w:p>
            <w:pPr>
              <w:spacing w:after="0"/>
              <w:rPr>
                <w:sz w:val="24"/>
                <w:szCs w:val="24"/>
                <w:color w:val="auto"/>
              </w:rPr>
            </w:pPr>
          </w:p>
        </w:tc>
        <w:tc>
          <w:tcPr>
            <w:tcW w:w="8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Unit Agreement.</w:t>
            </w:r>
          </w:p>
        </w:tc>
      </w:tr>
      <w:tr>
        <w:trPr>
          <w:trHeight w:val="283"/>
        </w:trPr>
        <w:tc>
          <w:tcPr>
            <w:tcW w:w="10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5.1*</w:t>
            </w:r>
          </w:p>
        </w:tc>
        <w:tc>
          <w:tcPr>
            <w:tcW w:w="1340" w:type="dxa"/>
            <w:vAlign w:val="bottom"/>
          </w:tcPr>
          <w:p>
            <w:pPr>
              <w:spacing w:after="0"/>
              <w:rPr>
                <w:sz w:val="24"/>
                <w:szCs w:val="24"/>
                <w:color w:val="auto"/>
              </w:rPr>
            </w:pPr>
          </w:p>
        </w:tc>
        <w:tc>
          <w:tcPr>
            <w:tcW w:w="27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Opinion of Covington &amp; Burling LLP.</w:t>
              </w:r>
            </w:hyperlink>
          </w:p>
        </w:tc>
        <w:tc>
          <w:tcPr>
            <w:tcW w:w="5880" w:type="dxa"/>
            <w:vAlign w:val="bottom"/>
            <w:gridSpan w:val="12"/>
          </w:tcPr>
          <w:p>
            <w:pPr>
              <w:spacing w:after="0"/>
              <w:rPr>
                <w:sz w:val="24"/>
                <w:szCs w:val="24"/>
                <w:color w:val="auto"/>
              </w:rPr>
            </w:pPr>
          </w:p>
        </w:tc>
      </w:tr>
      <w:tr>
        <w:trPr>
          <w:trHeight w:val="304"/>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95"/>
              </w:rPr>
              <w:t>23.1</w:t>
            </w:r>
          </w:p>
        </w:tc>
        <w:tc>
          <w:tcPr>
            <w:tcW w:w="1340" w:type="dxa"/>
            <w:vAlign w:val="bottom"/>
          </w:tcPr>
          <w:p>
            <w:pPr>
              <w:spacing w:after="0"/>
              <w:rPr>
                <w:sz w:val="24"/>
                <w:szCs w:val="24"/>
                <w:color w:val="auto"/>
              </w:rPr>
            </w:pPr>
          </w:p>
        </w:tc>
        <w:tc>
          <w:tcPr>
            <w:tcW w:w="23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6340" w:type="dxa"/>
            <w:vAlign w:val="bottom"/>
            <w:gridSpan w:val="13"/>
          </w:tcPr>
          <w:p>
            <w:pPr>
              <w:spacing w:after="0"/>
              <w:rPr>
                <w:sz w:val="24"/>
                <w:szCs w:val="24"/>
                <w:color w:val="auto"/>
              </w:rPr>
            </w:pPr>
          </w:p>
        </w:tc>
      </w:tr>
      <w:tr>
        <w:trPr>
          <w:trHeight w:val="304"/>
        </w:trPr>
        <w:tc>
          <w:tcPr>
            <w:tcW w:w="100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w w:val="93"/>
              </w:rPr>
              <w:t>23.2*</w:t>
            </w:r>
          </w:p>
        </w:tc>
        <w:tc>
          <w:tcPr>
            <w:tcW w:w="1340" w:type="dxa"/>
            <w:vAlign w:val="bottom"/>
          </w:tcPr>
          <w:p>
            <w:pPr>
              <w:spacing w:after="0"/>
              <w:rPr>
                <w:sz w:val="24"/>
                <w:szCs w:val="24"/>
                <w:color w:val="auto"/>
              </w:rPr>
            </w:pPr>
          </w:p>
        </w:tc>
        <w:tc>
          <w:tcPr>
            <w:tcW w:w="8640" w:type="dxa"/>
            <w:vAlign w:val="bottom"/>
            <w:gridSpan w:val="17"/>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Consent of Covington &amp; Burling LLP (filed as part of Exhibit 5.1).</w:t>
              </w:r>
            </w:hyperlink>
          </w:p>
        </w:tc>
      </w:tr>
      <w:tr>
        <w:trPr>
          <w:trHeight w:val="304"/>
        </w:trPr>
        <w:tc>
          <w:tcPr>
            <w:tcW w:w="1000" w:type="dxa"/>
            <w:vAlign w:val="bottom"/>
          </w:tcPr>
          <w:p>
            <w:pPr>
              <w:jc w:val="right"/>
              <w:ind w:right="591"/>
              <w:spacing w:after="0"/>
              <w:rPr>
                <w:sz w:val="20"/>
                <w:szCs w:val="20"/>
                <w:color w:val="auto"/>
              </w:rPr>
            </w:pPr>
            <w:r>
              <w:rPr>
                <w:rFonts w:ascii="Times New Roman" w:cs="Times New Roman" w:eastAsia="Times New Roman" w:hAnsi="Times New Roman"/>
                <w:sz w:val="18"/>
                <w:szCs w:val="18"/>
                <w:color w:val="auto"/>
                <w:w w:val="95"/>
              </w:rPr>
              <w:t>24.1</w:t>
            </w:r>
          </w:p>
        </w:tc>
        <w:tc>
          <w:tcPr>
            <w:tcW w:w="1340" w:type="dxa"/>
            <w:vAlign w:val="bottom"/>
          </w:tcPr>
          <w:p>
            <w:pPr>
              <w:spacing w:after="0"/>
              <w:rPr>
                <w:sz w:val="24"/>
                <w:szCs w:val="24"/>
                <w:color w:val="auto"/>
              </w:rPr>
            </w:pPr>
          </w:p>
        </w:tc>
        <w:tc>
          <w:tcPr>
            <w:tcW w:w="48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Powers of Attorney (included on signature page).</w:t>
            </w:r>
          </w:p>
        </w:tc>
        <w:tc>
          <w:tcPr>
            <w:tcW w:w="3820" w:type="dxa"/>
            <w:vAlign w:val="bottom"/>
            <w:gridSpan w:val="7"/>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spacing w:after="0"/>
              <w:rPr>
                <w:sz w:val="24"/>
                <w:szCs w:val="24"/>
                <w:color w:val="auto"/>
              </w:rPr>
            </w:pPr>
          </w:p>
        </w:tc>
        <w:tc>
          <w:tcPr>
            <w:tcW w:w="12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Filing Fee Table.</w:t>
              </w:r>
            </w:hyperlink>
          </w:p>
        </w:tc>
        <w:tc>
          <w:tcPr>
            <w:tcW w:w="2320" w:type="dxa"/>
            <w:vAlign w:val="bottom"/>
            <w:tcBorders>
              <w:top w:val="single" w:sz="8" w:color="0000EE"/>
            </w:tcBorders>
            <w:gridSpan w:val="5"/>
          </w:tcPr>
          <w:p>
            <w:pPr>
              <w:spacing w:after="0"/>
              <w:rPr>
                <w:sz w:val="24"/>
                <w:szCs w:val="24"/>
                <w:color w:val="auto"/>
              </w:rPr>
            </w:pPr>
          </w:p>
        </w:tc>
        <w:tc>
          <w:tcPr>
            <w:tcW w:w="5100" w:type="dxa"/>
            <w:vAlign w:val="bottom"/>
            <w:gridSpan w:val="10"/>
          </w:tcPr>
          <w:p>
            <w:pPr>
              <w:spacing w:after="0"/>
              <w:rPr>
                <w:sz w:val="24"/>
                <w:szCs w:val="24"/>
                <w:color w:val="auto"/>
              </w:rPr>
            </w:pPr>
          </w:p>
        </w:tc>
      </w:tr>
    </w:tbl>
    <w:p>
      <w:pPr>
        <w:spacing w:after="0" w:line="252"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Previously</w:t>
      </w:r>
    </w:p>
    <w:p>
      <w:pPr>
        <w:spacing w:after="0" w:line="27"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incorporated by reference in connection with the offering of the securities.</w:t>
      </w:r>
    </w:p>
    <w:p>
      <w:pPr>
        <w:spacing w:after="0" w:line="351"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35" w:lineRule="exact"/>
        <w:rPr>
          <w:sz w:val="20"/>
          <w:szCs w:val="20"/>
          <w:color w:val="auto"/>
        </w:rPr>
      </w:pPr>
    </w:p>
    <w:p>
      <w:pPr>
        <w:ind w:left="964" w:hanging="532"/>
        <w:spacing w:after="0"/>
        <w:tabs>
          <w:tab w:leader="none" w:pos="9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ind w:left="984" w:right="40" w:firstLine="408"/>
        <w:spacing w:after="0" w:line="261" w:lineRule="auto"/>
        <w:tabs>
          <w:tab w:leader="none" w:pos="16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84"/>
          </w:cols>
          <w:pgMar w:left="436" w:top="266" w:right="479" w:bottom="1440" w:gutter="0" w:footer="0" w:header="0"/>
        </w:sectPr>
      </w:pPr>
    </w:p>
    <w:bookmarkStart w:id="5" w:name="page6"/>
    <w:bookmarkEnd w:id="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8" w:lineRule="exact"/>
        <w:rPr>
          <w:sz w:val="20"/>
          <w:szCs w:val="20"/>
          <w:color w:val="auto"/>
        </w:rPr>
      </w:pPr>
    </w:p>
    <w:p>
      <w:pPr>
        <w:ind w:right="60" w:firstLine="408"/>
        <w:spacing w:after="0" w:line="282" w:lineRule="auto"/>
        <w:tabs>
          <w:tab w:leader="none" w:pos="7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440"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(a)(l)(i), (a)(l)(ii) and (a)(l)(iii) of this section do not apply if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1" w:lineRule="exact"/>
        <w:rPr>
          <w:sz w:val="20"/>
          <w:szCs w:val="20"/>
          <w:color w:val="auto"/>
        </w:rPr>
      </w:pPr>
    </w:p>
    <w:p>
      <w:pPr>
        <w:ind w:left="440" w:right="300" w:hanging="439"/>
        <w:spacing w:after="0" w:line="266"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440" w:right="180" w:hanging="439"/>
        <w:spacing w:after="0" w:line="282" w:lineRule="auto"/>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40" w:hanging="439"/>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117" w:lineRule="exact"/>
        <w:rPr>
          <w:rFonts w:ascii="Times New Roman" w:cs="Times New Roman" w:eastAsia="Times New Roman" w:hAnsi="Times New Roman"/>
          <w:sz w:val="18"/>
          <w:szCs w:val="18"/>
          <w:color w:val="auto"/>
        </w:rPr>
      </w:pPr>
    </w:p>
    <w:p>
      <w:pPr>
        <w:ind w:left="620" w:hanging="212"/>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registrant is relying on Rule 430B:</w:t>
      </w:r>
    </w:p>
    <w:p>
      <w:pPr>
        <w:spacing w:after="0" w:line="117" w:lineRule="exact"/>
        <w:rPr>
          <w:rFonts w:ascii="Times New Roman" w:cs="Times New Roman" w:eastAsia="Times New Roman" w:hAnsi="Times New Roman"/>
          <w:sz w:val="18"/>
          <w:szCs w:val="18"/>
          <w:color w:val="auto"/>
        </w:rPr>
      </w:pPr>
    </w:p>
    <w:p>
      <w:pPr>
        <w:ind w:left="440" w:right="180" w:firstLine="391"/>
        <w:spacing w:after="0" w:line="282" w:lineRule="auto"/>
        <w:tabs>
          <w:tab w:leader="none" w:pos="111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440" w:firstLine="391"/>
        <w:spacing w:after="0" w:line="253" w:lineRule="auto"/>
        <w:tabs>
          <w:tab w:leader="none" w:pos="110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l0(a)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right="200" w:firstLine="408"/>
        <w:spacing w:after="0" w:line="258" w:lineRule="auto"/>
        <w:tabs>
          <w:tab w:leader="none" w:pos="66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no statement made in a registration statement or prospectus that is part of the registration statement or made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incorporated or deemed incorporated by reference into</w:t>
      </w:r>
    </w:p>
    <w:p>
      <w:pPr>
        <w:spacing w:after="0" w:line="1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0020"/>
          </w:cols>
          <w:pgMar w:left="1420" w:top="270" w:right="459" w:bottom="1440" w:gutter="0" w:footer="0" w:header="0"/>
        </w:sectPr>
      </w:pPr>
    </w:p>
    <w:bookmarkStart w:id="6" w:name="page7"/>
    <w:bookmarkEnd w:id="6"/>
    <w:p>
      <w:pPr>
        <w:ind w:left="56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1" w:lineRule="exact"/>
        <w:rPr>
          <w:sz w:val="20"/>
          <w:szCs w:val="20"/>
          <w:color w:val="auto"/>
        </w:rPr>
      </w:pPr>
    </w:p>
    <w:p>
      <w:pPr>
        <w:ind w:left="540" w:hanging="532"/>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8"/>
          <w:szCs w:val="18"/>
          <w:color w:val="auto"/>
        </w:rPr>
      </w:pPr>
    </w:p>
    <w:p>
      <w:pPr>
        <w:ind w:left="540" w:right="60" w:hanging="532"/>
        <w:spacing w:after="0" w:line="254"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0580"/>
          </w:cols>
          <w:pgMar w:left="860" w:top="270" w:right="4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POWER OF ATTORNEY</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94"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Pre-Effective Amendment No. 1 to the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00" w:type="dxa"/>
            <w:vAlign w:val="bottom"/>
          </w:tcPr>
          <w:p>
            <w:pPr>
              <w:spacing w:after="0"/>
              <w:rPr>
                <w:sz w:val="15"/>
                <w:szCs w:val="15"/>
                <w:color w:val="auto"/>
              </w:rPr>
            </w:pP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0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26"/>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CARSTEN BRUNN, PH.D.</w:t>
            </w: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Carsten Brunn, Ph.D.</w:t>
            </w:r>
          </w:p>
        </w:tc>
        <w:tc>
          <w:tcPr>
            <w:tcW w:w="41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4"/>
                <w:szCs w:val="14"/>
                <w:color w:val="auto"/>
                <w:w w:val="97"/>
              </w:rPr>
              <w:t>S</w:t>
            </w:r>
            <w:r>
              <w:rPr>
                <w:rFonts w:ascii="Times New Roman" w:cs="Times New Roman" w:eastAsia="Times New Roman" w:hAnsi="Times New Roman"/>
                <w:sz w:val="18"/>
                <w:szCs w:val="18"/>
                <w:color w:val="auto"/>
                <w:w w:val="97"/>
              </w:rPr>
              <w:t>/ BLAINE DAVIS</w:t>
            </w: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(Principal Financial Officer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Blaine Davis</w:t>
            </w:r>
          </w:p>
        </w:tc>
        <w:tc>
          <w:tcPr>
            <w:tcW w:w="41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and Principal Accounting Officer)</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CARRIE S. COX</w:t>
            </w:r>
          </w:p>
        </w:tc>
        <w:tc>
          <w:tcPr>
            <w:tcW w:w="4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Chairman of the Board</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Carrie S. Cox</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TIMOTHY C. BARABE</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Timothy C. Barabe</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S</w:t>
            </w:r>
            <w:r>
              <w:rPr>
                <w:rFonts w:ascii="Times New Roman" w:cs="Times New Roman" w:eastAsia="Times New Roman" w:hAnsi="Times New Roman"/>
                <w:sz w:val="18"/>
                <w:szCs w:val="18"/>
                <w:color w:val="auto"/>
                <w:w w:val="98"/>
              </w:rPr>
              <w:t>/ NISHAN DE SILVA, M.D.</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Nishan de Silva, M.D.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4"/>
                <w:szCs w:val="14"/>
                <w:color w:val="auto"/>
                <w:w w:val="99"/>
              </w:rPr>
              <w:t>S</w:t>
            </w:r>
            <w:r>
              <w:rPr>
                <w:rFonts w:ascii="Times New Roman" w:cs="Times New Roman" w:eastAsia="Times New Roman" w:hAnsi="Times New Roman"/>
                <w:sz w:val="18"/>
                <w:szCs w:val="18"/>
                <w:color w:val="auto"/>
                <w:w w:val="99"/>
              </w:rPr>
              <w:t>/ MURAT KALAYOGLU, M.D., PH.D.</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Murat Kalayoglu, M.D.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S</w:t>
            </w:r>
            <w:r>
              <w:rPr>
                <w:rFonts w:ascii="Times New Roman" w:cs="Times New Roman" w:eastAsia="Times New Roman" w:hAnsi="Times New Roman"/>
                <w:sz w:val="18"/>
                <w:szCs w:val="18"/>
                <w:color w:val="auto"/>
                <w:w w:val="98"/>
              </w:rPr>
              <w:t>/ AYMERIC SALLIN</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Aymeric Sallin</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MICHAEL SINGER, M.D., PH.D.</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Singer, M.D.,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TIMOTHY SPRINGER, PH.D.</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Timothy Springer, Ph.D.</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4"/>
                <w:szCs w:val="14"/>
                <w:color w:val="auto"/>
                <w:w w:val="98"/>
              </w:rPr>
              <w:t>S</w:t>
            </w:r>
            <w:r>
              <w:rPr>
                <w:rFonts w:ascii="Times New Roman" w:cs="Times New Roman" w:eastAsia="Times New Roman" w:hAnsi="Times New Roman"/>
                <w:sz w:val="18"/>
                <w:szCs w:val="18"/>
                <w:color w:val="auto"/>
                <w:w w:val="98"/>
              </w:rPr>
              <w:t>/ PATRICK ZENNER</w:t>
            </w:r>
          </w:p>
        </w:tc>
        <w:tc>
          <w:tcPr>
            <w:tcW w:w="41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92"/>
              <w:spacing w:after="0"/>
              <w:rPr>
                <w:sz w:val="20"/>
                <w:szCs w:val="20"/>
                <w:color w:val="auto"/>
              </w:rPr>
            </w:pPr>
            <w:r>
              <w:rPr>
                <w:rFonts w:ascii="Times New Roman" w:cs="Times New Roman" w:eastAsia="Times New Roman" w:hAnsi="Times New Roman"/>
                <w:sz w:val="18"/>
                <w:szCs w:val="18"/>
                <w:color w:val="auto"/>
                <w:w w:val="99"/>
              </w:rPr>
              <w:t>December 1, 2023</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Patrick Zenner</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60"/>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II-6</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980"/>
          </w:cols>
          <w:pgMar w:left="440" w:top="266" w:right="4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Cartesian Therapeutics, Inc. for the registration of up to $200,000,000 of its common stock, preferred stock, debt securities, warrants, and units, and to the incorporation by reference therein of our report dated March 2, 2023, with respect to the consolidated financial statements of Selecta Biosciences, Inc. included in its Annual Report (Form 10-K) for the year ended December 31, 2022, filed with the Securities and Exchange Commission.</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 2023</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2"/>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DED7263"/>
    <w:multiLevelType w:val="hybridMultilevel"/>
    <w:lvl w:ilvl="0">
      <w:lvlJc w:val="left"/>
      <w:lvlText w:val="(%1)"/>
      <w:numFmt w:val="lowerRoman"/>
      <w:start w:val="3"/>
    </w:lvl>
  </w:abstractNum>
  <w:abstractNum w:abstractNumId="13">
    <w:nsid w:val="7FDCC233"/>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32" Type="http://schemas.openxmlformats.org/officeDocument/2006/relationships/hyperlink" Target="http://www.sec.gov/Archives/edgar/data/1453687/000110465916129891/a16-14002_1ex3d1.htm" TargetMode="External"/><Relationship Id="rId33" Type="http://schemas.openxmlformats.org/officeDocument/2006/relationships/hyperlink" Target="http://www.sec.gov/Archives/edgar/data/1453687/000145368722000109/exhibit31_charteramendment.htm" TargetMode="External"/><Relationship Id="rId34" Type="http://schemas.openxmlformats.org/officeDocument/2006/relationships/hyperlink" Target="http://www.sec.gov/Archives/edgar/data/1453687/000119312523275461/d869185dex33.htm" TargetMode="External"/><Relationship Id="rId35" Type="http://schemas.openxmlformats.org/officeDocument/2006/relationships/hyperlink" Target="http://www.sec.gov/Archives/edgar/data/1453687/000119312523276086/d549858dex32.htm" TargetMode="External"/><Relationship Id="rId36" Type="http://schemas.openxmlformats.org/officeDocument/2006/relationships/hyperlink" Target="http://www.sec.gov/Archives/edgar/data/1453687/000104746916013398/a2228672zex-4_2.htm" TargetMode="External"/><Relationship Id="rId37" Type="http://schemas.openxmlformats.org/officeDocument/2006/relationships/hyperlink" Target="http://www.sec.gov/Archives/edgar/data/1453687/000119312523263204/d541568dex42.htm" TargetMode="External"/><Relationship Id="rId38" Type="http://schemas.openxmlformats.org/officeDocument/2006/relationships/hyperlink" Target="http://www.sec.gov/Archives/edgar/data/1453687/000119312523263204/d541568dex51.htm" TargetMode="External"/><Relationship Id="rId39" Type="http://schemas.openxmlformats.org/officeDocument/2006/relationships/hyperlink" Target="http://www.sec.gov/Archives/edgar/data/1453687/000119312523263204/d541568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2023-12-01T07:35:36Z</dcterms:created>
  <dcterms:modified xsi:type="dcterms:W3CDTF">2023-12-01T07:35:36Z</dcterms:modified>
</cp:coreProperties>
</file>