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1"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-219710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20" w:type="dxa"/>
            <w:vAlign w:val="bottom"/>
          </w:tcPr>
          <w:p>
            <w:pPr>
              <w:jc w:val="center"/>
              <w:ind w:right="38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81"/>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22225</wp:posOffset>
            </wp:positionV>
            <wp:extent cx="7050405" cy="708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0405" cy="708660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120" w:space="620"/>
            <w:col w:w="8340"/>
          </w:cols>
          <w:pgMar w:left="460" w:top="211" w:right="359" w:bottom="0" w:gutter="0" w:footer="0" w:header="0"/>
        </w:sectPr>
      </w:pPr>
    </w:p>
    <w:p>
      <w:pPr>
        <w:spacing w:after="0" w:line="1"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Kurtoglu Metin</w:t>
        </w:r>
      </w:hyperlink>
    </w:p>
    <w:p>
      <w:pPr>
        <w:spacing w:after="0" w:line="280" w:lineRule="exact"/>
        <w:rPr>
          <w:sz w:val="24"/>
          <w:szCs w:val="24"/>
          <w:color w:val="auto"/>
        </w:rPr>
      </w:pPr>
    </w:p>
    <w:tbl>
      <w:tblPr>
        <w:tblLayout w:type="fixed"/>
        <w:tblInd w:w="6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(Last)</w:t>
            </w:r>
          </w:p>
        </w:tc>
        <w:tc>
          <w:tcPr>
            <w:tcW w:w="1520" w:type="dxa"/>
            <w:vAlign w:val="bottom"/>
          </w:tcPr>
          <w:p>
            <w:pPr>
              <w:ind w:left="420"/>
              <w:spacing w:after="0"/>
              <w:rPr>
                <w:sz w:val="20"/>
                <w:szCs w:val="20"/>
                <w:color w:val="auto"/>
              </w:rPr>
            </w:pPr>
            <w:r>
              <w:rPr>
                <w:rFonts w:ascii="Arial" w:cs="Arial" w:eastAsia="Arial" w:hAnsi="Arial"/>
                <w:sz w:val="12"/>
                <w:szCs w:val="12"/>
                <w:color w:val="auto"/>
              </w:rPr>
              <w:t>(First)</w:t>
            </w:r>
          </w:p>
        </w:tc>
        <w:tc>
          <w:tcPr>
            <w:tcW w:w="134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2"/>
        </w:trPr>
        <w:tc>
          <w:tcPr>
            <w:tcW w:w="4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CARTESIAN THERAPEUTICS, INC.</w:t>
            </w:r>
          </w:p>
        </w:tc>
      </w:tr>
      <w:tr>
        <w:trPr>
          <w:trHeight w:val="242"/>
        </w:trPr>
        <w:tc>
          <w:tcPr>
            <w:tcW w:w="40" w:type="dxa"/>
            <w:vAlign w:val="bottom"/>
          </w:tcPr>
          <w:p>
            <w:pPr>
              <w:spacing w:after="0"/>
              <w:rPr>
                <w:sz w:val="21"/>
                <w:szCs w:val="21"/>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704 QUINCE ORCHARD ROAD</w:t>
            </w:r>
          </w:p>
        </w:tc>
        <w:tc>
          <w:tcPr>
            <w:tcW w:w="1340" w:type="dxa"/>
            <w:vAlign w:val="bottom"/>
          </w:tcPr>
          <w:p>
            <w:pPr>
              <w:spacing w:after="0"/>
              <w:rPr>
                <w:sz w:val="21"/>
                <w:szCs w:val="21"/>
                <w:color w:val="auto"/>
              </w:rPr>
            </w:pPr>
          </w:p>
        </w:tc>
      </w:tr>
      <w:tr>
        <w:trPr>
          <w:trHeight w:val="137"/>
        </w:trPr>
        <w:tc>
          <w:tcPr>
            <w:tcW w:w="4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5"/>
        </w:trPr>
        <w:tc>
          <w:tcPr>
            <w:tcW w:w="4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GAITHERSBURG MD</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20878</w:t>
            </w:r>
          </w:p>
        </w:tc>
      </w:tr>
      <w:tr>
        <w:trPr>
          <w:trHeight w:val="137"/>
        </w:trPr>
        <w:tc>
          <w:tcPr>
            <w:tcW w:w="4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80"/>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(City)</w:t>
            </w:r>
          </w:p>
        </w:tc>
        <w:tc>
          <w:tcPr>
            <w:tcW w:w="1520" w:type="dxa"/>
            <w:vAlign w:val="bottom"/>
          </w:tcPr>
          <w:p>
            <w:pPr>
              <w:ind w:left="420"/>
              <w:spacing w:after="0"/>
              <w:rPr>
                <w:sz w:val="20"/>
                <w:szCs w:val="20"/>
                <w:color w:val="auto"/>
              </w:rPr>
            </w:pPr>
            <w:r>
              <w:rPr>
                <w:rFonts w:ascii="Arial" w:cs="Arial" w:eastAsia="Arial" w:hAnsi="Arial"/>
                <w:sz w:val="12"/>
                <w:szCs w:val="12"/>
                <w:color w:val="auto"/>
              </w:rPr>
              <w:t>(State)</w:t>
            </w:r>
          </w:p>
        </w:tc>
        <w:tc>
          <w:tcPr>
            <w:tcW w:w="134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84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Cartesian Therapeutics,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RNAC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340" w:type="dxa"/>
            <w:vAlign w:val="bottom"/>
          </w:tcPr>
          <w:p>
            <w:pPr>
              <w:ind w:left="12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6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6"/>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04/08/2024</w:t>
            </w: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Chief Technology Officer</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9"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5" w:lineRule="exact"/>
        <w:rPr>
          <w:sz w:val="24"/>
          <w:szCs w:val="24"/>
          <w:color w:val="auto"/>
        </w:rPr>
      </w:pPr>
    </w:p>
    <w:p>
      <w:pPr>
        <w:ind w:left="300" w:right="540"/>
        <w:spacing w:after="0" w:line="25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760" w:space="80"/>
            <w:col w:w="7240"/>
          </w:cols>
          <w:pgMar w:left="460" w:top="211"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2"/>
                <w:szCs w:val="12"/>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2"/>
                <w:szCs w:val="12"/>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463"/>
              <w:spacing w:after="0" w:line="121"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6"/>
              </w:rPr>
              <w:t>Transaction</w:t>
            </w:r>
          </w:p>
        </w:tc>
        <w:tc>
          <w:tcPr>
            <w:tcW w:w="202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ind w:left="340"/>
              <w:spacing w:after="0" w:line="121"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4"/>
        </w:trPr>
        <w:tc>
          <w:tcPr>
            <w:tcW w:w="13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51,033</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60" w:type="dxa"/>
            <w:vAlign w:val="bottom"/>
            <w:gridSpan w:val="12"/>
          </w:tcPr>
          <w:p>
            <w:pPr>
              <w:jc w:val="center"/>
              <w:ind w:right="126"/>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60" w:type="dxa"/>
            <w:vAlign w:val="bottom"/>
            <w:gridSpan w:val="9"/>
          </w:tcPr>
          <w:p>
            <w:pPr>
              <w:jc w:val="center"/>
              <w:ind w:right="33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6"/>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6"/>
              <w:spacing w:after="0" w:line="121"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9"/>
              </w:rPr>
              <w:t>Derivative Security (Instr.</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8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3 and 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1" w:lineRule="exact"/>
              <w:rPr>
                <w:sz w:val="20"/>
                <w:szCs w:val="20"/>
                <w:color w:val="auto"/>
              </w:rPr>
            </w:pPr>
            <w:r>
              <w:rPr>
                <w:rFonts w:ascii="Arial" w:cs="Arial" w:eastAsia="Arial" w:hAnsi="Arial"/>
                <w:sz w:val="11"/>
                <w:szCs w:val="11"/>
                <w:b w:val="1"/>
                <w:bCs w:val="1"/>
                <w:color w:val="auto"/>
              </w:rPr>
              <w:t>Expiration</w:t>
            </w:r>
          </w:p>
        </w:tc>
        <w:tc>
          <w:tcPr>
            <w:tcW w:w="70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940" w:type="dxa"/>
            <w:vAlign w:val="bottom"/>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Series A</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Non-Voting</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6,414.682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vMerge w:val="restart"/>
          </w:tcPr>
          <w:p>
            <w:pPr>
              <w:jc w:val="center"/>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46.77</w:t>
            </w:r>
          </w:p>
        </w:tc>
        <w:tc>
          <w:tcPr>
            <w:tcW w:w="10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04/08/2024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jc w:val="right"/>
              <w:ind w:right="463"/>
              <w:spacing w:after="0" w:line="133"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40" w:type="dxa"/>
            <w:vAlign w:val="bottom"/>
            <w:vMerge w:val="restart"/>
          </w:tcPr>
          <w:p>
            <w:pPr>
              <w:jc w:val="center"/>
              <w:ind w:left="163"/>
              <w:spacing w:after="0" w:line="133" w:lineRule="exact"/>
              <w:rPr>
                <w:sz w:val="20"/>
                <w:szCs w:val="20"/>
                <w:color w:val="auto"/>
              </w:rPr>
            </w:pPr>
            <w:r>
              <w:rPr>
                <w:rFonts w:ascii="Times New Roman" w:cs="Times New Roman" w:eastAsia="Times New Roman" w:hAnsi="Times New Roman"/>
                <w:sz w:val="12"/>
                <w:szCs w:val="12"/>
                <w:color w:val="0000FF"/>
                <w:w w:val="99"/>
              </w:rPr>
              <w:t>6,414.682</w:t>
            </w:r>
          </w:p>
        </w:tc>
        <w:tc>
          <w:tcPr>
            <w:tcW w:w="740" w:type="dxa"/>
            <w:vAlign w:val="bottom"/>
            <w:gridSpan w:val="2"/>
            <w:vMerge w:val="continue"/>
          </w:tcPr>
          <w:p>
            <w:pPr>
              <w:spacing w:after="0"/>
              <w:rPr>
                <w:sz w:val="5"/>
                <w:szCs w:val="5"/>
                <w:color w:val="auto"/>
              </w:rPr>
            </w:pPr>
          </w:p>
        </w:tc>
        <w:tc>
          <w:tcPr>
            <w:tcW w:w="620" w:type="dxa"/>
            <w:vAlign w:val="bottom"/>
            <w:vMerge w:val="restart"/>
          </w:tcPr>
          <w:p>
            <w:pPr>
              <w:spacing w:after="0" w:line="133" w:lineRule="exact"/>
              <w:rPr>
                <w:sz w:val="20"/>
                <w:szCs w:val="20"/>
                <w:color w:val="auto"/>
              </w:rPr>
            </w:pPr>
            <w:r>
              <w:rPr>
                <w:rFonts w:ascii="Times New Roman" w:cs="Times New Roman" w:eastAsia="Times New Roman" w:hAnsi="Times New Roman"/>
                <w:sz w:val="12"/>
                <w:szCs w:val="12"/>
                <w:color w:val="0000FF"/>
              </w:rPr>
              <w:t>11/06/2026</w:t>
            </w: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60" w:type="dxa"/>
            <w:vAlign w:val="bottom"/>
            <w:vMerge w:val="restart"/>
          </w:tcPr>
          <w:p>
            <w:pPr>
              <w:jc w:val="center"/>
              <w:ind w:left="263"/>
              <w:spacing w:after="0" w:line="133"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0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04/08/2024</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ind w:right="463"/>
              <w:spacing w:after="0"/>
              <w:rPr>
                <w:sz w:val="20"/>
                <w:szCs w:val="20"/>
                <w:color w:val="auto"/>
              </w:rPr>
            </w:pPr>
            <w:r>
              <w:rPr>
                <w:rFonts w:ascii="Times New Roman" w:cs="Times New Roman" w:eastAsia="Times New Roman" w:hAnsi="Times New Roman"/>
                <w:sz w:val="12"/>
                <w:szCs w:val="12"/>
                <w:color w:val="0000FF"/>
              </w:rPr>
              <w:t>M</w:t>
            </w:r>
          </w:p>
        </w:tc>
        <w:tc>
          <w:tcPr>
            <w:tcW w:w="1160" w:type="dxa"/>
            <w:vAlign w:val="bottom"/>
            <w:gridSpan w:val="2"/>
            <w:vMerge w:val="restart"/>
          </w:tcPr>
          <w:p>
            <w:pPr>
              <w:jc w:val="center"/>
              <w:ind w:right="623"/>
              <w:spacing w:after="0"/>
              <w:rPr>
                <w:sz w:val="20"/>
                <w:szCs w:val="20"/>
                <w:color w:val="auto"/>
              </w:rPr>
            </w:pPr>
            <w:r>
              <w:rPr>
                <w:rFonts w:ascii="Times New Roman" w:cs="Times New Roman" w:eastAsia="Times New Roman" w:hAnsi="Times New Roman"/>
                <w:sz w:val="12"/>
                <w:szCs w:val="12"/>
                <w:color w:val="0000FF"/>
              </w:rPr>
              <w:t>213,820</w:t>
            </w:r>
          </w:p>
        </w:tc>
        <w:tc>
          <w:tcPr>
            <w:tcW w:w="74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11/06/2026</w:t>
            </w: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1"/>
              </w:rPr>
              <w:t>213,820</w:t>
            </w:r>
            <w:r>
              <w:rPr>
                <w:rFonts w:ascii="Times New Roman" w:cs="Times New Roman" w:eastAsia="Times New Roman" w:hAnsi="Times New Roman"/>
                <w:sz w:val="20"/>
                <w:szCs w:val="20"/>
                <w:color w:val="008000"/>
                <w:w w:val="91"/>
                <w:vertAlign w:val="superscript"/>
              </w:rPr>
              <w:t>(1)</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213,820</w:t>
            </w:r>
            <w:r>
              <w:rPr>
                <w:rFonts w:ascii="Times New Roman" w:cs="Times New Roman" w:eastAsia="Times New Roman" w:hAnsi="Times New Roman"/>
                <w:sz w:val="20"/>
                <w:szCs w:val="20"/>
                <w:color w:val="008000"/>
                <w:w w:val="95"/>
                <w:vertAlign w:val="superscript"/>
              </w:rPr>
              <w:t>(1)</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Series A</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Non-Voting</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427.645</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vMerge w:val="restart"/>
          </w:tcPr>
          <w:p>
            <w:pPr>
              <w:jc w:val="center"/>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107.59</w:t>
            </w:r>
          </w:p>
        </w:tc>
        <w:tc>
          <w:tcPr>
            <w:tcW w:w="10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04/08/2024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jc w:val="right"/>
              <w:ind w:right="463"/>
              <w:spacing w:after="0" w:line="133"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40" w:type="dxa"/>
            <w:vAlign w:val="bottom"/>
            <w:vMerge w:val="restart"/>
          </w:tcPr>
          <w:p>
            <w:pPr>
              <w:jc w:val="center"/>
              <w:ind w:left="163"/>
              <w:spacing w:after="0" w:line="133" w:lineRule="exact"/>
              <w:rPr>
                <w:sz w:val="20"/>
                <w:szCs w:val="20"/>
                <w:color w:val="auto"/>
              </w:rPr>
            </w:pPr>
            <w:r>
              <w:rPr>
                <w:rFonts w:ascii="Times New Roman" w:cs="Times New Roman" w:eastAsia="Times New Roman" w:hAnsi="Times New Roman"/>
                <w:sz w:val="12"/>
                <w:szCs w:val="12"/>
                <w:color w:val="0000FF"/>
              </w:rPr>
              <w:t>427.645</w:t>
            </w:r>
          </w:p>
        </w:tc>
        <w:tc>
          <w:tcPr>
            <w:tcW w:w="740" w:type="dxa"/>
            <w:vAlign w:val="bottom"/>
            <w:gridSpan w:val="2"/>
            <w:vMerge w:val="continue"/>
          </w:tcPr>
          <w:p>
            <w:pPr>
              <w:spacing w:after="0"/>
              <w:rPr>
                <w:sz w:val="5"/>
                <w:szCs w:val="5"/>
                <w:color w:val="auto"/>
              </w:rPr>
            </w:pPr>
          </w:p>
        </w:tc>
        <w:tc>
          <w:tcPr>
            <w:tcW w:w="620" w:type="dxa"/>
            <w:vAlign w:val="bottom"/>
            <w:vMerge w:val="restart"/>
          </w:tcPr>
          <w:p>
            <w:pPr>
              <w:spacing w:after="0" w:line="133" w:lineRule="exact"/>
              <w:rPr>
                <w:sz w:val="20"/>
                <w:szCs w:val="20"/>
                <w:color w:val="auto"/>
              </w:rPr>
            </w:pPr>
            <w:r>
              <w:rPr>
                <w:rFonts w:ascii="Times New Roman" w:cs="Times New Roman" w:eastAsia="Times New Roman" w:hAnsi="Times New Roman"/>
                <w:sz w:val="12"/>
                <w:szCs w:val="12"/>
                <w:color w:val="0000FF"/>
              </w:rPr>
              <w:t>04/25/2031</w:t>
            </w: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60" w:type="dxa"/>
            <w:vAlign w:val="bottom"/>
            <w:vMerge w:val="restart"/>
          </w:tcPr>
          <w:p>
            <w:pPr>
              <w:jc w:val="center"/>
              <w:ind w:left="263"/>
              <w:spacing w:after="0" w:line="133"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0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04/08/2024</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ind w:right="463"/>
              <w:spacing w:after="0"/>
              <w:rPr>
                <w:sz w:val="20"/>
                <w:szCs w:val="20"/>
                <w:color w:val="auto"/>
              </w:rPr>
            </w:pPr>
            <w:r>
              <w:rPr>
                <w:rFonts w:ascii="Times New Roman" w:cs="Times New Roman" w:eastAsia="Times New Roman" w:hAnsi="Times New Roman"/>
                <w:sz w:val="12"/>
                <w:szCs w:val="12"/>
                <w:color w:val="0000FF"/>
              </w:rPr>
              <w:t>M</w:t>
            </w:r>
          </w:p>
        </w:tc>
        <w:tc>
          <w:tcPr>
            <w:tcW w:w="1160" w:type="dxa"/>
            <w:vAlign w:val="bottom"/>
            <w:gridSpan w:val="2"/>
            <w:vMerge w:val="restart"/>
          </w:tcPr>
          <w:p>
            <w:pPr>
              <w:jc w:val="center"/>
              <w:ind w:right="623"/>
              <w:spacing w:after="0"/>
              <w:rPr>
                <w:sz w:val="20"/>
                <w:szCs w:val="20"/>
                <w:color w:val="auto"/>
              </w:rPr>
            </w:pPr>
            <w:r>
              <w:rPr>
                <w:rFonts w:ascii="Times New Roman" w:cs="Times New Roman" w:eastAsia="Times New Roman" w:hAnsi="Times New Roman"/>
                <w:sz w:val="12"/>
                <w:szCs w:val="12"/>
                <w:color w:val="0000FF"/>
                <w:w w:val="96"/>
              </w:rPr>
              <w:t>14,254</w:t>
            </w:r>
          </w:p>
        </w:tc>
        <w:tc>
          <w:tcPr>
            <w:tcW w:w="74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04/25/2031</w:t>
            </w: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0"/>
              </w:rPr>
              <w:t>14,254</w:t>
            </w:r>
            <w:r>
              <w:rPr>
                <w:rFonts w:ascii="Times New Roman" w:cs="Times New Roman" w:eastAsia="Times New Roman" w:hAnsi="Times New Roman"/>
                <w:sz w:val="20"/>
                <w:szCs w:val="20"/>
                <w:color w:val="008000"/>
                <w:w w:val="90"/>
                <w:vertAlign w:val="superscript"/>
              </w:rPr>
              <w:t>(1)</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0"/>
              </w:rPr>
              <w:t>14,254</w:t>
            </w:r>
            <w:r>
              <w:rPr>
                <w:rFonts w:ascii="Times New Roman" w:cs="Times New Roman" w:eastAsia="Times New Roman" w:hAnsi="Times New Roman"/>
                <w:sz w:val="20"/>
                <w:szCs w:val="20"/>
                <w:color w:val="008000"/>
                <w:w w:val="90"/>
                <w:vertAlign w:val="superscript"/>
              </w:rPr>
              <w:t>(1)</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Series A</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Non-Voting</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427.646</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vMerge w:val="restart"/>
          </w:tcPr>
          <w:p>
            <w:pPr>
              <w:jc w:val="center"/>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107.59</w:t>
            </w:r>
          </w:p>
        </w:tc>
        <w:tc>
          <w:tcPr>
            <w:tcW w:w="10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04/08/2024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jc w:val="right"/>
              <w:ind w:right="463"/>
              <w:spacing w:after="0" w:line="133"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40" w:type="dxa"/>
            <w:vAlign w:val="bottom"/>
            <w:vMerge w:val="restart"/>
          </w:tcPr>
          <w:p>
            <w:pPr>
              <w:jc w:val="center"/>
              <w:ind w:left="163"/>
              <w:spacing w:after="0" w:line="133" w:lineRule="exact"/>
              <w:rPr>
                <w:sz w:val="20"/>
                <w:szCs w:val="20"/>
                <w:color w:val="auto"/>
              </w:rPr>
            </w:pPr>
            <w:r>
              <w:rPr>
                <w:rFonts w:ascii="Times New Roman" w:cs="Times New Roman" w:eastAsia="Times New Roman" w:hAnsi="Times New Roman"/>
                <w:sz w:val="12"/>
                <w:szCs w:val="12"/>
                <w:color w:val="0000FF"/>
              </w:rPr>
              <w:t>427.646</w:t>
            </w:r>
          </w:p>
        </w:tc>
        <w:tc>
          <w:tcPr>
            <w:tcW w:w="740" w:type="dxa"/>
            <w:vAlign w:val="bottom"/>
            <w:gridSpan w:val="2"/>
            <w:vMerge w:val="continue"/>
          </w:tcPr>
          <w:p>
            <w:pPr>
              <w:spacing w:after="0"/>
              <w:rPr>
                <w:sz w:val="5"/>
                <w:szCs w:val="5"/>
                <w:color w:val="auto"/>
              </w:rPr>
            </w:pPr>
          </w:p>
        </w:tc>
        <w:tc>
          <w:tcPr>
            <w:tcW w:w="620" w:type="dxa"/>
            <w:vAlign w:val="bottom"/>
            <w:vMerge w:val="restart"/>
          </w:tcPr>
          <w:p>
            <w:pPr>
              <w:spacing w:after="0" w:line="133" w:lineRule="exact"/>
              <w:rPr>
                <w:sz w:val="20"/>
                <w:szCs w:val="20"/>
                <w:color w:val="auto"/>
              </w:rPr>
            </w:pPr>
            <w:r>
              <w:rPr>
                <w:rFonts w:ascii="Times New Roman" w:cs="Times New Roman" w:eastAsia="Times New Roman" w:hAnsi="Times New Roman"/>
                <w:sz w:val="12"/>
                <w:szCs w:val="12"/>
                <w:color w:val="0000FF"/>
              </w:rPr>
              <w:t>01/15/2033</w:t>
            </w: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60" w:type="dxa"/>
            <w:vAlign w:val="bottom"/>
            <w:vMerge w:val="restart"/>
          </w:tcPr>
          <w:p>
            <w:pPr>
              <w:jc w:val="center"/>
              <w:ind w:left="263"/>
              <w:spacing w:after="0" w:line="133"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0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04/08/2024</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ind w:right="463"/>
              <w:spacing w:after="0"/>
              <w:rPr>
                <w:sz w:val="20"/>
                <w:szCs w:val="20"/>
                <w:color w:val="auto"/>
              </w:rPr>
            </w:pPr>
            <w:r>
              <w:rPr>
                <w:rFonts w:ascii="Times New Roman" w:cs="Times New Roman" w:eastAsia="Times New Roman" w:hAnsi="Times New Roman"/>
                <w:sz w:val="12"/>
                <w:szCs w:val="12"/>
                <w:color w:val="0000FF"/>
              </w:rPr>
              <w:t>M</w:t>
            </w:r>
          </w:p>
        </w:tc>
        <w:tc>
          <w:tcPr>
            <w:tcW w:w="1160" w:type="dxa"/>
            <w:vAlign w:val="bottom"/>
            <w:gridSpan w:val="2"/>
            <w:vMerge w:val="restart"/>
          </w:tcPr>
          <w:p>
            <w:pPr>
              <w:jc w:val="center"/>
              <w:ind w:right="623"/>
              <w:spacing w:after="0"/>
              <w:rPr>
                <w:sz w:val="20"/>
                <w:szCs w:val="20"/>
                <w:color w:val="auto"/>
              </w:rPr>
            </w:pPr>
            <w:r>
              <w:rPr>
                <w:rFonts w:ascii="Times New Roman" w:cs="Times New Roman" w:eastAsia="Times New Roman" w:hAnsi="Times New Roman"/>
                <w:sz w:val="12"/>
                <w:szCs w:val="12"/>
                <w:color w:val="0000FF"/>
                <w:w w:val="96"/>
              </w:rPr>
              <w:t>14,254</w:t>
            </w:r>
          </w:p>
        </w:tc>
        <w:tc>
          <w:tcPr>
            <w:tcW w:w="74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02/29/2032</w:t>
            </w: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0"/>
              </w:rPr>
              <w:t>14,254</w:t>
            </w:r>
            <w:r>
              <w:rPr>
                <w:rFonts w:ascii="Times New Roman" w:cs="Times New Roman" w:eastAsia="Times New Roman" w:hAnsi="Times New Roman"/>
                <w:sz w:val="20"/>
                <w:szCs w:val="20"/>
                <w:color w:val="008000"/>
                <w:w w:val="90"/>
                <w:vertAlign w:val="superscript"/>
              </w:rPr>
              <w:t>(1)</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0"/>
              </w:rPr>
              <w:t>14,254</w:t>
            </w:r>
            <w:r>
              <w:rPr>
                <w:rFonts w:ascii="Times New Roman" w:cs="Times New Roman" w:eastAsia="Times New Roman" w:hAnsi="Times New Roman"/>
                <w:sz w:val="20"/>
                <w:szCs w:val="20"/>
                <w:color w:val="008000"/>
                <w:w w:val="90"/>
                <w:vertAlign w:val="superscript"/>
              </w:rPr>
              <w:t>(1)</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19.656</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01/01/2034</w:t>
            </w: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0"/>
              </w:rPr>
              <w:t>65,499</w:t>
            </w:r>
            <w:r>
              <w:rPr>
                <w:rFonts w:ascii="Times New Roman" w:cs="Times New Roman" w:eastAsia="Times New Roman" w:hAnsi="Times New Roman"/>
                <w:sz w:val="20"/>
                <w:szCs w:val="20"/>
                <w:color w:val="008000"/>
                <w:w w:val="90"/>
                <w:vertAlign w:val="superscript"/>
              </w:rPr>
              <w:t>(1)</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0"/>
              </w:rPr>
              <w:t>65,499</w:t>
            </w:r>
            <w:r>
              <w:rPr>
                <w:rFonts w:ascii="Times New Roman" w:cs="Times New Roman" w:eastAsia="Times New Roman" w:hAnsi="Times New Roman"/>
                <w:sz w:val="20"/>
                <w:szCs w:val="20"/>
                <w:color w:val="008000"/>
                <w:w w:val="90"/>
                <w:vertAlign w:val="superscript"/>
              </w:rPr>
              <w:t>(1)</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40" w:right="48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4, 2024, the issuer effected a 1-for-30 reverse stock split (the "Reverse Stock Split") of its common stock ("Common Stock"). The amount of securities reported on this Form 4 has been adjusted to reflect the Reverse Stock Split.</w:t>
      </w:r>
    </w:p>
    <w:p>
      <w:pPr>
        <w:spacing w:after="0" w:line="9" w:lineRule="exact"/>
        <w:rPr>
          <w:rFonts w:ascii="Times New Roman" w:cs="Times New Roman" w:eastAsia="Times New Roman" w:hAnsi="Times New Roman"/>
          <w:sz w:val="12"/>
          <w:szCs w:val="12"/>
          <w:color w:val="008000"/>
        </w:rPr>
      </w:pPr>
    </w:p>
    <w:p>
      <w:pPr>
        <w:ind w:left="40" w:right="14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27, 2024, the issuer held a special meeting of stockholders (the "Special Meeting"). At the Special Meeting, the stockholders of the issuer approved the Reverse Stock Split and the conversion of the issuer's Series A Non-Voting Convertible Preferred Stock ("Series A Preferred Stock") into shares of Common Stock. On April 8, 2024, the conversion of the majority of the shares of Series A Preferred Stock occurred automatically (the "Automatic Conversion"). The remaining shares of Series A Preferred Stock remain subject to certain beneficial ownership limitations described in the issuer's filings with the Securities and Exchange Commission. Prior to the Automatic Conversion, the option was fully exercisable.</w:t>
      </w:r>
    </w:p>
    <w:p>
      <w:pPr>
        <w:spacing w:after="0" w:line="23" w:lineRule="exact"/>
        <w:rPr>
          <w:rFonts w:ascii="Times New Roman" w:cs="Times New Roman" w:eastAsia="Times New Roman" w:hAnsi="Times New Roman"/>
          <w:sz w:val="12"/>
          <w:szCs w:val="12"/>
          <w:color w:val="008000"/>
        </w:rPr>
      </w:pPr>
    </w:p>
    <w:p>
      <w:pPr>
        <w:ind w:left="40" w:right="40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Series A Preferred Stock in connection with the acquisition.</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Automatic Conversion, the option is fully exercisable.</w:t>
      </w:r>
    </w:p>
    <w:p>
      <w:pPr>
        <w:spacing w:after="0" w:line="4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Automatic Conversion, options previously exercisable for shares of Series A Preferred Stock may be exercised solely for shares of Common Stock.</w:t>
      </w:r>
    </w:p>
    <w:p>
      <w:pPr>
        <w:spacing w:after="0" w:line="43" w:lineRule="exact"/>
        <w:rPr>
          <w:rFonts w:ascii="Times New Roman" w:cs="Times New Roman" w:eastAsia="Times New Roman" w:hAnsi="Times New Roman"/>
          <w:sz w:val="12"/>
          <w:szCs w:val="12"/>
          <w:color w:val="008000"/>
        </w:rPr>
      </w:pPr>
    </w:p>
    <w:p>
      <w:pPr>
        <w:ind w:left="40" w:right="2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Prior to the Automatic Conversion, the option was exercisable for 213.823 shares of Series A Preferred Stock and would have become exercisable for the remaining 213.823 shares of Series A Preferred Stock in two equal tranches on March 1, 2025 and 2026.</w:t>
      </w:r>
    </w:p>
    <w:p>
      <w:pPr>
        <w:spacing w:after="0" w:line="9" w:lineRule="exact"/>
        <w:rPr>
          <w:rFonts w:ascii="Times New Roman" w:cs="Times New Roman" w:eastAsia="Times New Roman" w:hAnsi="Times New Roman"/>
          <w:sz w:val="12"/>
          <w:szCs w:val="12"/>
          <w:color w:val="008000"/>
        </w:rPr>
      </w:pPr>
    </w:p>
    <w:p>
      <w:pPr>
        <w:ind w:left="40" w:right="38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Automatic Conversion, the option is currently exercisable for 7,127 shares of Common Stock and becomes exercisable for the remaining 7,127 shares of Common Stock in two equal tranches on March 1, 2025 and 2026.</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vests as to 25% on January 2, 2025. The remainder of the underlying shares will vest in three equal annual installments thereafter so that the underlying shares will be fully vested on January 2, 2028.</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-8255</wp:posOffset>
            </wp:positionV>
            <wp:extent cx="1038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8860" cy="7620"/>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Metin</w:t>
      </w:r>
      <w:r>
        <w:rPr>
          <w:sz w:val="20"/>
          <w:szCs w:val="20"/>
          <w:color w:val="auto"/>
        </w:rPr>
        <w:tab/>
      </w:r>
      <w:r>
        <w:rPr>
          <w:rFonts w:ascii="Times New Roman" w:cs="Times New Roman" w:eastAsia="Times New Roman" w:hAnsi="Times New Roman"/>
          <w:sz w:val="15"/>
          <w:szCs w:val="15"/>
          <w:color w:val="0000FF"/>
        </w:rPr>
        <w:t>04/10/2024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18510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10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Kurtoglu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3600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7620"/>
                    </a:xfrm>
                    <a:prstGeom prst="rect">
                      <a:avLst/>
                    </a:prstGeom>
                    <a:noFill/>
                  </pic:spPr>
                </pic:pic>
              </a:graphicData>
            </a:graphic>
          </wp:anchor>
        </w:drawing>
      </w:r>
    </w:p>
    <w:p>
      <w:pPr>
        <w:sectPr>
          <w:pgSz w:w="11900" w:h="16838" w:orient="portrait"/>
          <w:cols w:equalWidth="0" w:num="1">
            <w:col w:w="11080"/>
          </w:cols>
          <w:pgMar w:left="460" w:top="211" w:right="359" w:bottom="0" w:gutter="0" w:footer="0" w:header="0"/>
          <w:type w:val="continuous"/>
        </w:sectPr>
      </w:pPr>
    </w:p>
    <w:p>
      <w:pPr>
        <w:spacing w:after="0" w:line="4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1" w:right="359" w:bottom="0" w:gutter="0" w:footer="0" w:header="0"/>
          <w:type w:val="continuous"/>
        </w:sectPr>
      </w:pPr>
    </w:p>
    <w:bookmarkStart w:id="1" w:name="page2"/>
    <w:bookmarkEnd w:id="1"/>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2999" w:hanging="7"/>
        <w:spacing w:after="0" w:line="31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6"/>
      </w:cols>
      <w:pgMar w:left="493"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0028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2024-04-10T20:34:26Z</dcterms:created>
  <dcterms:modified xsi:type="dcterms:W3CDTF">2024-04-10T20:34:26Z</dcterms:modified>
</cp:coreProperties>
</file>