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88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888865"/>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Kalayoglu Murat</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Cartesian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1500" w:type="dxa"/>
            <w:vAlign w:val="bottom"/>
          </w:tcPr>
          <w:p>
            <w:pPr>
              <w:spacing w:after="0"/>
              <w:rPr>
                <w:sz w:val="4"/>
                <w:szCs w:val="4"/>
                <w:color w:val="auto"/>
              </w:rPr>
            </w:pPr>
          </w:p>
        </w:tc>
        <w:tc>
          <w:tcPr>
            <w:tcW w:w="1820" w:type="dxa"/>
            <w:vAlign w:val="bottom"/>
            <w:vMerge w:val="restart"/>
          </w:tcPr>
          <w:p>
            <w:pPr>
              <w:ind w:left="600"/>
              <w:spacing w:after="0" w:line="146" w:lineRule="exact"/>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2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line="146"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1820" w:type="dxa"/>
            <w:vAlign w:val="bottom"/>
          </w:tcPr>
          <w:p>
            <w:pPr>
              <w:ind w:left="600"/>
              <w:spacing w:after="0" w:line="126"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04/02/2026</w:t>
            </w:r>
          </w:p>
        </w:tc>
        <w:tc>
          <w:tcPr>
            <w:tcW w:w="1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SOAR BIO, LLC</w:t>
            </w:r>
          </w:p>
        </w:tc>
        <w:tc>
          <w:tcPr>
            <w:tcW w:w="122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7144 13TH PL NW</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1440"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WASHINGTON</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DC</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20012</w:t>
            </w:r>
          </w:p>
        </w:tc>
      </w:tr>
      <w:tr>
        <w:trPr>
          <w:trHeight w:val="144"/>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7" w:lineRule="exact"/>
        <w:rPr>
          <w:sz w:val="20"/>
          <w:szCs w:val="20"/>
          <w:color w:val="auto"/>
        </w:rPr>
      </w:pPr>
    </w:p>
    <w:p>
      <w:pPr>
        <w:sectPr>
          <w:pgSz w:w="11900" w:h="16838" w:orient="portrait"/>
          <w:cols w:equalWidth="0" w:num="2">
            <w:col w:w="7540" w:space="720"/>
            <w:col w:w="282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4"/>
                <w:szCs w:val="24"/>
                <w:color w:val="auto"/>
              </w:rPr>
            </w:pPr>
          </w:p>
        </w:tc>
        <w:tc>
          <w:tcPr>
            <w:tcW w:w="1820" w:type="dxa"/>
            <w:vAlign w:val="bottom"/>
            <w:gridSpan w:val="3"/>
          </w:tcPr>
          <w:p>
            <w:pPr>
              <w:ind w:left="920"/>
              <w:spacing w:after="0"/>
              <w:rPr>
                <w:sz w:val="20"/>
                <w:szCs w:val="20"/>
                <w:color w:val="auto"/>
              </w:rPr>
            </w:pPr>
            <w:r>
              <w:rPr>
                <w:rFonts w:ascii="Times New Roman" w:cs="Times New Roman" w:eastAsia="Times New Roman" w:hAnsi="Times New Roman"/>
                <w:sz w:val="16"/>
                <w:szCs w:val="16"/>
                <w:color w:val="0000FF"/>
              </w:rPr>
              <w:t>04/02/2026</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758,001</w:t>
            </w: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tcPr>
          <w:p>
            <w:pPr>
              <w:jc w:val="right"/>
              <w:ind w:right="263"/>
              <w:spacing w:after="0"/>
              <w:rPr>
                <w:sz w:val="20"/>
                <w:szCs w:val="20"/>
                <w:color w:val="auto"/>
              </w:rPr>
            </w:pPr>
            <w:r>
              <w:rPr>
                <w:rFonts w:ascii="Times New Roman" w:cs="Times New Roman" w:eastAsia="Times New Roman" w:hAnsi="Times New Roman"/>
                <w:sz w:val="16"/>
                <w:szCs w:val="16"/>
                <w:color w:val="0000FF"/>
              </w:rPr>
              <w:t>5,313,261</w:t>
            </w:r>
          </w:p>
        </w:tc>
        <w:tc>
          <w:tcPr>
            <w:tcW w:w="28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506,999</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Non-Voting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758,001</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vMerge w:val="continue"/>
          </w:tcPr>
          <w:p>
            <w:pPr>
              <w:spacing w:after="0"/>
              <w:rPr>
                <w:sz w:val="10"/>
                <w:szCs w:val="10"/>
                <w:color w:val="auto"/>
              </w:rPr>
            </w:pPr>
          </w:p>
        </w:tc>
        <w:tc>
          <w:tcPr>
            <w:tcW w:w="1040" w:type="dxa"/>
            <w:vAlign w:val="bottom"/>
          </w:tcPr>
          <w:p>
            <w:pPr>
              <w:jc w:val="right"/>
              <w:ind w:right="162"/>
              <w:spacing w:after="0" w:line="126" w:lineRule="exact"/>
              <w:rPr>
                <w:sz w:val="20"/>
                <w:szCs w:val="20"/>
                <w:color w:val="auto"/>
              </w:rPr>
            </w:pPr>
            <w:r>
              <w:rPr>
                <w:rFonts w:ascii="Times New Roman" w:cs="Times New Roman" w:eastAsia="Times New Roman" w:hAnsi="Times New Roman"/>
                <w:sz w:val="13"/>
                <w:szCs w:val="13"/>
                <w:color w:val="0000FF"/>
              </w:rPr>
              <w:t>04/02/2026</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ind w:left="400"/>
              <w:spacing w:after="0" w:line="126" w:lineRule="exact"/>
              <w:rPr>
                <w:sz w:val="20"/>
                <w:szCs w:val="20"/>
                <w:color w:val="auto"/>
              </w:rPr>
            </w:pPr>
            <w:r>
              <w:rPr>
                <w:rFonts w:ascii="Times New Roman" w:cs="Times New Roman" w:eastAsia="Times New Roman" w:hAnsi="Times New Roman"/>
                <w:sz w:val="13"/>
                <w:szCs w:val="13"/>
                <w:color w:val="0000FF"/>
              </w:rPr>
              <w:t>22,740.03</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3"/>
                <w:szCs w:val="13"/>
                <w:color w:val="0000FF"/>
              </w:rPr>
              <w:t>33,662.224</w:t>
            </w:r>
          </w:p>
        </w:tc>
        <w:tc>
          <w:tcPr>
            <w:tcW w:w="64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56"/>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4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 2026, a trust (the "Trust") for the benefit of the reporting person's spouse and children elected to convert a portion of its shares of the issuer's Series A Non-Voting Convertible Preferred Stock into shares of the issuer's common stock. The remaining shares of the issuer's Series A Non-Voting Convertible Preferred Stock held by the Trust are subject to a beneficial ownership limitation.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Trust for the benefit of the reporting person's spouse and children. The reporting person's spouse is a trustee of the Trust.</w:t>
      </w:r>
    </w:p>
    <w:p>
      <w:pPr>
        <w:spacing w:after="0" w:line="39" w:lineRule="exact"/>
        <w:rPr>
          <w:rFonts w:ascii="Times New Roman" w:cs="Times New Roman" w:eastAsia="Times New Roman" w:hAnsi="Times New Roman"/>
          <w:sz w:val="13"/>
          <w:szCs w:val="13"/>
          <w:color w:val="008000"/>
        </w:rPr>
      </w:pPr>
    </w:p>
    <w:p>
      <w:pPr>
        <w:ind w:left="40" w:right="580" w:hanging="2"/>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in accordance with the terms of an Agreement and Plan of Merger, dated November 13, 2023 (the "Merger"). These securities represent merger consideration payable as a result of the closing of the Merger and securities purchased in a private placement in November 2023.</w:t>
      </w:r>
    </w:p>
    <w:p>
      <w:pPr>
        <w:spacing w:after="0" w:line="1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Murat Kalayoglu</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04/06/2026</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0002"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2026-04-06T15:31:28Z</dcterms:created>
  <dcterms:modified xsi:type="dcterms:W3CDTF">2026-04-06T15:31:28Z</dcterms:modified>
</cp:coreProperties>
</file>