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394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394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91"/>
                </w:rPr>
                <w:t>Tan Kevin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78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restart"/>
          </w:tcPr>
          <w:p>
            <w:pPr>
              <w:ind w:left="14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09/20/2021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 GROVE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WATERTOWN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750,000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4.17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09/20/2021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09/19/2031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This option will vest as to 25% on September 20, 2022. The remainder of the underlying shares will vest in 36 equal monthly installments thereafter.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Matthew Bartholomae,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09/22/2021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Attorney-in-Fact for Kevin Tan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7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 xml:space="preserve"> Instruction 4 (b)(v).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84056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2021-09-22T15:21:47Z</dcterms:created>
  <dcterms:modified xsi:type="dcterms:W3CDTF">2021-09-22T15:21:47Z</dcterms:modified>
</cp:coreProperties>
</file>