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10,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333-275171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CARTESIAN THERAPEUTICS, INC.</w:t>
      </w:r>
    </w:p>
    <w:tbl>
      <w:tblPr>
        <w:tblLayout w:type="fixed"/>
        <w:tblInd w:w="700" w:type="dxa"/>
        <w:tblCellMar>
          <w:top w:w="0" w:type="dxa"/>
          <w:left w:w="0" w:type="dxa"/>
          <w:bottom w:w="0" w:type="dxa"/>
          <w:right w:w="0" w:type="dxa"/>
        </w:tblCellMar>
      </w:tblPr>
      <w:tr>
        <w:trPr>
          <w:trHeight w:val="199"/>
        </w:trPr>
        <w:tc>
          <w:tcPr>
            <w:tcW w:w="2640" w:type="dxa"/>
            <w:vAlign w:val="bottom"/>
          </w:tcPr>
          <w:p>
            <w:pPr>
              <w:spacing w:after="0"/>
              <w:rPr>
                <w:sz w:val="17"/>
                <w:szCs w:val="17"/>
                <w:color w:val="auto"/>
              </w:rPr>
            </w:pPr>
          </w:p>
        </w:tc>
        <w:tc>
          <w:tcPr>
            <w:tcW w:w="4700" w:type="dxa"/>
            <w:vAlign w:val="bottom"/>
          </w:tcPr>
          <w:p>
            <w:pPr>
              <w:jc w:val="center"/>
              <w:ind w:right="30"/>
              <w:spacing w:after="0" w:line="199" w:lineRule="exact"/>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220" w:type="dxa"/>
            <w:vAlign w:val="bottom"/>
          </w:tcPr>
          <w:p>
            <w:pPr>
              <w:spacing w:after="0"/>
              <w:rPr>
                <w:sz w:val="17"/>
                <w:szCs w:val="17"/>
                <w:color w:val="auto"/>
              </w:rPr>
            </w:pPr>
          </w:p>
        </w:tc>
      </w:tr>
      <w:tr>
        <w:trPr>
          <w:trHeight w:val="216"/>
        </w:trPr>
        <w:tc>
          <w:tcPr>
            <w:tcW w:w="26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2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216"/>
        </w:trPr>
        <w:tc>
          <w:tcPr>
            <w:tcW w:w="26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4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2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22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7495 New Horizon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Frederick, Maryland 21703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(301) 348-8698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Carsten Brunn,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7495 New Horizon 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Frederick, Maryland 21703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(301) 348-8698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K. Rosenzweig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Sarah C. Griffiths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Covington &amp; Burling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International Place, Suite 1020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603-8805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this registration statement becomes effective.</w:t>
      </w:r>
    </w:p>
    <w:p>
      <w:pPr>
        <w:spacing w:after="0" w:line="22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225" w:right="339" w:bottom="0" w:gutter="0" w:footer="0" w:header="0"/>
        </w:sectPr>
      </w:pPr>
    </w:p>
    <w:bookmarkStart w:id="1" w:name="page2"/>
    <w:bookmarkEnd w:id="1"/>
    <w:p>
      <w:pPr>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 w:name="page3"/>
    <w:bookmarkEnd w:id="2"/>
    <w:p>
      <w:pPr>
        <w:ind w:left="482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TERMINATION OF REGISTRATION STATEMENT</w:t>
      </w:r>
    </w:p>
    <w:p>
      <w:pPr>
        <w:spacing w:after="0" w:line="207"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Cartesian Therapeutics, Inc. (the “Company”) filed with the Securities and Exchange Commission (the “SEC”) a Registration Statement on Form S-3 (File No. 333-275171) on </w:t>
      </w:r>
      <w:hyperlink r:id="rId13">
        <w:r>
          <w:rPr>
            <w:rFonts w:ascii="Times New Roman" w:cs="Times New Roman" w:eastAsia="Times New Roman" w:hAnsi="Times New Roman"/>
            <w:sz w:val="18"/>
            <w:szCs w:val="18"/>
            <w:u w:val="single" w:color="auto"/>
            <w:color w:val="0000EE"/>
          </w:rPr>
          <w:t>October 25, 2023</w:t>
        </w:r>
      </w:hyperlink>
      <w:r>
        <w:rPr>
          <w:rFonts w:ascii="Times New Roman" w:cs="Times New Roman" w:eastAsia="Times New Roman" w:hAnsi="Times New Roman"/>
          <w:sz w:val="18"/>
          <w:szCs w:val="18"/>
          <w:color w:val="auto"/>
        </w:rPr>
        <w:t xml:space="preserve">, as amended by Pre-Effective Amendment No. 1 to the Registration Statement on Form S-3, filed with the SEC on </w:t>
      </w:r>
      <w:hyperlink r:id="rId14">
        <w:r>
          <w:rPr>
            <w:rFonts w:ascii="Times New Roman" w:cs="Times New Roman" w:eastAsia="Times New Roman" w:hAnsi="Times New Roman"/>
            <w:sz w:val="18"/>
            <w:szCs w:val="18"/>
            <w:u w:val="single" w:color="auto"/>
            <w:color w:val="0000EE"/>
          </w:rPr>
          <w:t>December 1, 2023</w:t>
        </w:r>
      </w:hyperlink>
      <w:r>
        <w:rPr>
          <w:rFonts w:ascii="Times New Roman" w:cs="Times New Roman" w:eastAsia="Times New Roman" w:hAnsi="Times New Roman"/>
          <w:sz w:val="18"/>
          <w:szCs w:val="18"/>
          <w:color w:val="auto"/>
        </w:rPr>
        <w:t xml:space="preserve">, which was declared effective by the SEC on </w:t>
      </w:r>
      <w:hyperlink r:id="rId15">
        <w:r>
          <w:rPr>
            <w:rFonts w:ascii="Times New Roman" w:cs="Times New Roman" w:eastAsia="Times New Roman" w:hAnsi="Times New Roman"/>
            <w:sz w:val="18"/>
            <w:szCs w:val="18"/>
            <w:u w:val="single" w:color="auto"/>
            <w:color w:val="0000EE"/>
          </w:rPr>
          <w:t>December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amended, the “Original Registration Statement”).</w:t>
      </w:r>
    </w:p>
    <w:p>
      <w:pPr>
        <w:spacing w:after="0" w:line="176"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Original Registration Statement was filed to register an aggregate of up to $200,000,000 of shares of the Company’s common stock, preferred stock, debt securities, warrants, and/or units, and securities as may be issuable upon conversion, redemption, repurchase, exchange or exercise of any of the foregoing (collectively, the “Registered Securities”). No Registered Securities were issued and sold pursuant to the Original Registration Statement. As of the date hereof, the Company meets the eligibility requirements of Form S-3 and therefore intends to file a new Registration Statement on Form S-3 (the “New Registration Statement”). The New Registration Statement is being filed to replace the Original Registration Statement.</w:t>
      </w:r>
    </w:p>
    <w:p>
      <w:pPr>
        <w:spacing w:after="0" w:line="183"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Company’s undertaking as required by Item 512(a)(3) of Regulation S-K, this Post-Effective Amendment No. 1 is being filed to terminate the effectiveness of the Original Registration Statement and to deregister, as of the effective date of this Post-Effective Amendment No. 1, all the Registered Securities that remain unsold under the Original Registration Statement as of the date thereof.</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Post-Effective Amendment No. 1 to the Original Registration Statement to be signed on its behalf by the undersigned, thereunto duly authorized, in the City of Frederick, State of Maryland, on January 10,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229"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2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Carsten Brunn, Ph.D.</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No other person is required to sign this Post-Effective Amendment No. 1 to the Original Registration Statement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1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s://www.sec.gov/Archives/edgar/data/1453687/000119312523263204/d541568ds3.htm" TargetMode="External"/><Relationship Id="rId14" Type="http://schemas.openxmlformats.org/officeDocument/2006/relationships/hyperlink" Target="https://www.sec.gov/Archives/edgar/data/1453687/000119312523286814/d605498ds3a.htm" TargetMode="External"/><Relationship Id="rId15" Type="http://schemas.openxmlformats.org/officeDocument/2006/relationships/hyperlink" Target="https://www.sec.gov/Archives/edgar/data/1453687/999999999523003516/xslEFFECTX01/primary_doc.x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2025-01-10T05:05:59Z</dcterms:created>
  <dcterms:modified xsi:type="dcterms:W3CDTF">2025-01-10T05:05:59Z</dcterms:modified>
</cp:coreProperties>
</file>