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4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1243" w:lineRule="exact"/>
        <w:rPr>
          <w:sz w:val="24"/>
          <w:szCs w:val="24"/>
          <w:color w:val="auto"/>
        </w:rPr>
      </w:pPr>
    </w:p>
    <w:p>
      <w:pPr>
        <w:sectPr>
          <w:pgSz w:w="11900" w:h="16984"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Jewell Christopher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984"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0000FF"/>
              </w:rPr>
              <w:t>36,050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61,990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18,550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16.341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43,440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17,500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17.0185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25,940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11/15/2024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0000FF"/>
              </w:rPr>
              <w:t>16,065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42,005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16,065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17.0615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25,940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11/14/2024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36,050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01/15/2033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36,050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106,497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11/15/2024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16,065</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01/15/2033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16,065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90,432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$16.00 to $16.89.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$17.00 to $17.18.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$17.00 to $17.24.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currently exercisable for 123,235 shares of Common Stock and becomes exercisable for an additional 2,969 shares of Common Stock each month until it is fully exercisable on June 16,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08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6"/>
          <w:szCs w:val="16"/>
          <w:color w:val="0000FF"/>
        </w:rPr>
        <w:t>11/18/2024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866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-15875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Christopher Jewell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800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89"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8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0226"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2024-11-18T18:39:16Z</dcterms:created>
  <dcterms:modified xsi:type="dcterms:W3CDTF">2024-11-18T18:39:16Z</dcterms:modified>
</cp:coreProperties>
</file>