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20" w:type="dxa"/>
            <w:vAlign w:val="bottom"/>
            <w:gridSpan w:val="2"/>
            <w:vMerge w:val="restart"/>
          </w:tcPr>
          <w:p>
            <w:pPr>
              <w:ind w:left="20"/>
              <w:spacing w:after="0"/>
              <w:rPr>
                <w:rFonts w:ascii="Arial" w:cs="Arial" w:eastAsia="Arial" w:hAnsi="Arial"/>
                <w:sz w:val="21"/>
                <w:szCs w:val="21"/>
                <w:color w:val="0000EE"/>
                <w:w w:val="87"/>
              </w:rPr>
            </w:pPr>
            <w:hyperlink r:id="rId12">
              <w:r>
                <w:rPr>
                  <w:rFonts w:ascii="Arial" w:cs="Arial" w:eastAsia="Arial" w:hAnsi="Arial"/>
                  <w:sz w:val="21"/>
                  <w:szCs w:val="21"/>
                  <w:color w:val="0000EE"/>
                  <w:w w:val="87"/>
                </w:rPr>
                <w:t>Brunn Carsten</w:t>
              </w:r>
            </w:hyperlink>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SELECTA BIOSCIENCES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SELB</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80" w:type="dxa"/>
            <w:vAlign w:val="bottom"/>
            <w:tcBorders>
              <w:top w:val="single" w:sz="8" w:color="0000EE"/>
            </w:tcBorders>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SELECTA BIOSCIENCES, INC.</w:t>
            </w:r>
          </w:p>
        </w:tc>
        <w:tc>
          <w:tcPr>
            <w:tcW w:w="2840" w:type="dxa"/>
            <w:vAlign w:val="bottom"/>
            <w:gridSpan w:val="3"/>
          </w:tcPr>
          <w:p>
            <w:pPr>
              <w:ind w:left="160"/>
              <w:spacing w:after="0"/>
              <w:rPr>
                <w:sz w:val="20"/>
                <w:szCs w:val="20"/>
                <w:color w:val="auto"/>
              </w:rPr>
            </w:pPr>
            <w:r>
              <w:rPr>
                <w:rFonts w:ascii="Arial" w:cs="Arial" w:eastAsia="Arial" w:hAnsi="Arial"/>
                <w:sz w:val="17"/>
                <w:szCs w:val="17"/>
                <w:color w:val="0000FF"/>
              </w:rPr>
              <w:t>06/01/2021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37"/>
        <w:spacing w:after="0"/>
        <w:rPr>
          <w:sz w:val="20"/>
          <w:szCs w:val="20"/>
          <w:color w:val="auto"/>
        </w:rPr>
      </w:pPr>
      <w:r>
        <w:rPr>
          <w:rFonts w:ascii="Arial" w:cs="Arial" w:eastAsia="Arial" w:hAnsi="Arial"/>
          <w:sz w:val="17"/>
          <w:szCs w:val="17"/>
          <w:color w:val="0000FF"/>
        </w:rPr>
        <w:t>President and CEO</w:t>
      </w:r>
    </w:p>
    <w:p>
      <w:pPr>
        <w:spacing w:after="0" w:line="39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WATERTOWN</w:t>
            </w:r>
          </w:p>
        </w:tc>
        <w:tc>
          <w:tcPr>
            <w:tcW w:w="88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ind w:left="800"/>
              <w:spacing w:after="0"/>
              <w:rPr>
                <w:sz w:val="20"/>
                <w:szCs w:val="20"/>
                <w:color w:val="auto"/>
              </w:rPr>
            </w:pPr>
            <w:r>
              <w:rPr>
                <w:rFonts w:ascii="Arial" w:cs="Arial" w:eastAsia="Arial" w:hAnsi="Arial"/>
                <w:sz w:val="17"/>
                <w:szCs w:val="17"/>
                <w:color w:val="0000FF"/>
              </w:rPr>
              <w:t>06/01/2021</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7"/>
                <w:szCs w:val="17"/>
                <w:color w:val="0000FF"/>
              </w:rPr>
              <w:t>10,938</w:t>
            </w:r>
          </w:p>
        </w:tc>
        <w:tc>
          <w:tcPr>
            <w:tcW w:w="66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227,764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06/02/2021</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0000FF"/>
              </w:rPr>
              <w:t>4,806</w:t>
            </w:r>
          </w:p>
        </w:tc>
        <w:tc>
          <w:tcPr>
            <w:tcW w:w="66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4.378</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222,958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10,938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06/01/2021</w:t>
            </w:r>
          </w:p>
        </w:tc>
        <w:tc>
          <w:tcPr>
            <w:tcW w:w="1140" w:type="dxa"/>
            <w:vAlign w:val="bottom"/>
          </w:tcPr>
          <w:p>
            <w:pPr>
              <w:spacing w:after="0"/>
              <w:rPr>
                <w:sz w:val="10"/>
                <w:szCs w:val="10"/>
                <w:color w:val="auto"/>
              </w:rPr>
            </w:pPr>
          </w:p>
        </w:tc>
        <w:tc>
          <w:tcPr>
            <w:tcW w:w="62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0"/>
                <w:szCs w:val="10"/>
                <w:color w:val="auto"/>
              </w:rPr>
            </w:pPr>
          </w:p>
        </w:tc>
        <w:tc>
          <w:tcPr>
            <w:tcW w:w="840" w:type="dxa"/>
            <w:vAlign w:val="bottom"/>
          </w:tcPr>
          <w:p>
            <w:pPr>
              <w:ind w:left="380"/>
              <w:spacing w:after="0" w:line="125" w:lineRule="exact"/>
              <w:rPr>
                <w:sz w:val="20"/>
                <w:szCs w:val="20"/>
                <w:color w:val="auto"/>
              </w:rPr>
            </w:pPr>
            <w:r>
              <w:rPr>
                <w:rFonts w:ascii="Arial" w:cs="Arial" w:eastAsia="Arial" w:hAnsi="Arial"/>
                <w:sz w:val="13"/>
                <w:szCs w:val="13"/>
                <w:color w:val="0000FF"/>
              </w:rPr>
              <w:t>10,938</w:t>
            </w:r>
          </w:p>
        </w:tc>
        <w:tc>
          <w:tcPr>
            <w:tcW w:w="7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1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65,625</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7"/>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44" w:lineRule="exact"/>
        <w:rPr>
          <w:rFonts w:ascii="Arial" w:cs="Arial" w:eastAsia="Arial" w:hAnsi="Arial"/>
          <w:sz w:val="13"/>
          <w:szCs w:val="13"/>
          <w:color w:val="008000"/>
        </w:rPr>
      </w:pPr>
    </w:p>
    <w:p>
      <w:pPr>
        <w:ind w:left="40" w:right="24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$4.34 to $4.385. The Reporting Person undertakes to provide upon request to the SEC staff, the Issuer, or any stockholder of the Issuer, full information regarding the number of shares sold at each separate price within the range set forth in this footnote.</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44" w:lineRule="exact"/>
        <w:rPr>
          <w:rFonts w:ascii="Arial" w:cs="Arial" w:eastAsia="Arial" w:hAnsi="Arial"/>
          <w:sz w:val="13"/>
          <w:szCs w:val="13"/>
          <w:color w:val="008000"/>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restricted stock unit vested as to 25% on December 1, 2019 and has vested, and will continue to vest, as to an additional 8.33% each quarter thereafter until fully vested. The restricted stock units have no expiration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109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66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2021-06-03T15:36:31Z</dcterms:created>
  <dcterms:modified xsi:type="dcterms:W3CDTF">2021-06-03T15:36:31Z</dcterms:modified>
</cp:coreProperties>
</file>