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Arial" w:cs="Arial" w:eastAsia="Arial" w:hAnsi="Arial"/>
                <w:sz w:val="21"/>
                <w:szCs w:val="21"/>
                <w:color w:val="0000EE"/>
                <w:w w:val="87"/>
              </w:rPr>
            </w:pPr>
            <w:hyperlink r:id="rId12">
              <w:r>
                <w:rPr>
                  <w:rFonts w:ascii="Arial" w:cs="Arial" w:eastAsia="Arial" w:hAnsi="Arial"/>
                  <w:sz w:val="21"/>
                  <w:szCs w:val="21"/>
                  <w:color w:val="0000EE"/>
                  <w:w w:val="87"/>
                </w:rPr>
                <w:t>Brunn Carsten</w:t>
              </w:r>
            </w:hyperlink>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SELECTA BIOSCIENCES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284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12/01/2021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10,938</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289,697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12/02/2021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4,746</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2.9635</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284,951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10,938</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12/01/2021</w:t>
            </w:r>
          </w:p>
        </w:tc>
        <w:tc>
          <w:tcPr>
            <w:tcW w:w="1140" w:type="dxa"/>
            <w:vAlign w:val="bottom"/>
          </w:tcPr>
          <w:p>
            <w:pPr>
              <w:spacing w:after="0"/>
              <w:rPr>
                <w:sz w:val="10"/>
                <w:szCs w:val="10"/>
                <w:color w:val="auto"/>
              </w:rPr>
            </w:pP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820" w:type="dxa"/>
            <w:vAlign w:val="bottom"/>
          </w:tcPr>
          <w:p>
            <w:pPr>
              <w:ind w:left="380"/>
              <w:spacing w:after="0" w:line="125" w:lineRule="exact"/>
              <w:rPr>
                <w:sz w:val="20"/>
                <w:szCs w:val="20"/>
                <w:color w:val="auto"/>
              </w:rPr>
            </w:pPr>
            <w:r>
              <w:rPr>
                <w:rFonts w:ascii="Arial" w:cs="Arial" w:eastAsia="Arial" w:hAnsi="Arial"/>
                <w:sz w:val="13"/>
                <w:szCs w:val="13"/>
                <w:color w:val="0000FF"/>
              </w:rPr>
              <w:t>10,938</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43,750</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$2.94 to $2.99.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vested as to 25% on December 1, 2019 and has vested, and will continue to vest, as to an additional 8.33% each quarter thereafter until fully vested.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2021-12-03T15:30:25Z</dcterms:created>
  <dcterms:modified xsi:type="dcterms:W3CDTF">2021-12-03T15:30:25Z</dcterms:modified>
</cp:coreProperties>
</file>