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March 25, 2019</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S-8</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26-1622110</w:t>
      </w:r>
    </w:p>
    <w:p>
      <w:pPr>
        <w:spacing w:after="0" w:line="132" w:lineRule="exact"/>
        <w:rPr>
          <w:sz w:val="24"/>
          <w:szCs w:val="24"/>
          <w:color w:val="auto"/>
        </w:rPr>
      </w:pPr>
    </w:p>
    <w:p>
      <w:pPr>
        <w:sectPr>
          <w:pgSz w:w="11900" w:h="16838" w:orient="portrait"/>
          <w:cols w:equalWidth="0" w:num="2">
            <w:col w:w="7620" w:space="720"/>
            <w:col w:w="3080"/>
          </w:cols>
          <w:pgMar w:left="240" w:top="684" w:right="2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60" w:space="720"/>
            <w:col w:w="3840"/>
          </w:cols>
          <w:pgMar w:left="240" w:top="684"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2018 Employment Inducement Incentive Award Plan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Carsten Brunn, Ph.D.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923-1400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Peter N. Handrinos, Esq.</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Latham &amp; Watkins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 Clarendon Street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Massachusetts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(617) 948-6060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Facsimile: (617) 948-6001</w:t>
      </w:r>
    </w:p>
    <w:p>
      <w:pPr>
        <w:spacing w:after="0" w:line="205"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0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60"/>
              <w:spacing w:after="0"/>
              <w:rPr>
                <w:sz w:val="20"/>
                <w:szCs w:val="20"/>
                <w:color w:val="auto"/>
              </w:rPr>
            </w:pPr>
            <w:r>
              <w:rPr>
                <w:rFonts w:ascii="Arial" w:cs="Arial" w:eastAsia="Arial" w:hAnsi="Arial"/>
                <w:sz w:val="14"/>
                <w:szCs w:val="14"/>
                <w:color w:val="auto"/>
                <w:w w:val="85"/>
              </w:rPr>
              <w:t>x</w:t>
            </w:r>
          </w:p>
        </w:tc>
      </w:tr>
      <w:tr>
        <w:trPr>
          <w:trHeight w:val="23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5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20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60"/>
              <w:spacing w:after="0"/>
              <w:rPr>
                <w:sz w:val="20"/>
                <w:szCs w:val="20"/>
                <w:color w:val="auto"/>
              </w:rPr>
            </w:pPr>
            <w:r>
              <w:rPr>
                <w:rFonts w:ascii="Arial" w:cs="Arial" w:eastAsia="Arial" w:hAnsi="Arial"/>
                <w:sz w:val="14"/>
                <w:szCs w:val="14"/>
                <w:color w:val="auto"/>
                <w:w w:val="85"/>
              </w:rPr>
              <w:t>x</w:t>
            </w:r>
          </w:p>
        </w:tc>
      </w:tr>
      <w:tr>
        <w:trPr>
          <w:trHeight w:val="200"/>
        </w:trPr>
        <w:tc>
          <w:tcPr>
            <w:tcW w:w="1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080" w:type="dxa"/>
            <w:vAlign w:val="bottom"/>
          </w:tcPr>
          <w:p>
            <w:pPr>
              <w:ind w:left="204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60"/>
              <w:spacing w:after="0"/>
              <w:rPr>
                <w:sz w:val="20"/>
                <w:szCs w:val="20"/>
                <w:color w:val="auto"/>
              </w:rPr>
            </w:pPr>
            <w:r>
              <w:rPr>
                <w:rFonts w:ascii="Arial" w:cs="Arial" w:eastAsia="Arial" w:hAnsi="Arial"/>
                <w:sz w:val="14"/>
                <w:szCs w:val="14"/>
                <w:color w:val="auto"/>
                <w:w w:val="85"/>
              </w:rPr>
              <w:t>x</w:t>
            </w:r>
          </w:p>
        </w:tc>
      </w:tr>
    </w:tbl>
    <w:p>
      <w:pPr>
        <w:spacing w:after="0" w:line="317"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ectPr>
          <w:pgSz w:w="11900" w:h="16838" w:orient="portrait"/>
          <w:cols w:equalWidth="0" w:num="1">
            <w:col w:w="11420"/>
          </w:cols>
          <w:pgMar w:left="240" w:top="684" w:right="239" w:bottom="1440" w:gutter="0" w:footer="0" w:header="0"/>
          <w:type w:val="continuous"/>
        </w:sectPr>
      </w:pPr>
    </w:p>
    <w:bookmarkStart w:id="1" w:name="page2"/>
    <w:bookmarkEnd w:id="1"/>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80" w:type="dxa"/>
            <w:vAlign w:val="bottom"/>
          </w:tcPr>
          <w:p>
            <w:pPr>
              <w:jc w:val="center"/>
              <w:ind w:left="84"/>
              <w:spacing w:after="0"/>
              <w:rPr>
                <w:sz w:val="20"/>
                <w:szCs w:val="20"/>
                <w:color w:val="auto"/>
              </w:rPr>
            </w:pPr>
            <w:r>
              <w:rPr>
                <w:rFonts w:ascii="Arial" w:cs="Arial" w:eastAsia="Arial" w:hAnsi="Arial"/>
                <w:sz w:val="14"/>
                <w:szCs w:val="14"/>
                <w:b w:val="1"/>
                <w:bCs w:val="1"/>
                <w:color w:val="auto"/>
                <w:w w:val="89"/>
              </w:rPr>
              <w:t>Proposed</w:t>
            </w:r>
          </w:p>
        </w:tc>
        <w:tc>
          <w:tcPr>
            <w:tcW w:w="1680" w:type="dxa"/>
            <w:vAlign w:val="bottom"/>
          </w:tcPr>
          <w:p>
            <w:pPr>
              <w:jc w:val="center"/>
              <w:ind w:left="24"/>
              <w:spacing w:after="0"/>
              <w:rPr>
                <w:sz w:val="20"/>
                <w:szCs w:val="20"/>
                <w:color w:val="auto"/>
              </w:rPr>
            </w:pPr>
            <w:r>
              <w:rPr>
                <w:rFonts w:ascii="Arial" w:cs="Arial" w:eastAsia="Arial" w:hAnsi="Arial"/>
                <w:sz w:val="14"/>
                <w:szCs w:val="14"/>
                <w:b w:val="1"/>
                <w:bCs w:val="1"/>
                <w:color w:val="auto"/>
                <w:w w:val="89"/>
              </w:rPr>
              <w:t>Proposed</w:t>
            </w:r>
          </w:p>
        </w:tc>
        <w:tc>
          <w:tcPr>
            <w:tcW w:w="17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180" w:type="dxa"/>
            <w:vAlign w:val="bottom"/>
          </w:tcPr>
          <w:p>
            <w:pPr>
              <w:jc w:val="center"/>
              <w:ind w:left="184"/>
              <w:spacing w:after="0"/>
              <w:rPr>
                <w:sz w:val="20"/>
                <w:szCs w:val="20"/>
                <w:color w:val="auto"/>
              </w:rPr>
            </w:pPr>
            <w:r>
              <w:rPr>
                <w:rFonts w:ascii="Arial" w:cs="Arial" w:eastAsia="Arial" w:hAnsi="Arial"/>
                <w:sz w:val="14"/>
                <w:szCs w:val="14"/>
                <w:b w:val="1"/>
                <w:bCs w:val="1"/>
                <w:color w:val="auto"/>
                <w:w w:val="98"/>
              </w:rPr>
              <w:t>Amount</w:t>
            </w:r>
          </w:p>
        </w:tc>
        <w:tc>
          <w:tcPr>
            <w:tcW w:w="1780" w:type="dxa"/>
            <w:vAlign w:val="bottom"/>
          </w:tcPr>
          <w:p>
            <w:pPr>
              <w:jc w:val="center"/>
              <w:ind w:left="104"/>
              <w:spacing w:after="0"/>
              <w:rPr>
                <w:sz w:val="20"/>
                <w:szCs w:val="20"/>
                <w:color w:val="auto"/>
              </w:rPr>
            </w:pPr>
            <w:r>
              <w:rPr>
                <w:rFonts w:ascii="Arial" w:cs="Arial" w:eastAsia="Arial" w:hAnsi="Arial"/>
                <w:sz w:val="14"/>
                <w:szCs w:val="14"/>
                <w:b w:val="1"/>
                <w:bCs w:val="1"/>
                <w:color w:val="auto"/>
                <w:w w:val="99"/>
              </w:rPr>
              <w:t>Maximum</w:t>
            </w:r>
          </w:p>
        </w:tc>
        <w:tc>
          <w:tcPr>
            <w:tcW w:w="1680" w:type="dxa"/>
            <w:vAlign w:val="bottom"/>
          </w:tcPr>
          <w:p>
            <w:pPr>
              <w:jc w:val="center"/>
              <w:ind w:left="44"/>
              <w:spacing w:after="0"/>
              <w:rPr>
                <w:sz w:val="20"/>
                <w:szCs w:val="20"/>
                <w:color w:val="auto"/>
              </w:rPr>
            </w:pPr>
            <w:r>
              <w:rPr>
                <w:rFonts w:ascii="Arial" w:cs="Arial" w:eastAsia="Arial" w:hAnsi="Arial"/>
                <w:sz w:val="14"/>
                <w:szCs w:val="14"/>
                <w:b w:val="1"/>
                <w:bCs w:val="1"/>
                <w:color w:val="auto"/>
                <w:w w:val="99"/>
              </w:rPr>
              <w:t>Maximum</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Title of Securities to be Registered</w:t>
            </w:r>
          </w:p>
        </w:tc>
        <w:tc>
          <w:tcPr>
            <w:tcW w:w="2180" w:type="dxa"/>
            <w:vAlign w:val="bottom"/>
          </w:tcPr>
          <w:p>
            <w:pPr>
              <w:jc w:val="center"/>
              <w:ind w:left="204"/>
              <w:spacing w:after="0" w:line="133" w:lineRule="exact"/>
              <w:rPr>
                <w:sz w:val="20"/>
                <w:szCs w:val="20"/>
                <w:color w:val="auto"/>
              </w:rPr>
            </w:pPr>
            <w:r>
              <w:rPr>
                <w:rFonts w:ascii="Arial" w:cs="Arial" w:eastAsia="Arial" w:hAnsi="Arial"/>
                <w:sz w:val="14"/>
                <w:szCs w:val="14"/>
                <w:b w:val="1"/>
                <w:bCs w:val="1"/>
                <w:color w:val="auto"/>
                <w:w w:val="89"/>
              </w:rPr>
              <w:t>to be</w:t>
            </w:r>
          </w:p>
        </w:tc>
        <w:tc>
          <w:tcPr>
            <w:tcW w:w="1780" w:type="dxa"/>
            <w:vAlign w:val="bottom"/>
          </w:tcPr>
          <w:p>
            <w:pPr>
              <w:jc w:val="center"/>
              <w:ind w:left="104"/>
              <w:spacing w:after="0" w:line="133" w:lineRule="exact"/>
              <w:rPr>
                <w:sz w:val="20"/>
                <w:szCs w:val="20"/>
                <w:color w:val="auto"/>
              </w:rPr>
            </w:pPr>
            <w:r>
              <w:rPr>
                <w:rFonts w:ascii="Arial" w:cs="Arial" w:eastAsia="Arial" w:hAnsi="Arial"/>
                <w:sz w:val="14"/>
                <w:szCs w:val="14"/>
                <w:b w:val="1"/>
                <w:bCs w:val="1"/>
                <w:color w:val="auto"/>
                <w:w w:val="94"/>
              </w:rPr>
              <w:t>Offering Price</w:t>
            </w:r>
          </w:p>
        </w:tc>
        <w:tc>
          <w:tcPr>
            <w:tcW w:w="1680" w:type="dxa"/>
            <w:vAlign w:val="bottom"/>
          </w:tcPr>
          <w:p>
            <w:pPr>
              <w:jc w:val="center"/>
              <w:ind w:left="24"/>
              <w:spacing w:after="0" w:line="133" w:lineRule="exact"/>
              <w:rPr>
                <w:sz w:val="20"/>
                <w:szCs w:val="20"/>
                <w:color w:val="auto"/>
              </w:rPr>
            </w:pPr>
            <w:r>
              <w:rPr>
                <w:rFonts w:ascii="Arial" w:cs="Arial" w:eastAsia="Arial" w:hAnsi="Arial"/>
                <w:sz w:val="14"/>
                <w:szCs w:val="14"/>
                <w:b w:val="1"/>
                <w:bCs w:val="1"/>
                <w:color w:val="auto"/>
                <w:w w:val="89"/>
              </w:rPr>
              <w:t>Aggregate</w:t>
            </w:r>
          </w:p>
        </w:tc>
        <w:tc>
          <w:tcPr>
            <w:tcW w:w="17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1"/>
              </w:rPr>
              <w:t>Registered(1)</w:t>
            </w:r>
          </w:p>
        </w:tc>
        <w:tc>
          <w:tcPr>
            <w:tcW w:w="17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4"/>
              </w:rPr>
              <w:t>Offering Price</w:t>
            </w: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180" w:type="dxa"/>
            <w:vAlign w:val="bottom"/>
          </w:tcPr>
          <w:p>
            <w:pPr>
              <w:jc w:val="right"/>
              <w:ind w:right="524"/>
              <w:spacing w:after="0"/>
              <w:rPr>
                <w:sz w:val="20"/>
                <w:szCs w:val="20"/>
                <w:color w:val="auto"/>
              </w:rPr>
            </w:pPr>
            <w:r>
              <w:rPr>
                <w:rFonts w:ascii="Arial" w:cs="Arial" w:eastAsia="Arial" w:hAnsi="Arial"/>
                <w:sz w:val="18"/>
                <w:szCs w:val="18"/>
                <w:color w:val="auto"/>
              </w:rPr>
              <w:t>2,000,000</w:t>
            </w:r>
          </w:p>
        </w:tc>
        <w:tc>
          <w:tcPr>
            <w:tcW w:w="1780" w:type="dxa"/>
            <w:vAlign w:val="bottom"/>
          </w:tcPr>
          <w:p>
            <w:pPr>
              <w:jc w:val="center"/>
              <w:ind w:left="84"/>
              <w:spacing w:after="0"/>
              <w:rPr>
                <w:sz w:val="20"/>
                <w:szCs w:val="20"/>
                <w:color w:val="auto"/>
              </w:rPr>
            </w:pPr>
            <w:r>
              <w:rPr>
                <w:rFonts w:ascii="Arial" w:cs="Arial" w:eastAsia="Arial" w:hAnsi="Arial"/>
                <w:sz w:val="18"/>
                <w:szCs w:val="18"/>
                <w:color w:val="auto"/>
                <w:w w:val="92"/>
              </w:rPr>
              <w:t>$2.57(2)</w:t>
            </w:r>
          </w:p>
        </w:tc>
        <w:tc>
          <w:tcPr>
            <w:tcW w:w="1680" w:type="dxa"/>
            <w:vAlign w:val="bottom"/>
          </w:tcPr>
          <w:p>
            <w:pPr>
              <w:jc w:val="center"/>
              <w:ind w:left="44"/>
              <w:spacing w:after="0"/>
              <w:rPr>
                <w:sz w:val="20"/>
                <w:szCs w:val="20"/>
                <w:color w:val="auto"/>
              </w:rPr>
            </w:pPr>
            <w:r>
              <w:rPr>
                <w:rFonts w:ascii="Arial" w:cs="Arial" w:eastAsia="Arial" w:hAnsi="Arial"/>
                <w:sz w:val="18"/>
                <w:szCs w:val="18"/>
                <w:color w:val="auto"/>
                <w:w w:val="90"/>
              </w:rPr>
              <w:t>$5,140,000.00</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89"/>
              </w:rPr>
              <w:t>$622.97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 w:right="20" w:hanging="316"/>
        <w:spacing w:after="0" w:line="304"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(this “Registration Statement”) shall also cover any additional shares of common stock, par value $0.0001 per share, of Selecta Biosciences, Inc. (“Common Stock”) which become issuable under the Selecta Biosciences, Inc. 2018 Employment Inducement Incentive Award Plan (the “Inducement Plan”) by reason of any stock dividend, stock split, recapitalization or other similar transaction effected without the receipt of consideration which results in an increase in the number of shares of the Registrant’s outstanding Common Stock.</w:t>
      </w:r>
    </w:p>
    <w:p>
      <w:pPr>
        <w:spacing w:after="0" w:line="129" w:lineRule="exact"/>
        <w:rPr>
          <w:rFonts w:ascii="Arial" w:cs="Arial" w:eastAsia="Arial" w:hAnsi="Arial"/>
          <w:sz w:val="14"/>
          <w:szCs w:val="14"/>
          <w:color w:val="auto"/>
        </w:rPr>
      </w:pPr>
    </w:p>
    <w:p>
      <w:pPr>
        <w:ind w:left="540" w:right="260" w:hanging="316"/>
        <w:spacing w:after="0" w:line="26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offering price per share has been estimated in accordance with Rules 457(c) and (h) under the Securities Act solely for the purpose of calculating the registration fee. The computation is based upon the average of the high and low prices of the Registrant’s Common Stock as reported on the Nasdaq Global Market on March 21, 2019.</w:t>
      </w:r>
    </w:p>
    <w:p>
      <w:pPr>
        <w:sectPr>
          <w:pgSz w:w="11900" w:h="16838" w:orient="portrait"/>
          <w:cols w:equalWidth="0" w:num="1">
            <w:col w:w="11400"/>
          </w:cols>
          <w:pgMar w:left="240" w:top="1440"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This Registration Statement on Form S-8 is being filed for the purpose of registering an additional 2,000,000 shares of the common stock of Selecta Biosciences, Inc. (the “Registrant”) to be issued pursuant to the Selecta Biosciences, Inc. 2018 Employment Inducement Incentive Award Plan (the “Inducement Plan”). A Registration Statement of the Registrant on Form S-8 relating to the same employee benefit plans is effective.</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 OF CONTENTS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STATEMENTS ON FORM S-8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below, the contents of the Registration Statement on Form S-8 (File No. 333-228264) filed with the Securities and Exchange Commission, relating to the Inducement Plan,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7280" w:type="dxa"/>
            <w:vAlign w:val="bottom"/>
            <w:gridSpan w:val="9"/>
          </w:tcPr>
          <w:p>
            <w:pPr>
              <w:spacing w:after="0"/>
              <w:rPr>
                <w:sz w:val="20"/>
                <w:szCs w:val="20"/>
                <w:color w:val="auto"/>
              </w:rPr>
            </w:pPr>
            <w:r>
              <w:rPr>
                <w:rFonts w:ascii="Arial" w:cs="Arial" w:eastAsia="Arial" w:hAnsi="Arial"/>
                <w:sz w:val="14"/>
                <w:szCs w:val="14"/>
                <w:b w:val="1"/>
                <w:bCs w:val="1"/>
                <w:color w:val="auto"/>
              </w:rPr>
              <w:t>Exhibit Description</w:t>
            </w:r>
          </w:p>
        </w:tc>
      </w:tr>
      <w:tr>
        <w:trPr>
          <w:trHeight w:val="364"/>
        </w:trPr>
        <w:tc>
          <w:tcPr>
            <w:tcW w:w="360" w:type="dxa"/>
            <w:vAlign w:val="bottom"/>
            <w:tcBorders>
              <w:top w:val="single" w:sz="8" w:color="auto"/>
            </w:tcBorders>
            <w:gridSpan w:val="3"/>
          </w:tcPr>
          <w:p>
            <w:pPr>
              <w:ind w:left="40"/>
              <w:spacing w:after="0"/>
              <w:rPr>
                <w:rFonts w:ascii="Arial" w:cs="Arial" w:eastAsia="Arial" w:hAnsi="Arial"/>
                <w:sz w:val="18"/>
                <w:szCs w:val="18"/>
                <w:color w:val="0000FF"/>
              </w:rPr>
            </w:pPr>
            <w:hyperlink r:id="rId1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80" w:type="dxa"/>
            <w:vAlign w:val="bottom"/>
            <w:tcBorders>
              <w:top w:val="single" w:sz="8" w:color="auto"/>
            </w:tcBorders>
            <w:gridSpan w:val="9"/>
          </w:tcPr>
          <w:p>
            <w:pPr>
              <w:spacing w:after="0"/>
              <w:rPr>
                <w:rFonts w:ascii="Arial" w:cs="Arial" w:eastAsia="Arial" w:hAnsi="Arial"/>
                <w:sz w:val="18"/>
                <w:szCs w:val="18"/>
                <w:color w:val="0000FF"/>
                <w:w w:val="94"/>
              </w:rPr>
            </w:pPr>
            <w:hyperlink r:id="rId10">
              <w:r>
                <w:rPr>
                  <w:rFonts w:ascii="Arial" w:cs="Arial" w:eastAsia="Arial" w:hAnsi="Arial"/>
                  <w:sz w:val="18"/>
                  <w:szCs w:val="18"/>
                  <w:color w:val="0000FF"/>
                  <w:w w:val="94"/>
                </w:rPr>
                <w:t>Restated Certificate of Incorporation of the Registrant (incorporated by reference to Exhibit 3.1 to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the Registrant’s Current Report on Form 8-K (File No. 001-37798) filed on June 29, 2016)</w:t>
              </w:r>
            </w:hyperlink>
          </w:p>
        </w:tc>
        <w:tc>
          <w:tcPr>
            <w:tcW w:w="520" w:type="dxa"/>
            <w:vAlign w:val="bottom"/>
            <w:tcBorders>
              <w:top w:val="single" w:sz="8" w:color="0000FF"/>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480"/>
        </w:trPr>
        <w:tc>
          <w:tcPr>
            <w:tcW w:w="360" w:type="dxa"/>
            <w:vAlign w:val="bottom"/>
            <w:gridSpan w:val="3"/>
          </w:tcPr>
          <w:p>
            <w:pPr>
              <w:ind w:left="40"/>
              <w:spacing w:after="0"/>
              <w:rPr>
                <w:rFonts w:ascii="Arial" w:cs="Arial" w:eastAsia="Arial" w:hAnsi="Arial"/>
                <w:sz w:val="18"/>
                <w:szCs w:val="18"/>
                <w:color w:val="0000FF"/>
              </w:rPr>
            </w:pPr>
            <w:hyperlink r:id="rId1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rFonts w:ascii="Arial" w:cs="Arial" w:eastAsia="Arial" w:hAnsi="Arial"/>
                <w:sz w:val="18"/>
                <w:szCs w:val="18"/>
                <w:color w:val="0000FF"/>
                <w:w w:val="95"/>
              </w:rPr>
            </w:pPr>
            <w:hyperlink r:id="rId11">
              <w:r>
                <w:rPr>
                  <w:rFonts w:ascii="Arial" w:cs="Arial" w:eastAsia="Arial" w:hAnsi="Arial"/>
                  <w:sz w:val="18"/>
                  <w:szCs w:val="18"/>
                  <w:color w:val="0000FF"/>
                  <w:w w:val="95"/>
                </w:rPr>
                <w:t>Amended and Restated Bylaws of the Registrant (incorporated by reference to Exhibit 3.2 to the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Registrant’s Current Report on Form 8-K (File No. 001-37798) filed on June 29, 2016)</w:t>
              </w:r>
            </w:hyperlink>
          </w:p>
        </w:tc>
        <w:tc>
          <w:tcPr>
            <w:tcW w:w="660" w:type="dxa"/>
            <w:vAlign w:val="bottom"/>
            <w:tcBorders>
              <w:top w:val="single" w:sz="8" w:color="0000FF"/>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80"/>
        </w:trPr>
        <w:tc>
          <w:tcPr>
            <w:tcW w:w="360" w:type="dxa"/>
            <w:vAlign w:val="bottom"/>
            <w:gridSpan w:val="3"/>
          </w:tcPr>
          <w:p>
            <w:pPr>
              <w:ind w:left="40"/>
              <w:spacing w:after="0"/>
              <w:rPr>
                <w:sz w:val="20"/>
                <w:szCs w:val="20"/>
                <w:color w:val="auto"/>
              </w:rPr>
            </w:pPr>
            <w:r>
              <w:rPr>
                <w:rFonts w:ascii="Arial" w:cs="Arial" w:eastAsia="Arial" w:hAnsi="Arial"/>
                <w:sz w:val="18"/>
                <w:szCs w:val="18"/>
                <w:color w:val="0000FF"/>
                <w:w w:val="84"/>
              </w:rPr>
              <w:t>5.</w:t>
            </w:r>
            <w:r>
              <w:rPr>
                <w:rFonts w:ascii="Arial" w:cs="Arial" w:eastAsia="Arial" w:hAnsi="Arial"/>
                <w:sz w:val="18"/>
                <w:szCs w:val="18"/>
                <w:u w:val="single" w:color="auto"/>
                <w:color w:val="0000FF"/>
                <w:w w:val="84"/>
              </w:rPr>
              <w:t>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sz w:val="20"/>
                <w:szCs w:val="20"/>
                <w:color w:val="auto"/>
              </w:rPr>
            </w:pPr>
            <w:r>
              <w:rPr>
                <w:rFonts w:ascii="Arial" w:cs="Arial" w:eastAsia="Arial" w:hAnsi="Arial"/>
                <w:sz w:val="18"/>
                <w:szCs w:val="18"/>
                <w:color w:val="0000FF"/>
              </w:rPr>
              <w:t>Opinion of Latham &amp; Watkins LLP, counsel to the Registrant</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460" w:type="dxa"/>
            <w:vAlign w:val="bottom"/>
            <w:gridSpan w:val="4"/>
          </w:tcPr>
          <w:p>
            <w:pPr>
              <w:ind w:left="40"/>
              <w:spacing w:after="0"/>
              <w:rPr>
                <w:sz w:val="20"/>
                <w:szCs w:val="20"/>
                <w:color w:val="auto"/>
              </w:rPr>
            </w:pPr>
            <w:r>
              <w:rPr>
                <w:rFonts w:ascii="Arial" w:cs="Arial" w:eastAsia="Arial" w:hAnsi="Arial"/>
                <w:sz w:val="18"/>
                <w:szCs w:val="18"/>
                <w:color w:val="0000FF"/>
                <w:w w:val="83"/>
              </w:rPr>
              <w:t>23.</w:t>
            </w:r>
            <w:r>
              <w:rPr>
                <w:rFonts w:ascii="Arial" w:cs="Arial" w:eastAsia="Arial" w:hAnsi="Arial"/>
                <w:sz w:val="18"/>
                <w:szCs w:val="18"/>
                <w:u w:val="single" w:color="auto"/>
                <w:color w:val="0000FF"/>
                <w:w w:val="83"/>
              </w:rPr>
              <w:t>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r>
      <w:tr>
        <w:trPr>
          <w:trHeight w:val="20"/>
        </w:trPr>
        <w:tc>
          <w:tcPr>
            <w:tcW w:w="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1500" w:type="dxa"/>
            <w:vAlign w:val="bottom"/>
            <w:gridSpan w:val="5"/>
          </w:tcPr>
          <w:p>
            <w:pPr>
              <w:ind w:left="40"/>
              <w:spacing w:after="0"/>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sz w:val="20"/>
                <w:szCs w:val="20"/>
                <w:color w:val="auto"/>
              </w:rPr>
            </w:pPr>
            <w:r>
              <w:rPr>
                <w:rFonts w:ascii="Arial" w:cs="Arial" w:eastAsia="Arial" w:hAnsi="Arial"/>
                <w:sz w:val="18"/>
                <w:szCs w:val="18"/>
                <w:color w:val="0000FF"/>
              </w:rPr>
              <w:t>Consent of Latham &amp; Watkins LLP (included in Exhibit 5.1)</w:t>
            </w:r>
          </w:p>
        </w:tc>
      </w:tr>
      <w:tr>
        <w:trPr>
          <w:trHeight w:val="20"/>
        </w:trPr>
        <w:tc>
          <w:tcPr>
            <w:tcW w:w="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460" w:type="dxa"/>
            <w:vAlign w:val="bottom"/>
            <w:gridSpan w:val="4"/>
          </w:tcPr>
          <w:p>
            <w:pPr>
              <w:ind w:left="40"/>
              <w:spacing w:after="0"/>
              <w:rPr>
                <w:sz w:val="20"/>
                <w:szCs w:val="20"/>
                <w:color w:val="auto"/>
              </w:rPr>
            </w:pPr>
            <w:r>
              <w:rPr>
                <w:rFonts w:ascii="Arial" w:cs="Arial" w:eastAsia="Arial" w:hAnsi="Arial"/>
                <w:sz w:val="18"/>
                <w:szCs w:val="18"/>
                <w:color w:val="auto"/>
                <w:w w:val="83"/>
              </w:rPr>
              <w:t>24.1+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sz w:val="20"/>
                <w:szCs w:val="20"/>
                <w:color w:val="auto"/>
              </w:rPr>
            </w:pPr>
            <w:r>
              <w:rPr>
                <w:rFonts w:ascii="Arial" w:cs="Arial" w:eastAsia="Arial" w:hAnsi="Arial"/>
                <w:sz w:val="18"/>
                <w:szCs w:val="18"/>
                <w:color w:val="auto"/>
              </w:rPr>
              <w:t>Power of attorney (included on signature pages below)</w:t>
            </w:r>
          </w:p>
        </w:tc>
      </w:tr>
      <w:tr>
        <w:trPr>
          <w:trHeight w:val="459"/>
        </w:trPr>
        <w:tc>
          <w:tcPr>
            <w:tcW w:w="460" w:type="dxa"/>
            <w:vAlign w:val="bottom"/>
            <w:gridSpan w:val="4"/>
          </w:tcPr>
          <w:p>
            <w:pPr>
              <w:ind w:left="40"/>
              <w:spacing w:after="0"/>
              <w:rPr>
                <w:sz w:val="20"/>
                <w:szCs w:val="20"/>
                <w:color w:val="auto"/>
              </w:rPr>
            </w:pPr>
            <w:r>
              <w:rPr>
                <w:rFonts w:ascii="Arial" w:cs="Arial" w:eastAsia="Arial" w:hAnsi="Arial"/>
                <w:sz w:val="18"/>
                <w:szCs w:val="18"/>
                <w:color w:val="0000FF"/>
                <w:w w:val="83"/>
              </w:rPr>
              <w:t>99.</w:t>
            </w:r>
            <w:r>
              <w:rPr>
                <w:rFonts w:ascii="Arial" w:cs="Arial" w:eastAsia="Arial" w:hAnsi="Arial"/>
                <w:sz w:val="18"/>
                <w:szCs w:val="18"/>
                <w:u w:val="single" w:color="auto"/>
                <w:color w:val="0000FF"/>
                <w:w w:val="83"/>
              </w:rPr>
              <w:t>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9"/>
          </w:tcPr>
          <w:p>
            <w:pPr>
              <w:spacing w:after="0"/>
              <w:rPr>
                <w:sz w:val="20"/>
                <w:szCs w:val="20"/>
                <w:color w:val="auto"/>
              </w:rPr>
            </w:pPr>
            <w:r>
              <w:rPr>
                <w:rFonts w:ascii="Arial" w:cs="Arial" w:eastAsia="Arial" w:hAnsi="Arial"/>
                <w:sz w:val="18"/>
                <w:szCs w:val="18"/>
                <w:color w:val="0000FF"/>
                <w:w w:val="92"/>
              </w:rPr>
              <w:t>Selecta Biosciences, Inc. 2018 Employment Inducement Incentive Award Plan, and forms of award</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agreements thereunder</w:t>
            </w:r>
          </w:p>
        </w:tc>
        <w:tc>
          <w:tcPr>
            <w:tcW w:w="1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360"/>
          </w:cols>
          <w:pgMar w:left="240" w:top="580" w:right="2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25th day of March, 2019.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SELECTA BIOSCIENCES, INC.</w:t>
      </w:r>
    </w:p>
    <w:p>
      <w:pPr>
        <w:spacing w:after="0" w:line="391" w:lineRule="exact"/>
        <w:rPr>
          <w:sz w:val="20"/>
          <w:szCs w:val="20"/>
          <w:color w:val="auto"/>
        </w:rPr>
      </w:pPr>
    </w:p>
    <w:p>
      <w:pPr>
        <w:ind w:left="494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341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320"/>
          </w:cols>
          <w:pgMar w:left="240" w:top="144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Carsten Brunn, Ph.D., and the Chief Financial Officer of the Company, who is currently John Leaman, M.D.,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02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Signature</w:t>
            </w:r>
          </w:p>
        </w:tc>
        <w:tc>
          <w:tcPr>
            <w:tcW w:w="21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50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8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w w:val="93"/>
              </w:rPr>
              <w:t>Chief Financial Officer, Head of Corporate Strategy, and</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John Leaman, M.D.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Treasurer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John Leaman, M.D.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Barabe</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Barabe</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Omid Farokhzad, M.D.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Amir Nashat, Ph.D.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Springer,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44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25, 2019</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ectPr>
          <w:pgSz w:w="11900" w:h="16838" w:orient="portrait"/>
          <w:cols w:equalWidth="0" w:num="1">
            <w:col w:w="11400"/>
          </w:cols>
          <w:pgMar w:left="240" w:top="58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1804035</wp:posOffset>
            </wp:positionV>
            <wp:extent cx="233235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323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25,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Selecta Biosciences,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480 Arsenal Way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Watertown, MA 02472</w:t>
      </w:r>
    </w:p>
    <w:p>
      <w:pPr>
        <w:spacing w:after="0" w:line="20" w:lineRule="exact"/>
        <w:rPr>
          <w:sz w:val="20"/>
          <w:szCs w:val="20"/>
          <w:color w:val="auto"/>
        </w:rPr>
      </w:pPr>
      <w:r>
        <w:rPr>
          <w:sz w:val="20"/>
          <w:szCs w:val="20"/>
          <w:color w:val="auto"/>
        </w:rPr>
        <w:br w:type="column"/>
      </w:r>
    </w:p>
    <w:p>
      <w:pPr>
        <w:jc w:val="right"/>
        <w:ind w:right="2220"/>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200 Clarendon Street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02116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Tel: +1.617.948.6000 Fax: +1.617.948.6001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Orange County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Dusseldorf</w:t>
      </w:r>
      <w:r>
        <w:rPr>
          <w:sz w:val="20"/>
          <w:szCs w:val="20"/>
          <w:color w:val="auto"/>
        </w:rPr>
        <w:tab/>
      </w:r>
      <w:r>
        <w:rPr>
          <w:rFonts w:ascii="Arial" w:cs="Arial" w:eastAsia="Arial" w:hAnsi="Arial"/>
          <w:sz w:val="14"/>
          <w:szCs w:val="14"/>
          <w:color w:val="auto"/>
        </w:rPr>
        <w:t>Rome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Franfurt</w:t>
      </w:r>
      <w:r>
        <w:rPr>
          <w:sz w:val="20"/>
          <w:szCs w:val="20"/>
          <w:color w:val="auto"/>
        </w:rPr>
        <w:tab/>
      </w:r>
      <w:r>
        <w:rPr>
          <w:rFonts w:ascii="Arial" w:cs="Arial" w:eastAsia="Arial" w:hAnsi="Arial"/>
          <w:sz w:val="14"/>
          <w:szCs w:val="14"/>
          <w:color w:val="auto"/>
        </w:rPr>
        <w:t>San Diego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3"/>
          <w:szCs w:val="13"/>
          <w:color w:val="auto"/>
        </w:rPr>
        <w:t>Seoul</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Shanghai</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Silicon Valley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Singapore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Tokyo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Washington, D.C.</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File No. 049821-0014</w:t>
      </w:r>
    </w:p>
    <w:p>
      <w:pPr>
        <w:spacing w:after="0" w:line="200" w:lineRule="exact"/>
        <w:rPr>
          <w:sz w:val="20"/>
          <w:szCs w:val="20"/>
          <w:color w:val="auto"/>
        </w:rPr>
      </w:pPr>
    </w:p>
    <w:p>
      <w:pPr>
        <w:sectPr>
          <w:pgSz w:w="11900" w:h="16838" w:orient="portrait"/>
          <w:cols w:equalWidth="0" w:num="2">
            <w:col w:w="4940" w:space="720"/>
            <w:col w:w="5760"/>
          </w:cols>
          <w:pgMar w:left="240" w:top="742" w:right="239" w:bottom="1440" w:gutter="0" w:footer="0" w:header="0"/>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Registration Statement on Form S-8; 2,000,000 shares of Selecta Biosciences, Inc. Common Stock, $0.0001 par value per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acted as special counsel to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preparation and filing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issuance by the Company of up to 2,000,000 shares of common stock of the Company, $0.0001 par value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under the Selecta Biosciences, Inc. 2018 Employment Inducement Incentive Award Plan (as amended and restated, the “</w:t>
      </w:r>
      <w:r>
        <w:rPr>
          <w:rFonts w:ascii="Arial" w:cs="Arial" w:eastAsia="Arial" w:hAnsi="Arial"/>
          <w:sz w:val="17"/>
          <w:szCs w:val="17"/>
          <w:b w:val="1"/>
          <w:bCs w:val="1"/>
          <w:i w:val="1"/>
          <w:iCs w:val="1"/>
          <w:color w:val="auto"/>
        </w:rPr>
        <w:t>Inducement Plan</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issue of the Shares.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Inducement Plan, assuming in each case that the individual grants or awards under the Inducement Plan are duly authorized by all necessary corporate action and duly granted or awarded and exercised in accordance with the requirements of law and the Inducement Plan (and the agreements and awards duly adopted thereunder and in accordance therewith), the issue and sale of the Shares will have been duly authorized by all necessary corporate action of the Company, and the Shares will be validly issued, fully paid and</w:t>
      </w:r>
    </w:p>
    <w:p>
      <w:pPr>
        <w:sectPr>
          <w:pgSz w:w="11900" w:h="16838" w:orient="portrait"/>
          <w:cols w:equalWidth="0" w:num="1">
            <w:col w:w="11420"/>
          </w:cols>
          <w:pgMar w:left="240" w:top="742" w:right="239" w:bottom="1440" w:gutter="0" w:footer="0" w:header="0"/>
          <w:type w:val="continuous"/>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nonassessable. In rendering the foregoing opinion, we have assumed that the Company will comply with all applicable notice requirements regarding uncertificated shares provided in the DGCL.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20"/>
          </w:cols>
          <w:pgMar w:left="240" w:top="584" w:right="239" w:bottom="1440" w:gutter="0" w:footer="0" w:header="0"/>
        </w:sectPr>
      </w:pPr>
    </w:p>
    <w:bookmarkStart w:id="7" w:name="page8"/>
    <w:bookmarkEnd w:id="7"/>
    <w:p>
      <w:pPr>
        <w:ind w:left="1048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on Form S-8 pertaining to the 2018 Employment Inducement Incentive Award Plan of Selecta Biosciences, Inc. of our report dated March 15, 2019 with respect to the consolidated financial statements of Selecta Biosciences, Inc. and subsidiaries included in its Annual Report (Form 10-K) for the year ended December 31, 2018, filed with the Securities and Exchange Commission.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ectPr>
          <w:pgSz w:w="11900" w:h="16838" w:orient="portrait"/>
          <w:cols w:equalWidth="0" w:num="1">
            <w:col w:w="11420"/>
          </w:cols>
          <w:pgMar w:left="240" w:top="58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5487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Eligible Individuals are eligible to be granted Awards under the Plan, subject to the limitations described herein.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AND DELEGATION</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7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AVAILABLE FOR AWARDS</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Number of Shares</w:t>
      </w:r>
      <w:r>
        <w:rPr>
          <w:rFonts w:ascii="Arial" w:cs="Arial" w:eastAsia="Arial" w:hAnsi="Arial"/>
          <w:sz w:val="20"/>
          <w:szCs w:val="20"/>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ectPr>
          <w:pgSz w:w="11900" w:h="16838" w:orient="portrait"/>
          <w:cols w:equalWidth="0" w:num="1">
            <w:col w:w="11420"/>
          </w:cols>
          <w:pgMar w:left="240" w:top="292" w:right="239" w:bottom="1440" w:gutter="0" w:footer="0" w:header="0"/>
        </w:sectPr>
      </w:pPr>
    </w:p>
    <w:bookmarkStart w:id="9" w:name="page10"/>
    <w:bookmarkEnd w:id="9"/>
    <w:p>
      <w:pPr>
        <w:jc w:val="both"/>
        <w:ind w:firstLine="648"/>
        <w:spacing w:after="0" w:line="27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Exercise Price</w:t>
      </w:r>
      <w:r>
        <w:rPr>
          <w:rFonts w:ascii="Arial" w:cs="Arial" w:eastAsia="Arial" w:hAnsi="Arial"/>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Duration</w:t>
      </w:r>
      <w:r>
        <w:rPr>
          <w:rFonts w:ascii="Arial" w:cs="Arial" w:eastAsia="Arial" w:hAnsi="Arial"/>
          <w:sz w:val="18"/>
          <w:szCs w:val="18"/>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9"/>
          <w:szCs w:val="19"/>
          <w:color w:val="auto"/>
        </w:rPr>
        <w:t>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8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w:t>
      </w:r>
    </w:p>
    <w:p>
      <w:pPr>
        <w:spacing w:after="0" w:line="1" w:lineRule="exact"/>
        <w:rPr>
          <w:sz w:val="20"/>
          <w:szCs w:val="20"/>
          <w:color w:val="auto"/>
        </w:rPr>
      </w:pPr>
    </w:p>
    <w:p>
      <w:pPr>
        <w:ind w:firstLine="8"/>
        <w:spacing w:after="0" w:line="244" w:lineRule="auto"/>
        <w:tabs>
          <w:tab w:leader="none" w:pos="297" w:val="left"/>
        </w:tabs>
        <w:numPr>
          <w:ilvl w:val="0"/>
          <w:numId w:val="2"/>
        </w:numPr>
        <w:rPr>
          <w:rFonts w:ascii="Arial" w:cs="Arial" w:eastAsia="Arial" w:hAnsi="Arial"/>
          <w:sz w:val="20"/>
          <w:szCs w:val="20"/>
          <w:color w:val="auto"/>
        </w:rPr>
      </w:pPr>
      <w:r>
        <w:rPr>
          <w:rFonts w:ascii="Arial" w:cs="Arial" w:eastAsia="Arial" w:hAnsi="Arial"/>
          <w:sz w:val="20"/>
          <w:szCs w:val="20"/>
          <w:color w:val="auto"/>
        </w:rPr>
        <w:t>as specified in Section 9.5 for any applicable taxes. Unless the Administrator otherwise determines, an Option or Stock Appreciation Right may not be exercised for a fraction of a Share.</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Payment Upon Exercise</w:t>
      </w:r>
      <w:r>
        <w:rPr>
          <w:rFonts w:ascii="Arial" w:cs="Arial" w:eastAsia="Arial" w:hAnsi="Arial"/>
          <w:sz w:val="19"/>
          <w:szCs w:val="19"/>
          <w:color w:val="auto"/>
        </w:rPr>
        <w:t>. Subject to Section 10.9, any Company insider trading policy (including blackout periods)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Applicable Laws, the exercise price of an Option must be paid by:</w:t>
      </w:r>
    </w:p>
    <w:p>
      <w:pPr>
        <w:spacing w:after="0" w:line="200" w:lineRule="exact"/>
        <w:rPr>
          <w:sz w:val="20"/>
          <w:szCs w:val="20"/>
          <w:color w:val="auto"/>
        </w:rPr>
      </w:pPr>
    </w:p>
    <w:p>
      <w:pPr>
        <w:ind w:firstLine="1305"/>
        <w:spacing w:after="0" w:line="287" w:lineRule="auto"/>
        <w:tabs>
          <w:tab w:leader="none" w:pos="1764" w:val="left"/>
        </w:tabs>
        <w:numPr>
          <w:ilvl w:val="0"/>
          <w:numId w:val="3"/>
        </w:numPr>
        <w:rPr>
          <w:rFonts w:ascii="Arial" w:cs="Arial" w:eastAsia="Arial" w:hAnsi="Arial"/>
          <w:sz w:val="19"/>
          <w:szCs w:val="19"/>
          <w:color w:val="auto"/>
        </w:rPr>
      </w:pPr>
      <w:r>
        <w:rPr>
          <w:rFonts w:ascii="Arial" w:cs="Arial" w:eastAsia="Arial" w:hAnsi="Arial"/>
          <w:sz w:val="19"/>
          <w:szCs w:val="19"/>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52" w:lineRule="exact"/>
        <w:rPr>
          <w:rFonts w:ascii="Arial" w:cs="Arial" w:eastAsia="Arial" w:hAnsi="Arial"/>
          <w:sz w:val="19"/>
          <w:szCs w:val="19"/>
          <w:color w:val="auto"/>
        </w:rPr>
      </w:pPr>
    </w:p>
    <w:p>
      <w:pPr>
        <w:jc w:val="both"/>
        <w:ind w:firstLine="1305"/>
        <w:spacing w:after="0" w:line="278" w:lineRule="auto"/>
        <w:tabs>
          <w:tab w:leader="none" w:pos="178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5" w:lineRule="exact"/>
        <w:rPr>
          <w:rFonts w:ascii="Arial" w:cs="Arial" w:eastAsia="Arial" w:hAnsi="Arial"/>
          <w:sz w:val="18"/>
          <w:szCs w:val="18"/>
          <w:color w:val="auto"/>
        </w:rPr>
      </w:pPr>
    </w:p>
    <w:p>
      <w:pPr>
        <w:ind w:firstLine="1305"/>
        <w:spacing w:after="0" w:line="260" w:lineRule="auto"/>
        <w:tabs>
          <w:tab w:leader="none" w:pos="1764"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w:t>
      </w:r>
    </w:p>
    <w:p>
      <w:pPr>
        <w:spacing w:after="0" w:line="176" w:lineRule="exact"/>
        <w:rPr>
          <w:rFonts w:ascii="Arial" w:cs="Arial" w:eastAsia="Arial" w:hAnsi="Arial"/>
          <w:sz w:val="20"/>
          <w:szCs w:val="20"/>
          <w:color w:val="auto"/>
        </w:rPr>
      </w:pPr>
    </w:p>
    <w:p>
      <w:pPr>
        <w:ind w:firstLine="1305"/>
        <w:spacing w:after="0" w:line="260" w:lineRule="auto"/>
        <w:tabs>
          <w:tab w:leader="none" w:pos="1721"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pacing w:after="0" w:line="176" w:lineRule="exact"/>
        <w:rPr>
          <w:rFonts w:ascii="Arial" w:cs="Arial" w:eastAsia="Arial" w:hAnsi="Arial"/>
          <w:sz w:val="20"/>
          <w:szCs w:val="20"/>
          <w:color w:val="auto"/>
        </w:rPr>
      </w:pPr>
    </w:p>
    <w:p>
      <w:pPr>
        <w:ind w:firstLine="1305"/>
        <w:spacing w:after="0" w:line="260" w:lineRule="auto"/>
        <w:tabs>
          <w:tab w:leader="none" w:pos="1737"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of a promissory note or any other property that the Administrator determines is good and valuable consideration; or</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RESTRICTED STOCK UNITS</w:t>
      </w:r>
    </w:p>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Restricted Stock, or the right to purchase Restricted Stock, to any Eligible Individual, subject to the Company’s right to repurchase all or part of such shares 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20"/>
          <w:szCs w:val="20"/>
          <w:color w:val="auto"/>
        </w:rPr>
        <w:t>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4" w:lineRule="auto"/>
        <w:tabs>
          <w:tab w:leader="none" w:pos="171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94" w:lineRule="exact"/>
        <w:rPr>
          <w:rFonts w:ascii="Arial" w:cs="Arial" w:eastAsia="Arial" w:hAnsi="Arial"/>
          <w:sz w:val="20"/>
          <w:szCs w:val="20"/>
          <w:color w:val="auto"/>
        </w:rPr>
      </w:pPr>
    </w:p>
    <w:p>
      <w:pPr>
        <w:ind w:firstLine="1305"/>
        <w:spacing w:after="0" w:line="260" w:lineRule="auto"/>
        <w:tabs>
          <w:tab w:leader="none" w:pos="1748"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Stock Certificates</w:t>
      </w:r>
      <w:r>
        <w:rPr>
          <w:rFonts w:ascii="Arial" w:cs="Arial" w:eastAsia="Arial" w:hAnsi="Arial"/>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216" w:lineRule="exact"/>
        <w:rPr>
          <w:sz w:val="20"/>
          <w:szCs w:val="20"/>
          <w:color w:val="auto"/>
        </w:rPr>
      </w:pPr>
    </w:p>
    <w:p>
      <w:pPr>
        <w:jc w:val="both"/>
        <w:ind w:firstLine="1305"/>
        <w:spacing w:after="0" w:line="250" w:lineRule="auto"/>
        <w:tabs>
          <w:tab w:leader="none" w:pos="1818"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86" w:lineRule="exact"/>
        <w:rPr>
          <w:rFonts w:ascii="Arial" w:cs="Arial" w:eastAsia="Arial" w:hAnsi="Arial"/>
          <w:sz w:val="20"/>
          <w:szCs w:val="20"/>
          <w:color w:val="auto"/>
        </w:rPr>
      </w:pPr>
    </w:p>
    <w:p>
      <w:pPr>
        <w:ind w:firstLine="1305"/>
        <w:spacing w:after="0" w:line="260" w:lineRule="auto"/>
        <w:tabs>
          <w:tab w:leader="none" w:pos="1775"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76" w:lineRule="exact"/>
        <w:rPr>
          <w:rFonts w:ascii="Arial" w:cs="Arial" w:eastAsia="Arial" w:hAnsi="Arial"/>
          <w:sz w:val="20"/>
          <w:szCs w:val="20"/>
          <w:color w:val="auto"/>
        </w:rPr>
      </w:pPr>
    </w:p>
    <w:p>
      <w:pPr>
        <w:jc w:val="both"/>
        <w:ind w:firstLine="1305"/>
        <w:spacing w:after="0" w:line="263" w:lineRule="auto"/>
        <w:tabs>
          <w:tab w:leader="none" w:pos="171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STOCK OR CASH BASED AWARDS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2" w:name="page13"/>
    <w:bookmarkEnd w:id="12"/>
    <w:p>
      <w:pPr>
        <w:jc w:val="both"/>
        <w:spacing w:after="0" w:line="291" w:lineRule="auto"/>
        <w:rPr>
          <w:sz w:val="20"/>
          <w:szCs w:val="20"/>
          <w:color w:val="auto"/>
        </w:rPr>
      </w:pPr>
      <w:r>
        <w:rPr>
          <w:rFonts w:ascii="Arial" w:cs="Arial" w:eastAsia="Arial" w:hAnsi="Arial"/>
          <w:sz w:val="18"/>
          <w:szCs w:val="18"/>
          <w:color w:val="auto"/>
        </w:rPr>
        <w:t>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7" w:lineRule="exact"/>
        <w:rPr>
          <w:sz w:val="20"/>
          <w:szCs w:val="20"/>
          <w:color w:val="auto"/>
        </w:rPr>
      </w:pPr>
    </w:p>
    <w:p>
      <w:pPr>
        <w:jc w:val="both"/>
        <w:ind w:firstLine="1305"/>
        <w:spacing w:after="0" w:line="244" w:lineRule="auto"/>
        <w:tabs>
          <w:tab w:leader="none" w:pos="1696"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4" w:lineRule="exact"/>
        <w:rPr>
          <w:rFonts w:ascii="Arial" w:cs="Arial" w:eastAsia="Arial" w:hAnsi="Arial"/>
          <w:sz w:val="20"/>
          <w:szCs w:val="20"/>
          <w:color w:val="auto"/>
        </w:rPr>
      </w:pPr>
    </w:p>
    <w:p>
      <w:pPr>
        <w:ind w:right="20" w:firstLine="1305"/>
        <w:spacing w:after="0" w:line="260" w:lineRule="auto"/>
        <w:tabs>
          <w:tab w:leader="none" w:pos="1815"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6" w:lineRule="exact"/>
        <w:rPr>
          <w:rFonts w:ascii="Arial" w:cs="Arial" w:eastAsia="Arial" w:hAnsi="Arial"/>
          <w:sz w:val="20"/>
          <w:szCs w:val="20"/>
          <w:color w:val="auto"/>
        </w:rPr>
      </w:pPr>
    </w:p>
    <w:p>
      <w:pPr>
        <w:ind w:firstLine="1305"/>
        <w:spacing w:after="0" w:line="260" w:lineRule="auto"/>
        <w:tabs>
          <w:tab w:leader="none" w:pos="1696"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awards covering the stock of the successor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3" w:name="page14"/>
    <w:bookmarkEnd w:id="13"/>
    <w:p>
      <w:pPr>
        <w:ind w:right="20"/>
        <w:spacing w:after="0" w:line="260" w:lineRule="auto"/>
        <w:rPr>
          <w:sz w:val="20"/>
          <w:szCs w:val="20"/>
          <w:color w:val="auto"/>
        </w:rPr>
      </w:pPr>
      <w:r>
        <w:rPr>
          <w:rFonts w:ascii="Arial" w:cs="Arial" w:eastAsia="Arial" w:hAnsi="Arial"/>
          <w:sz w:val="20"/>
          <w:szCs w:val="20"/>
          <w:color w:val="auto"/>
        </w:rPr>
        <w:t>survivor corporation, or a parent or subsidiary thereof, with appropriate adjustments as to the number and kind of shares and/or applicable exercise or purchase price, in all cases, as determined by the Administrator;</w:t>
      </w:r>
    </w:p>
    <w:p>
      <w:pPr>
        <w:spacing w:after="0" w:line="177" w:lineRule="exact"/>
        <w:rPr>
          <w:sz w:val="20"/>
          <w:szCs w:val="20"/>
          <w:color w:val="auto"/>
        </w:rPr>
      </w:pPr>
    </w:p>
    <w:p>
      <w:pPr>
        <w:jc w:val="both"/>
        <w:ind w:firstLine="1305"/>
        <w:spacing w:after="0" w:line="246" w:lineRule="auto"/>
        <w:tabs>
          <w:tab w:leader="none" w:pos="1802"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91" w:lineRule="exact"/>
        <w:rPr>
          <w:rFonts w:ascii="Arial" w:cs="Arial" w:eastAsia="Arial" w:hAnsi="Arial"/>
          <w:sz w:val="20"/>
          <w:szCs w:val="20"/>
          <w:color w:val="auto"/>
        </w:rPr>
      </w:pPr>
    </w:p>
    <w:p>
      <w:pPr>
        <w:ind w:left="1700" w:hanging="395"/>
        <w:spacing w:after="0"/>
        <w:tabs>
          <w:tab w:leader="none" w:pos="1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and/or</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Non-Assumption</w:t>
      </w:r>
      <w:r>
        <w:rPr>
          <w:rFonts w:ascii="Arial" w:cs="Arial" w:eastAsia="Arial" w:hAnsi="Arial"/>
          <w:sz w:val="18"/>
          <w:szCs w:val="18"/>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Administrative Stand Still</w:t>
      </w:r>
      <w:r>
        <w:rPr>
          <w:rFonts w:ascii="Arial" w:cs="Arial" w:eastAsia="Arial" w:hAnsi="Arial"/>
          <w:sz w:val="20"/>
          <w:szCs w:val="20"/>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 APPLICABLE TO AWARDS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Transferability</w:t>
      </w:r>
      <w:r>
        <w:rPr>
          <w:rFonts w:ascii="Arial" w:cs="Arial" w:eastAsia="Arial" w:hAnsi="Arial"/>
          <w:sz w:val="20"/>
          <w:szCs w:val="20"/>
          <w:color w:val="auto"/>
        </w:rPr>
        <w:t>. Except as the Administrator may determine or provide in an Award Agreement or otherwise, Awards may not be sold, assigned, transferred, pledged or otherwise encumbered,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20"/>
          <w:szCs w:val="20"/>
          <w:color w:val="auto"/>
        </w:rPr>
        <w:t>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Documentation</w:t>
      </w:r>
      <w:r>
        <w:rPr>
          <w:rFonts w:ascii="Arial" w:cs="Arial" w:eastAsia="Arial" w:hAnsi="Arial"/>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Discretion</w:t>
      </w:r>
      <w:r>
        <w:rPr>
          <w:rFonts w:ascii="Arial" w:cs="Arial" w:eastAsia="Arial" w:hAnsi="Arial"/>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Termination of Status</w:t>
      </w:r>
      <w:r>
        <w:rPr>
          <w:rFonts w:ascii="Arial" w:cs="Arial" w:eastAsia="Arial" w:hAnsi="Arial"/>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Amendment of Award; Repricing</w:t>
      </w:r>
      <w:r>
        <w:rPr>
          <w:rFonts w:ascii="Arial" w:cs="Arial" w:eastAsia="Arial" w:hAnsi="Arial"/>
          <w:sz w:val="20"/>
          <w:szCs w:val="20"/>
          <w:color w:val="auto"/>
        </w:rPr>
        <w:t>. The Administrator may amend, modify or terminate any outstanding Award, including by substituting another Award of the same or a different type or changing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8"/>
          <w:szCs w:val="18"/>
          <w:color w:val="auto"/>
        </w:rPr>
        <w:t>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Acceleration</w:t>
      </w:r>
      <w:r>
        <w:rPr>
          <w:rFonts w:ascii="Arial" w:cs="Arial" w:eastAsia="Arial" w:hAnsi="Arial"/>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Action Required Upon Grant of Award</w:t>
      </w:r>
      <w:r>
        <w:rPr>
          <w:rFonts w:ascii="Arial" w:cs="Arial" w:eastAsia="Arial" w:hAnsi="Arial"/>
          <w:sz w:val="20"/>
          <w:szCs w:val="20"/>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 Right to Employment or Other Status</w:t>
      </w:r>
      <w:r>
        <w:rPr>
          <w:rFonts w:ascii="Arial" w:cs="Arial" w:eastAsia="Arial" w:hAnsi="Arial"/>
          <w:sz w:val="20"/>
          <w:szCs w:val="20"/>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6" w:name="page17"/>
    <w:bookmarkEnd w:id="16"/>
    <w:p>
      <w:pPr>
        <w:jc w:val="both"/>
        <w:ind w:right="20" w:firstLine="648"/>
        <w:spacing w:after="0" w:line="25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Effective Date and Term of Plan</w:t>
      </w:r>
      <w:r>
        <w:rPr>
          <w:rFonts w:ascii="Arial" w:cs="Arial" w:eastAsia="Arial" w:hAnsi="Arial"/>
          <w:sz w:val="20"/>
          <w:szCs w:val="20"/>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Stockholder Approval Not Required</w:t>
      </w:r>
      <w:r>
        <w:rPr>
          <w:rFonts w:ascii="Arial" w:cs="Arial" w:eastAsia="Arial" w:hAnsi="Arial"/>
          <w:sz w:val="18"/>
          <w:szCs w:val="18"/>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Amendment of Plan</w:t>
      </w:r>
      <w:r>
        <w:rPr>
          <w:rFonts w:ascii="Arial" w:cs="Arial" w:eastAsia="Arial" w:hAnsi="Arial"/>
          <w:sz w:val="20"/>
          <w:szCs w:val="20"/>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Provisions for Foreign Participants</w:t>
      </w:r>
      <w:r>
        <w:rPr>
          <w:rFonts w:ascii="Arial" w:cs="Arial" w:eastAsia="Arial" w:hAnsi="Arial"/>
          <w:sz w:val="19"/>
          <w:szCs w:val="19"/>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1" w:lineRule="auto"/>
        <w:tabs>
          <w:tab w:leader="none" w:pos="171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7" w:name="page18"/>
    <w:bookmarkEnd w:id="17"/>
    <w:p>
      <w:pPr>
        <w:jc w:val="both"/>
        <w:ind w:firstLine="1305"/>
        <w:spacing w:after="0" w:line="243" w:lineRule="auto"/>
        <w:tabs>
          <w:tab w:leader="none" w:pos="1707"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96" w:lineRule="exact"/>
        <w:rPr>
          <w:rFonts w:ascii="Arial" w:cs="Arial" w:eastAsia="Arial" w:hAnsi="Arial"/>
          <w:sz w:val="20"/>
          <w:szCs w:val="20"/>
          <w:color w:val="auto"/>
        </w:rPr>
      </w:pPr>
    </w:p>
    <w:p>
      <w:pPr>
        <w:jc w:val="both"/>
        <w:ind w:firstLine="1305"/>
        <w:spacing w:after="0" w:line="257" w:lineRule="auto"/>
        <w:tabs>
          <w:tab w:leader="none" w:pos="1777"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Payments to Specified Employees</w:t>
      </w:r>
      <w:r>
        <w:rPr>
          <w:rFonts w:ascii="Arial" w:cs="Arial" w:eastAsia="Arial" w:hAnsi="Arial"/>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Limitations on Liability</w:t>
      </w:r>
      <w:r>
        <w:rPr>
          <w:rFonts w:ascii="Arial" w:cs="Arial" w:eastAsia="Arial" w:hAnsi="Arial"/>
          <w:sz w:val="20"/>
          <w:szCs w:val="20"/>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Lock-Up Period</w:t>
      </w:r>
      <w:r>
        <w:rPr>
          <w:rFonts w:ascii="Arial" w:cs="Arial" w:eastAsia="Arial" w:hAnsi="Arial"/>
          <w:sz w:val="19"/>
          <w:szCs w:val="19"/>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Data Privacy</w:t>
      </w:r>
      <w:r>
        <w:rPr>
          <w:rFonts w:ascii="Arial" w:cs="Arial" w:eastAsia="Arial" w:hAnsi="Arial"/>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9"/>
          <w:szCs w:val="19"/>
          <w:color w:val="auto"/>
        </w:rPr>
        <w:t>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Governing Documents</w:t>
      </w:r>
      <w:r>
        <w:rPr>
          <w:rFonts w:ascii="Arial" w:cs="Arial" w:eastAsia="Arial" w:hAnsi="Arial"/>
          <w:sz w:val="19"/>
          <w:szCs w:val="19"/>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Claw-back Provisions</w:t>
      </w:r>
      <w:r>
        <w:rPr>
          <w:rFonts w:ascii="Arial" w:cs="Arial" w:eastAsia="Arial" w:hAnsi="Arial"/>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The titles and headings in the Plan are for convenience of reference only and, if any conflict, the Plan’s text, rather than such titles or headings, will control.</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Relationship to Other Benefits</w:t>
      </w:r>
      <w:r>
        <w:rPr>
          <w:rFonts w:ascii="Arial" w:cs="Arial" w:eastAsia="Arial" w:hAnsi="Arial"/>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words and phrases will have the following meanings: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Board or a Committee to the extent that the Board’s powers or authority under the Plan have been delegated to such Committee.</w:t>
      </w:r>
    </w:p>
    <w:p>
      <w:pPr>
        <w:spacing w:after="0" w:line="175" w:lineRule="exact"/>
        <w:rPr>
          <w:sz w:val="20"/>
          <w:szCs w:val="20"/>
          <w:color w:val="auto"/>
        </w:rPr>
      </w:pPr>
    </w:p>
    <w:p>
      <w:pPr>
        <w:jc w:val="both"/>
        <w:ind w:right="20" w:firstLine="648"/>
        <w:spacing w:after="0" w:line="32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or Other Stock or Cash Based Awards.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20"/>
          <w:szCs w:val="20"/>
          <w:b w:val="1"/>
          <w:bCs w:val="1"/>
          <w:i w:val="1"/>
          <w:iCs w:val="1"/>
          <w:color w:val="auto"/>
        </w:rPr>
        <w:t>Relevant Agreement</w:t>
      </w:r>
      <w:r>
        <w:rPr>
          <w:rFonts w:ascii="Arial" w:cs="Arial" w:eastAsia="Arial" w:hAnsi="Arial"/>
          <w:sz w:val="20"/>
          <w:szCs w:val="20"/>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20" w:name="page21"/>
    <w:bookmarkEnd w:id="20"/>
    <w:p>
      <w:pPr>
        <w:spacing w:after="0" w:line="289" w:lineRule="auto"/>
        <w:rPr>
          <w:sz w:val="20"/>
          <w:szCs w:val="20"/>
          <w:color w:val="auto"/>
        </w:rPr>
      </w:pPr>
      <w:r>
        <w:rPr>
          <w:rFonts w:ascii="Arial" w:cs="Arial" w:eastAsia="Arial" w:hAnsi="Arial"/>
          <w:sz w:val="20"/>
          <w:szCs w:val="20"/>
          <w:color w:val="auto"/>
        </w:rPr>
        <w:t>or (E) the Participant’s commission of an act of fraud, embezzlement, misappropriation, misconduct, or breach of fiduciary duty against the Company or any of its Subsidiaries.</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9" w:lineRule="exact"/>
        <w:rPr>
          <w:sz w:val="20"/>
          <w:szCs w:val="20"/>
          <w:color w:val="auto"/>
        </w:rPr>
      </w:pPr>
    </w:p>
    <w:p>
      <w:pPr>
        <w:jc w:val="both"/>
        <w:ind w:firstLine="1305"/>
        <w:spacing w:after="0" w:line="242" w:lineRule="auto"/>
        <w:tabs>
          <w:tab w:leader="none" w:pos="1858"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7" w:lineRule="exact"/>
        <w:rPr>
          <w:rFonts w:ascii="Arial" w:cs="Arial" w:eastAsia="Arial" w:hAnsi="Arial"/>
          <w:sz w:val="20"/>
          <w:szCs w:val="20"/>
          <w:color w:val="auto"/>
        </w:rPr>
      </w:pPr>
    </w:p>
    <w:p>
      <w:pPr>
        <w:jc w:val="both"/>
        <w:ind w:firstLine="1305"/>
        <w:spacing w:after="0" w:line="278" w:lineRule="auto"/>
        <w:tabs>
          <w:tab w:leader="none" w:pos="1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5" w:lineRule="exact"/>
        <w:rPr>
          <w:rFonts w:ascii="Arial" w:cs="Arial" w:eastAsia="Arial" w:hAnsi="Arial"/>
          <w:sz w:val="18"/>
          <w:szCs w:val="18"/>
          <w:color w:val="auto"/>
        </w:rPr>
      </w:pPr>
    </w:p>
    <w:p>
      <w:pPr>
        <w:jc w:val="both"/>
        <w:ind w:firstLine="1305"/>
        <w:spacing w:after="0" w:line="246" w:lineRule="auto"/>
        <w:tabs>
          <w:tab w:leader="none" w:pos="181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91" w:lineRule="exact"/>
        <w:rPr>
          <w:rFonts w:ascii="Arial" w:cs="Arial" w:eastAsia="Arial" w:hAnsi="Arial"/>
          <w:sz w:val="20"/>
          <w:szCs w:val="20"/>
          <w:color w:val="auto"/>
        </w:rPr>
      </w:pPr>
    </w:p>
    <w:p>
      <w:pPr>
        <w:jc w:val="both"/>
        <w:ind w:firstLine="1953"/>
        <w:spacing w:after="0" w:line="278" w:lineRule="auto"/>
        <w:tabs>
          <w:tab w:leader="none" w:pos="23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65" w:lineRule="exact"/>
        <w:rPr>
          <w:rFonts w:ascii="Arial" w:cs="Arial" w:eastAsia="Arial" w:hAnsi="Arial"/>
          <w:sz w:val="18"/>
          <w:szCs w:val="18"/>
          <w:color w:val="auto"/>
        </w:rPr>
      </w:pPr>
    </w:p>
    <w:p>
      <w:pPr>
        <w:jc w:val="both"/>
        <w:ind w:firstLine="1953"/>
        <w:spacing w:after="0" w:line="246" w:lineRule="auto"/>
        <w:tabs>
          <w:tab w:leader="none" w:pos="2434"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after which no person or group beneficially owns voting securities representing 50% or more of the combined voting power of the Successor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9" w:right="2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9"/>
          <w:szCs w:val="19"/>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Selecta Biosciences, Inc., a Delaware corporation, or any successor.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11.12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11.13 “</w:t>
      </w:r>
      <w:r>
        <w:rPr>
          <w:rFonts w:ascii="Arial" w:cs="Arial" w:eastAsia="Arial" w:hAnsi="Arial"/>
          <w:sz w:val="20"/>
          <w:szCs w:val="20"/>
          <w:b w:val="1"/>
          <w:bCs w:val="1"/>
          <w:i w:val="1"/>
          <w:iCs w:val="1"/>
          <w:color w:val="auto"/>
        </w:rPr>
        <w:t>Designated Beneficiary</w:t>
      </w:r>
      <w:r>
        <w:rPr>
          <w:rFonts w:ascii="Arial" w:cs="Arial" w:eastAsia="Arial" w:hAnsi="Arial"/>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11.16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means a right granted to a Participant under the Plan to receive the equivalent value (in cash or Shares) of dividends paid on Shares.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1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11.19 “</w:t>
      </w:r>
      <w:r>
        <w:rPr>
          <w:rFonts w:ascii="Arial" w:cs="Arial" w:eastAsia="Arial" w:hAnsi="Arial"/>
          <w:sz w:val="20"/>
          <w:szCs w:val="20"/>
          <w:b w:val="1"/>
          <w:bCs w:val="1"/>
          <w:i w:val="1"/>
          <w:iCs w:val="1"/>
          <w:color w:val="auto"/>
        </w:rPr>
        <w:t>Equity Restructuring</w:t>
      </w:r>
      <w:r>
        <w:rPr>
          <w:rFonts w:ascii="Arial" w:cs="Arial" w:eastAsia="Arial" w:hAnsi="Arial"/>
          <w:sz w:val="20"/>
          <w:szCs w:val="20"/>
          <w:color w:val="auto"/>
        </w:rPr>
        <w:t>” means a nonreciprocal transaction between the Company and its stockholders, such as a stock dividend, stock split, spin-off or recapitalization through a large, nonrecurring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20"/>
          <w:szCs w:val="20"/>
          <w:color w:val="auto"/>
        </w:rPr>
        <w:t>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11.23 “</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means a Director who qualifies as “independent” within the meaning of NASDAQ Rule 5635(c)(4), or any successor rule, as such rule may be amended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11.24 “</w:t>
      </w:r>
      <w:r>
        <w:rPr>
          <w:rFonts w:ascii="Arial" w:cs="Arial" w:eastAsia="Arial" w:hAnsi="Arial"/>
          <w:sz w:val="20"/>
          <w:szCs w:val="20"/>
          <w:b w:val="1"/>
          <w:bCs w:val="1"/>
          <w:i w:val="1"/>
          <w:iCs w:val="1"/>
          <w:color w:val="auto"/>
        </w:rPr>
        <w:t>NASDAQ Rule 5635(c)(4)</w:t>
      </w:r>
      <w:r>
        <w:rPr>
          <w:rFonts w:ascii="Arial" w:cs="Arial" w:eastAsia="Arial" w:hAnsi="Arial"/>
          <w:sz w:val="20"/>
          <w:szCs w:val="20"/>
          <w:color w:val="auto"/>
        </w:rPr>
        <w:t>” means NASDAQ Rule 5635(c)(4), or any successor rule, and all guidance and other interpretative authority thereunder, as such rule, guidance and other authority may be amended from time to time.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11.27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Overall Share Limit</w:t>
      </w:r>
      <w:r>
        <w:rPr>
          <w:rFonts w:ascii="Arial" w:cs="Arial" w:eastAsia="Arial" w:hAnsi="Arial"/>
          <w:sz w:val="16"/>
          <w:szCs w:val="16"/>
          <w:color w:val="auto"/>
        </w:rPr>
        <w:t>” means 3,175,000.</w:t>
      </w:r>
    </w:p>
    <w:p>
      <w:pPr>
        <w:spacing w:after="0" w:line="2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11.30 “</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2018 Employment Inducement Incentive Award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11.32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 subject to certain vesting conditions and other restrictions.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11.33 “</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11.35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all regulations, guidance, compliance programs and other interpretative authority thereunder.</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4" w:name="page25"/>
    <w:bookmarkEnd w:id="24"/>
    <w:p>
      <w:pPr>
        <w:jc w:val="both"/>
        <w:ind w:firstLine="648"/>
        <w:spacing w:after="0" w:line="246" w:lineRule="auto"/>
        <w:rPr>
          <w:sz w:val="20"/>
          <w:szCs w:val="20"/>
          <w:color w:val="auto"/>
        </w:rPr>
      </w:pPr>
      <w:r>
        <w:rPr>
          <w:rFonts w:ascii="Arial" w:cs="Arial" w:eastAsia="Arial" w:hAnsi="Arial"/>
          <w:sz w:val="20"/>
          <w:szCs w:val="20"/>
          <w:color w:val="auto"/>
        </w:rPr>
        <w:t>11.40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date the Participant ceases to be a Service Provider.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Restricted Stock Units described in this Grant Notice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subject to the terms and conditions of the Plan and the Restricted Stock Unit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Number of RSUs: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pacing w:after="0" w:line="162" w:lineRule="exact"/>
        <w:rPr>
          <w:sz w:val="20"/>
          <w:szCs w:val="20"/>
          <w:color w:val="auto"/>
        </w:rPr>
      </w:pPr>
    </w:p>
    <w:p>
      <w:pPr>
        <w:ind w:left="220"/>
        <w:spacing w:after="0"/>
        <w:tabs>
          <w:tab w:leader="none" w:pos="468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[To be specified in individual award agreements]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6" w:lineRule="auto"/>
        <w:tabs>
          <w:tab w:leader="none" w:pos="17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Each RSU represents the right to receive one Share or, at the option of the Company, an amount of cash, in either case, as set forth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Participant will have no right to the distribution of any Shares or payment of any cash until the time (if ever) the RSUs have vested.</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20"/>
          <w:szCs w:val="20"/>
          <w:b w:val="1"/>
          <w:bCs w:val="1"/>
          <w:i w:val="1"/>
          <w:iCs w:val="1"/>
          <w:color w:val="auto"/>
        </w:rPr>
        <w:t>Dividend Equivalent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for each Dividend Equivalent and credit the Dividend Equivalent Account (without interest) on the applicable dividend payment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with the amount of any such cash paid.</w:t>
      </w:r>
    </w:p>
    <w:p>
      <w:pPr>
        <w:spacing w:after="0" w:line="19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and Dividend Equivalents will at all times prior to settlement represent an unsecured Company obligation payable only from the Company’s general assets.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337" w:right="239" w:bottom="1440" w:gutter="0" w:footer="0" w:header="0"/>
        </w:sectPr>
      </w:pPr>
    </w:p>
    <w:bookmarkStart w:id="27" w:name="page28"/>
    <w:bookmarkEnd w:id="27"/>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9" w:lineRule="auto"/>
        <w:tabs>
          <w:tab w:leader="none" w:pos="1737" w:val="left"/>
        </w:tabs>
        <w:numPr>
          <w:ilvl w:val="0"/>
          <w:numId w:val="12"/>
        </w:numPr>
        <w:rPr>
          <w:rFonts w:ascii="Arial" w:cs="Arial" w:eastAsia="Arial" w:hAnsi="Arial"/>
          <w:sz w:val="19"/>
          <w:szCs w:val="19"/>
          <w:color w:val="auto"/>
        </w:rPr>
      </w:pPr>
      <w:r>
        <w:rPr>
          <w:rFonts w:ascii="Arial" w:cs="Arial" w:eastAsia="Arial" w:hAnsi="Arial"/>
          <w:sz w:val="19"/>
          <w:szCs w:val="19"/>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8" w:lineRule="exact"/>
        <w:rPr>
          <w:rFonts w:ascii="Arial" w:cs="Arial" w:eastAsia="Arial" w:hAnsi="Arial"/>
          <w:sz w:val="19"/>
          <w:szCs w:val="19"/>
          <w:color w:val="auto"/>
        </w:rPr>
      </w:pPr>
    </w:p>
    <w:p>
      <w:pPr>
        <w:jc w:val="both"/>
        <w:ind w:firstLine="1305"/>
        <w:spacing w:after="0" w:line="246" w:lineRule="auto"/>
        <w:tabs>
          <w:tab w:leader="none" w:pos="1707"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0" w:lineRule="exact"/>
        <w:rPr>
          <w:rFonts w:ascii="Arial" w:cs="Arial" w:eastAsia="Arial" w:hAnsi="Arial"/>
          <w:sz w:val="19"/>
          <w:szCs w:val="19"/>
          <w:color w:val="auto"/>
        </w:rPr>
      </w:pPr>
    </w:p>
    <w:p>
      <w:pPr>
        <w:jc w:val="both"/>
        <w:ind w:firstLine="1305"/>
        <w:spacing w:after="0" w:line="259" w:lineRule="auto"/>
        <w:tabs>
          <w:tab w:leader="none" w:pos="1775" w:val="left"/>
        </w:tabs>
        <w:numPr>
          <w:ilvl w:val="0"/>
          <w:numId w:val="13"/>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and the Dividend Equivalents are subject to adjustment, modification and termination in certain events as provided in this Agreement and the Plan.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8"/>
          <w:szCs w:val="18"/>
          <w:color w:val="auto"/>
        </w:rPr>
        <w:t>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29" w:name="page30"/>
    <w:bookmarkEnd w:id="29"/>
    <w:p>
      <w:pPr>
        <w:spacing w:after="0" w:line="260" w:lineRule="auto"/>
        <w:rPr>
          <w:sz w:val="20"/>
          <w:szCs w:val="20"/>
          <w:color w:val="auto"/>
        </w:rPr>
      </w:pPr>
      <w:r>
        <w:rPr>
          <w:rFonts w:ascii="Arial" w:cs="Arial" w:eastAsia="Arial" w:hAnsi="Arial"/>
          <w:sz w:val="20"/>
          <w:szCs w:val="20"/>
          <w:color w:val="auto"/>
        </w:rPr>
        <w:t>whatsoever, with or without Cause, except to the extent expressly provided otherwise in a written agreement between the Company or a Subsidiary and Participant.</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366"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Stock Option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stock option described in this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xml:space="preserve">”), subject to the terms and conditions of the Plan and the Stock Option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Exercise Price per Share: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Shares Subject to the Option: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Final Expiration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ectPr>
          <w:pgSz w:w="11900" w:h="16838" w:orient="portrait"/>
          <w:cols w:equalWidth="0" w:num="1">
            <w:col w:w="11420"/>
          </w:cols>
          <w:pgMar w:left="240" w:top="535" w:right="239" w:bottom="1440" w:gutter="0" w:footer="0" w:header="0"/>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900"/>
        <w:spacing w:after="0"/>
        <w:rPr>
          <w:sz w:val="20"/>
          <w:szCs w:val="20"/>
          <w:color w:val="auto"/>
        </w:rPr>
      </w:pPr>
      <w:r>
        <w:rPr>
          <w:rFonts w:ascii="Arial" w:cs="Arial" w:eastAsia="Arial" w:hAnsi="Arial"/>
          <w:sz w:val="18"/>
          <w:szCs w:val="18"/>
          <w:color w:val="auto"/>
        </w:rPr>
        <w:t>[To be specified in individual award agreements]</w:t>
      </w:r>
    </w:p>
    <w:p>
      <w:pPr>
        <w:spacing w:after="0" w:line="179"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Commencement of Exercisability</w:t>
      </w:r>
      <w:r>
        <w:rPr>
          <w:rFonts w:ascii="Arial" w:cs="Arial" w:eastAsia="Arial" w:hAnsi="Arial"/>
          <w:sz w:val="19"/>
          <w:szCs w:val="19"/>
          <w:color w:val="auto"/>
        </w:rPr>
        <w:t>. The Option will vest and become exercisable according to the vesting schedule in the Grant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9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ind w:left="1700" w:hanging="395"/>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final expiration date in the Grant Notice;</w:t>
      </w:r>
    </w:p>
    <w:p>
      <w:pPr>
        <w:spacing w:after="0" w:line="215" w:lineRule="exact"/>
        <w:rPr>
          <w:rFonts w:ascii="Arial" w:cs="Arial" w:eastAsia="Arial" w:hAnsi="Arial"/>
          <w:sz w:val="20"/>
          <w:szCs w:val="20"/>
          <w:color w:val="auto"/>
        </w:rPr>
      </w:pPr>
    </w:p>
    <w:p>
      <w:pPr>
        <w:ind w:right="20" w:firstLine="1305"/>
        <w:spacing w:after="0" w:line="316"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30" w:lineRule="exact"/>
        <w:rPr>
          <w:rFonts w:ascii="Arial" w:cs="Arial" w:eastAsia="Arial" w:hAnsi="Arial"/>
          <w:sz w:val="18"/>
          <w:szCs w:val="18"/>
          <w:color w:val="auto"/>
        </w:rPr>
      </w:pPr>
    </w:p>
    <w:p>
      <w:pPr>
        <w:ind w:firstLine="1305"/>
        <w:spacing w:after="0" w:line="260" w:lineRule="auto"/>
        <w:tabs>
          <w:tab w:leader="none" w:pos="18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(1) year from the date of Participant’s Termination of Service by reason of Participant’s death or Disability;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Participant’s Termination of Service for Cause.</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50" w:lineRule="auto"/>
        <w:tabs>
          <w:tab w:leader="none" w:pos="17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1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589" w:right="239" w:bottom="1440" w:gutter="0" w:footer="0" w:header="0"/>
        </w:sectPr>
      </w:pPr>
    </w:p>
    <w:bookmarkStart w:id="33" w:name="page34"/>
    <w:bookmarkEnd w:id="33"/>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Arial" w:cs="Arial" w:eastAsia="Arial" w:hAnsi="Arial"/>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shares of Restricted Stock described in this Grant Notice (the “</w:t>
      </w:r>
      <w:r>
        <w:rPr>
          <w:rFonts w:ascii="Arial" w:cs="Arial" w:eastAsia="Arial" w:hAnsi="Arial"/>
          <w:sz w:val="20"/>
          <w:szCs w:val="20"/>
          <w:b w:val="1"/>
          <w:bCs w:val="1"/>
          <w:i w:val="1"/>
          <w:iCs w:val="1"/>
          <w:color w:val="auto"/>
        </w:rPr>
        <w:t>Restricted Shares</w:t>
      </w:r>
      <w:r>
        <w:rPr>
          <w:rFonts w:ascii="Arial" w:cs="Arial" w:eastAsia="Arial" w:hAnsi="Arial"/>
          <w:sz w:val="20"/>
          <w:szCs w:val="20"/>
          <w:color w:val="auto"/>
        </w:rPr>
        <w:t xml:space="preserve">”), subject to the terms and conditions of the Plan and the Restricted Stock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ectPr>
          <w:pgSz w:w="11900" w:h="16838" w:orient="portrait"/>
          <w:cols w:equalWidth="0" w:num="1">
            <w:col w:w="11420"/>
          </w:cols>
          <w:pgMar w:left="240" w:top="535" w:right="239" w:bottom="1440" w:gutter="0" w:footer="0" w:header="0"/>
        </w:sect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Number of Restricted Shares: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Commencement Date: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be specified in individual award agreements]</w:t>
      </w:r>
    </w:p>
    <w:p>
      <w:pPr>
        <w:spacing w:after="0" w:line="216"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Issuance of Restricted Shares</w:t>
      </w:r>
      <w:r>
        <w:rPr>
          <w:rFonts w:ascii="Arial" w:cs="Arial" w:eastAsia="Arial" w:hAnsi="Arial"/>
          <w:sz w:val="20"/>
          <w:szCs w:val="20"/>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Employment Inducement Award</w:t>
      </w:r>
      <w:r>
        <w:rPr>
          <w:rFonts w:ascii="Arial" w:cs="Arial" w:eastAsia="Arial" w:hAnsi="Arial"/>
          <w:sz w:val="18"/>
          <w:szCs w:val="18"/>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ESCROW</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Vesting</w:t>
      </w:r>
      <w:r>
        <w:rPr>
          <w:rFonts w:ascii="Arial" w:cs="Arial" w:eastAsia="Arial" w:hAnsi="Arial"/>
          <w:sz w:val="20"/>
          <w:szCs w:val="20"/>
          <w:color w:val="auto"/>
        </w:rPr>
        <w:t>. The Restricted Shares will become vested Shares (the “</w:t>
      </w:r>
      <w:r>
        <w:rPr>
          <w:rFonts w:ascii="Arial" w:cs="Arial" w:eastAsia="Arial" w:hAnsi="Arial"/>
          <w:sz w:val="20"/>
          <w:szCs w:val="20"/>
          <w:b w:val="1"/>
          <w:bCs w:val="1"/>
          <w:i w:val="1"/>
          <w:iCs w:val="1"/>
          <w:color w:val="auto"/>
        </w:rPr>
        <w:t>Vested Shares</w:t>
      </w:r>
      <w:r>
        <w:rPr>
          <w:rFonts w:ascii="Arial" w:cs="Arial" w:eastAsia="Arial" w:hAnsi="Arial"/>
          <w:sz w:val="20"/>
          <w:szCs w:val="20"/>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Forfeiture</w:t>
      </w:r>
      <w:r>
        <w:rPr>
          <w:rFonts w:ascii="Arial" w:cs="Arial" w:eastAsia="Arial" w:hAnsi="Arial"/>
          <w:sz w:val="20"/>
          <w:szCs w:val="20"/>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6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337" w:right="2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20"/>
          <w:szCs w:val="20"/>
          <w:color w:val="auto"/>
        </w:rPr>
        <w:t>transfer. The Company, or its authorized representative, will not be liable for any good faith act or omission with respect to the holding in escrow or transfer of the Restricted Shares.</w:t>
      </w:r>
    </w:p>
    <w:p>
      <w:pPr>
        <w:spacing w:after="0" w:line="177" w:lineRule="exact"/>
        <w:rPr>
          <w:sz w:val="20"/>
          <w:szCs w:val="20"/>
          <w:color w:val="auto"/>
        </w:rPr>
      </w:pPr>
    </w:p>
    <w:p>
      <w:pPr>
        <w:jc w:val="both"/>
        <w:ind w:firstLine="1305"/>
        <w:spacing w:after="0" w:line="258" w:lineRule="auto"/>
        <w:tabs>
          <w:tab w:leader="none" w:pos="17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cash dividends and other distributions made or declared with respect to Unvested Shares (“</w:t>
      </w:r>
      <w:r>
        <w:rPr>
          <w:rFonts w:ascii="Arial" w:cs="Arial" w:eastAsia="Arial" w:hAnsi="Arial"/>
          <w:sz w:val="19"/>
          <w:szCs w:val="19"/>
          <w:b w:val="1"/>
          <w:bCs w:val="1"/>
          <w:i w:val="1"/>
          <w:iCs w:val="1"/>
          <w:color w:val="auto"/>
        </w:rPr>
        <w:t>Retained Distributions</w:t>
      </w:r>
      <w:r>
        <w:rPr>
          <w:rFonts w:ascii="Arial" w:cs="Arial" w:eastAsia="Arial" w:hAnsi="Arial"/>
          <w:sz w:val="19"/>
          <w:szCs w:val="19"/>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9"/>
          <w:szCs w:val="19"/>
          <w:b w:val="1"/>
          <w:bCs w:val="1"/>
          <w:i w:val="1"/>
          <w:iCs w:val="1"/>
          <w:color w:val="auto"/>
        </w:rPr>
        <w:t>Retained Distribution Account</w:t>
      </w:r>
      <w:r>
        <w:rPr>
          <w:rFonts w:ascii="Arial" w:cs="Arial" w:eastAsia="Arial" w:hAnsi="Arial"/>
          <w:sz w:val="19"/>
          <w:szCs w:val="19"/>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79" w:lineRule="exact"/>
        <w:rPr>
          <w:rFonts w:ascii="Arial" w:cs="Arial" w:eastAsia="Arial" w:hAnsi="Arial"/>
          <w:sz w:val="19"/>
          <w:szCs w:val="19"/>
          <w:color w:val="auto"/>
        </w:rPr>
      </w:pPr>
    </w:p>
    <w:p>
      <w:pPr>
        <w:jc w:val="both"/>
        <w:ind w:firstLine="1305"/>
        <w:spacing w:after="0" w:line="263" w:lineRule="auto"/>
        <w:tabs>
          <w:tab w:leader="none" w:pos="171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Section 83(b) Election</w:t>
      </w:r>
      <w:r>
        <w:rPr>
          <w:rFonts w:ascii="Arial" w:cs="Arial" w:eastAsia="Arial" w:hAnsi="Arial"/>
          <w:sz w:val="19"/>
          <w:szCs w:val="19"/>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70" w:lineRule="exact"/>
        <w:rPr>
          <w:rFonts w:ascii="Arial" w:cs="Arial" w:eastAsia="Arial" w:hAnsi="Arial"/>
          <w:sz w:val="19"/>
          <w:szCs w:val="19"/>
          <w:color w:val="auto"/>
        </w:rPr>
      </w:pPr>
    </w:p>
    <w:p>
      <w:pPr>
        <w:jc w:val="both"/>
        <w:ind w:firstLine="1305"/>
        <w:spacing w:after="0" w:line="243" w:lineRule="auto"/>
        <w:tabs>
          <w:tab w:leader="none" w:pos="1775"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TRANSFERABILITY</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Any certificate representing a Restricted Share will bear the following legend until the Restricted Share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Vested Share:</w:t>
      </w:r>
    </w:p>
    <w:p>
      <w:pPr>
        <w:spacing w:after="0" w:line="200"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Restricted Shares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589" w:right="239" w:bottom="1440" w:gutter="0" w:footer="0" w:header="0"/>
        </w:sectPr>
      </w:pPr>
    </w:p>
    <w:bookmarkStart w:id="38" w:name="page39"/>
    <w:bookmarkEnd w:id="38"/>
    <w:p>
      <w:pPr>
        <w:jc w:val="both"/>
        <w:ind w:firstLine="648"/>
        <w:spacing w:after="0" w:line="24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w:t>
      </w:r>
    </w:p>
    <w:p>
      <w:pPr>
        <w:spacing w:after="0" w:line="1" w:lineRule="exact"/>
        <w:rPr>
          <w:sz w:val="20"/>
          <w:szCs w:val="20"/>
          <w:color w:val="auto"/>
        </w:rPr>
      </w:pPr>
    </w:p>
    <w:p>
      <w:pPr>
        <w:ind w:firstLine="8"/>
        <w:spacing w:after="0" w:line="244" w:lineRule="auto"/>
        <w:tabs>
          <w:tab w:leader="none" w:pos="23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that are requirements for the application of such exemptive rule. To the extent Applicable Laws permit, this Agreement will be deemed amended as necessary to conform to such applicable exemptive rule.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Roman"/>
      <w:start w:val="2"/>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4"/>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Letter"/>
      <w:start w:val="1"/>
    </w:lvl>
    <w:lvl w:ilvl="1">
      <w:lvlJc w:val="left"/>
      <w:lvlText w:val="(%2)"/>
      <w:numFmt w:val="lowerRoman"/>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Archives/edgar/data/1453687/000110465916129891/a16-14002_1ex3d1.htm" TargetMode="External"/><Relationship Id="rId11"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2019-12-03T20:25:53Z</dcterms:created>
  <dcterms:modified xsi:type="dcterms:W3CDTF">2019-12-03T20:25:53Z</dcterms:modified>
</cp:coreProperties>
</file>