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SELECTA BIOSCIENCES,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1260"/>
        <w:spacing w:after="0"/>
        <w:rPr>
          <w:sz w:val="20"/>
          <w:szCs w:val="20"/>
          <w:color w:val="auto"/>
        </w:rPr>
      </w:pPr>
      <w:r>
        <w:rPr>
          <w:rFonts w:ascii="Arial" w:cs="Arial" w:eastAsia="Arial" w:hAnsi="Arial"/>
          <w:sz w:val="11"/>
          <w:szCs w:val="11"/>
          <w:b w:val="1"/>
          <w:bCs w:val="1"/>
          <w:color w:val="auto"/>
        </w:rPr>
        <w:t>001-37798</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26-1622110</w:t>
      </w:r>
    </w:p>
    <w:p>
      <w:pPr>
        <w:spacing w:after="0" w:line="23" w:lineRule="exact"/>
        <w:rPr>
          <w:sz w:val="24"/>
          <w:szCs w:val="24"/>
          <w:color w:val="auto"/>
        </w:rPr>
      </w:pPr>
    </w:p>
    <w:p>
      <w:pPr>
        <w:sectPr>
          <w:pgSz w:w="11900" w:h="16838" w:orient="portrait"/>
          <w:cols w:equalWidth="0" w:num="3">
            <w:col w:w="3600" w:space="720"/>
            <w:col w:w="1800" w:space="720"/>
            <w:col w:w="2179"/>
          </w:cols>
          <w:pgMar w:left="1440" w:top="299" w:right="1440" w:bottom="1440" w:gutter="0" w:footer="0" w:header="0"/>
          <w:type w:val="continuous"/>
        </w:sectPr>
      </w:pP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9"/>
          <w:szCs w:val="9"/>
          <w:b w:val="1"/>
          <w:bCs w:val="1"/>
          <w:color w:val="auto"/>
        </w:rPr>
        <w:t>(State or other jurisdiction</w:t>
      </w:r>
    </w:p>
    <w:p>
      <w:pPr>
        <w:jc w:val="center"/>
        <w:ind w:left="3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Arial" w:cs="Arial" w:eastAsia="Arial" w:hAnsi="Arial"/>
          <w:sz w:val="10"/>
          <w:szCs w:val="10"/>
          <w:b w:val="1"/>
          <w:bCs w:val="1"/>
          <w:color w:val="auto"/>
        </w:rPr>
        <w:t>(IRS Employer</w:t>
      </w:r>
    </w:p>
    <w:p>
      <w:pPr>
        <w:jc w:val="center"/>
        <w:ind w:right="1499"/>
        <w:spacing w:after="0"/>
        <w:rPr>
          <w:sz w:val="20"/>
          <w:szCs w:val="20"/>
          <w:color w:val="auto"/>
        </w:rPr>
      </w:pPr>
      <w:r>
        <w:rPr>
          <w:rFonts w:ascii="Arial" w:cs="Arial" w:eastAsia="Arial" w:hAnsi="Arial"/>
          <w:sz w:val="9"/>
          <w:szCs w:val="9"/>
          <w:b w:val="1"/>
          <w:bCs w:val="1"/>
          <w:color w:val="auto"/>
        </w:rPr>
        <w:t>Identification No.)</w:t>
      </w:r>
    </w:p>
    <w:p>
      <w:pPr>
        <w:spacing w:after="0" w:line="153" w:lineRule="exact"/>
        <w:rPr>
          <w:sz w:val="24"/>
          <w:szCs w:val="24"/>
          <w:color w:val="auto"/>
        </w:rPr>
      </w:pPr>
    </w:p>
    <w:p>
      <w:pPr>
        <w:sectPr>
          <w:pgSz w:w="11900" w:h="16838" w:orient="portrait"/>
          <w:cols w:equalWidth="0" w:num="3">
            <w:col w:w="3580" w:space="720"/>
            <w:col w:w="1720" w:space="720"/>
            <w:col w:w="2279"/>
          </w:cols>
          <w:pgMar w:left="1440" w:top="29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65 Grove Street, Watertown, MA 02472</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offices)(Zip Code)</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(617) 923-1400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9"/>
          <w:szCs w:val="9"/>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153670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p>
      <w:pPr>
        <w:spacing w:after="0" w:line="366"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6"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4"/>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SELB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r>
    </w:tbl>
    <w:p>
      <w:pPr>
        <w:spacing w:after="0" w:line="130"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8"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1" w:name="page2"/>
    <w:bookmarkEnd w:id="1"/>
    <w:p>
      <w:pPr>
        <w:ind w:left="640"/>
        <w:spacing w:after="0"/>
        <w:tabs>
          <w:tab w:leader="none" w:pos="138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Arial" w:cs="Arial" w:eastAsia="Arial" w:hAnsi="Arial"/>
          <w:sz w:val="11"/>
          <w:szCs w:val="11"/>
          <w:b w:val="1"/>
          <w:bCs w:val="1"/>
          <w:color w:val="auto"/>
        </w:rPr>
        <w:t>Regulation FD Disclosure.</w:t>
      </w:r>
    </w:p>
    <w:p>
      <w:pPr>
        <w:spacing w:after="0" w:line="82" w:lineRule="exact"/>
        <w:rPr>
          <w:sz w:val="20"/>
          <w:szCs w:val="20"/>
          <w:color w:val="auto"/>
        </w:rPr>
      </w:pPr>
    </w:p>
    <w:p>
      <w:pPr>
        <w:jc w:val="both"/>
        <w:ind w:left="640" w:right="719" w:firstLine="309"/>
        <w:spacing w:after="0" w:line="249" w:lineRule="auto"/>
        <w:rPr>
          <w:sz w:val="20"/>
          <w:szCs w:val="20"/>
          <w:color w:val="auto"/>
        </w:rPr>
      </w:pPr>
      <w:r>
        <w:rPr>
          <w:rFonts w:ascii="Arial" w:cs="Arial" w:eastAsia="Arial" w:hAnsi="Arial"/>
          <w:sz w:val="13"/>
          <w:szCs w:val="13"/>
          <w:color w:val="auto"/>
        </w:rPr>
        <w:t>On November 8, 2021, Selecta Biosciences, Inc. (the “Company”) posted a slide presentation in the “Investors &amp; Media” portion of its website at www.selectabio.com containing top-line data for the Phase 1 clinical trial evaluating the potential of the ImmTOR platform in mitigating the formation of neutralizing antibodies against adeno-associated viral serotype 8 (AAV8) vectors used in gene therapies. A copy of the slide presentation is furnished as Exhibit 99.1 to this Current Report.</w:t>
      </w:r>
    </w:p>
    <w:p>
      <w:pPr>
        <w:spacing w:after="0" w:line="138" w:lineRule="exact"/>
        <w:rPr>
          <w:sz w:val="20"/>
          <w:szCs w:val="20"/>
          <w:color w:val="auto"/>
        </w:rPr>
      </w:pPr>
    </w:p>
    <w:p>
      <w:pPr>
        <w:ind w:left="640" w:right="659" w:firstLine="309"/>
        <w:spacing w:after="0" w:line="276" w:lineRule="auto"/>
        <w:rPr>
          <w:sz w:val="20"/>
          <w:szCs w:val="20"/>
          <w:color w:val="auto"/>
        </w:rPr>
      </w:pPr>
      <w:r>
        <w:rPr>
          <w:rFonts w:ascii="Arial" w:cs="Arial" w:eastAsia="Arial" w:hAnsi="Arial"/>
          <w:sz w:val="12"/>
          <w:szCs w:val="12"/>
          <w:color w:val="auto"/>
        </w:rPr>
        <w:t>The information contained in Item 7.01 of this Current Report (including Exhibit 99.1 attached hereto) shall not be deemed “filed” for purposes of Section 18 of the Exchange Act, or otherwise subject to the liabilities of that section, nor shall it be deemed incorporated by reference in any filing under the Securities Act or the Exchange Act, except as expressly provided by specific reference in such a filing. The Company undertakes no obligation to update, supplement or amend the materials attached hereto as Exhibit 99.1.</w:t>
      </w:r>
    </w:p>
    <w:p>
      <w:pPr>
        <w:spacing w:after="0" w:line="224"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right="779" w:firstLine="309"/>
        <w:spacing w:after="0" w:line="252" w:lineRule="auto"/>
        <w:rPr>
          <w:sz w:val="20"/>
          <w:szCs w:val="20"/>
          <w:color w:val="auto"/>
        </w:rPr>
      </w:pPr>
      <w:r>
        <w:rPr>
          <w:rFonts w:ascii="Arial" w:cs="Arial" w:eastAsia="Arial" w:hAnsi="Arial"/>
          <w:sz w:val="13"/>
          <w:szCs w:val="13"/>
          <w:color w:val="auto"/>
        </w:rPr>
        <w:t>On November 8, 2021, the Company announced top-line data from the Phase 1 clinical trial evaluating the potential of the ImmTOR platform in mitigating the formation of neutralizing antibodies against adeno-associated viral serotype 8 (AAV8) vectors used in gene therapies. Top-line results include:</w:t>
      </w:r>
    </w:p>
    <w:p>
      <w:pPr>
        <w:spacing w:after="0" w:line="69" w:lineRule="exact"/>
        <w:rPr>
          <w:sz w:val="20"/>
          <w:szCs w:val="20"/>
          <w:color w:val="auto"/>
        </w:rPr>
      </w:pPr>
    </w:p>
    <w:p>
      <w:pPr>
        <w:ind w:left="1320" w:hanging="303"/>
        <w:spacing w:after="0"/>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AAV8 empty capsids elicited peak median anti-AAV8 neutralizing antibody (NAb) titers of 1:6875.</w:t>
      </w:r>
    </w:p>
    <w:p>
      <w:pPr>
        <w:spacing w:after="0" w:line="87" w:lineRule="exact"/>
        <w:rPr>
          <w:rFonts w:ascii="Arial" w:cs="Arial" w:eastAsia="Arial" w:hAnsi="Arial"/>
          <w:sz w:val="13"/>
          <w:szCs w:val="13"/>
          <w:color w:val="auto"/>
        </w:rPr>
      </w:pPr>
    </w:p>
    <w:p>
      <w:pPr>
        <w:ind w:left="1320" w:right="117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Median day 30 titers of neutralizing anti-AAV8 antibodies were 1:25 and 1:5 in the 0.15 mg/kg and 0.3 mg/kg ImmTOR cohorts, respectively.</w:t>
      </w:r>
    </w:p>
    <w:p>
      <w:pPr>
        <w:spacing w:after="0" w:line="63" w:lineRule="exact"/>
        <w:rPr>
          <w:rFonts w:ascii="Arial" w:cs="Arial" w:eastAsia="Arial" w:hAnsi="Arial"/>
          <w:sz w:val="13"/>
          <w:szCs w:val="13"/>
          <w:color w:val="auto"/>
        </w:rPr>
      </w:pPr>
    </w:p>
    <w:p>
      <w:pPr>
        <w:ind w:left="1320" w:right="879" w:hanging="303"/>
        <w:spacing w:after="0" w:line="302" w:lineRule="auto"/>
        <w:tabs>
          <w:tab w:leader="none" w:pos="1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Median day 30 titers of neutralizing anti-AAV8 antibodies were 50-fold and 250-fold lower in the 0.15 mg/kg and 0.3 mg/kg ImmTOR cohorts respectively compared to the median of control subjects dosed with AAV8 empty capsid alone.</w:t>
      </w:r>
    </w:p>
    <w:p>
      <w:pPr>
        <w:spacing w:after="0" w:line="41" w:lineRule="exact"/>
        <w:rPr>
          <w:rFonts w:ascii="Arial" w:cs="Arial" w:eastAsia="Arial" w:hAnsi="Arial"/>
          <w:sz w:val="12"/>
          <w:szCs w:val="12"/>
          <w:color w:val="auto"/>
        </w:rPr>
      </w:pPr>
    </w:p>
    <w:p>
      <w:pPr>
        <w:ind w:left="1320" w:right="79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At 30 days 6 of 6 or 100% of subjects that received 0.3 mg/kg of ImmTOR exhibited an anti-AAV8 neutralizing antibody titer of 1:25 or less. 4 of 6 or 67% of subjects at this dose had a titer of 1:5 or less.</w:t>
      </w:r>
    </w:p>
    <w:p>
      <w:pPr>
        <w:spacing w:after="0" w:line="63" w:lineRule="exact"/>
        <w:rPr>
          <w:rFonts w:ascii="Arial" w:cs="Arial" w:eastAsia="Arial" w:hAnsi="Arial"/>
          <w:sz w:val="13"/>
          <w:szCs w:val="13"/>
          <w:color w:val="auto"/>
        </w:rPr>
      </w:pPr>
    </w:p>
    <w:p>
      <w:pPr>
        <w:ind w:left="1320" w:right="79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At 30 days 6 of 9 or 67% of subjects that received 0.15 mg/kg of ImmTOR exhibited an anti-AAV8 neutralizing antibody titer of 1:25 or less. 2 of 9 or 22% of subjects at this dose had a titer of 1:5 or less.</w:t>
      </w:r>
    </w:p>
    <w:p>
      <w:pPr>
        <w:spacing w:after="0" w:line="63" w:lineRule="exact"/>
        <w:rPr>
          <w:rFonts w:ascii="Arial" w:cs="Arial" w:eastAsia="Arial" w:hAnsi="Arial"/>
          <w:sz w:val="13"/>
          <w:szCs w:val="13"/>
          <w:color w:val="auto"/>
        </w:rPr>
      </w:pPr>
    </w:p>
    <w:p>
      <w:pPr>
        <w:ind w:left="1320" w:right="97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1 of 8 or 12.5% of subjects that received AAV8 empty capsid alone had a neutralizing antibody titer of 1:25 or less at 30 days and no subjects (0/8) had a titer of 1:5 or less.</w:t>
      </w:r>
    </w:p>
    <w:p>
      <w:pPr>
        <w:spacing w:after="0" w:line="63" w:lineRule="exact"/>
        <w:rPr>
          <w:rFonts w:ascii="Arial" w:cs="Arial" w:eastAsia="Arial" w:hAnsi="Arial"/>
          <w:sz w:val="13"/>
          <w:szCs w:val="13"/>
          <w:color w:val="auto"/>
        </w:rPr>
      </w:pPr>
    </w:p>
    <w:p>
      <w:pPr>
        <w:ind w:left="1320" w:right="71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At 90 days 2 of 6 subjects in the 0.3 mg/kg cohort were observed to have sustained control of neutralizing antibodies with titers of 1:25 or less.</w:t>
      </w:r>
    </w:p>
    <w:p>
      <w:pPr>
        <w:spacing w:after="0" w:line="63" w:lineRule="exact"/>
        <w:rPr>
          <w:rFonts w:ascii="Arial" w:cs="Arial" w:eastAsia="Arial" w:hAnsi="Arial"/>
          <w:sz w:val="13"/>
          <w:szCs w:val="13"/>
          <w:color w:val="auto"/>
        </w:rPr>
      </w:pPr>
    </w:p>
    <w:p>
      <w:pPr>
        <w:ind w:left="1320" w:right="999" w:hanging="303"/>
        <w:spacing w:after="0" w:line="302" w:lineRule="auto"/>
        <w:tabs>
          <w:tab w:leader="none" w:pos="1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Consistent with preclinical data, the Company observed that the single dose ImmTOR cohorts saw delayed formation of neutralizing antibodies eventually reaching similar median levels of neutralizing antibodies to the control group by day 90.</w:t>
      </w:r>
    </w:p>
    <w:p>
      <w:pPr>
        <w:spacing w:after="0" w:line="41" w:lineRule="exact"/>
        <w:rPr>
          <w:rFonts w:ascii="Arial" w:cs="Arial" w:eastAsia="Arial" w:hAnsi="Arial"/>
          <w:sz w:val="12"/>
          <w:szCs w:val="12"/>
          <w:color w:val="auto"/>
        </w:rPr>
      </w:pPr>
    </w:p>
    <w:p>
      <w:pPr>
        <w:ind w:left="1320" w:hanging="303"/>
        <w:spacing w:after="0"/>
        <w:tabs>
          <w:tab w:leader="none" w:pos="1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 serious adverse events were reported. The most common treatment-related adverse events included stomatitis and rash.</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Forward-looking statements</w:t>
      </w:r>
    </w:p>
    <w:p>
      <w:pPr>
        <w:spacing w:after="0" w:line="78" w:lineRule="exact"/>
        <w:rPr>
          <w:sz w:val="20"/>
          <w:szCs w:val="20"/>
          <w:color w:val="auto"/>
        </w:rPr>
      </w:pPr>
    </w:p>
    <w:p>
      <w:pPr>
        <w:ind w:left="640" w:right="679"/>
        <w:spacing w:after="0" w:line="266" w:lineRule="auto"/>
        <w:rPr>
          <w:sz w:val="20"/>
          <w:szCs w:val="20"/>
          <w:color w:val="auto"/>
        </w:rPr>
      </w:pPr>
      <w:r>
        <w:rPr>
          <w:rFonts w:ascii="Arial" w:cs="Arial" w:eastAsia="Arial" w:hAnsi="Arial"/>
          <w:sz w:val="12"/>
          <w:szCs w:val="12"/>
          <w:i w:val="1"/>
          <w:iCs w:val="1"/>
          <w:color w:val="auto"/>
        </w:rPr>
        <w:t>Any statements in this Current Report on Form 8-K about the future expectations, plans and prospects of the Company, including without limitation, statements regarding the proprietary technology platform of the Company, and the proprietary platform of its partners, the programs and disease indication targets anticipated under this collaboration, the anticipated timing or the outcome of ongoing and planned clinical trials, studies and data readouts, the Company’s ability to conduct those clinical trials and studies, the timing or making of any regulatory filings, the ability of the Company and its partners where applicable to develop gene therapy products using ImmTOR, the novelty of treatment paradigms that the Company is able to develop, whether the observations made in non-human primate and mouse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w:t>
      </w:r>
    </w:p>
    <w:p>
      <w:pPr>
        <w:sectPr>
          <w:pgSz w:w="11900" w:h="16838" w:orient="portrait"/>
          <w:cols w:equalWidth="0" w:num="1">
            <w:col w:w="9019"/>
          </w:cols>
          <w:pgMar w:left="1440" w:top="250" w:right="1440" w:bottom="1440" w:gutter="0" w:footer="0" w:header="0"/>
        </w:sectPr>
      </w:pPr>
    </w:p>
    <w:bookmarkStart w:id="2" w:name="page3"/>
    <w:bookmarkEnd w:id="2"/>
    <w:p>
      <w:pPr>
        <w:ind w:left="640" w:right="699"/>
        <w:spacing w:after="0" w:line="266"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or topline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primates and mice, the unproven approach of the Company’s ImmTOR technology, the Company’s partners’ ability to re-engineer or develop any protein therapeutics,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substantial fluctuation in the price of its common stock, and other important factors discussed in the “Risk Factors” section of the Company’s most recent Annual Report on Form 10-K and Quarterly Report on Form 10-Q, and in other filings that the Company makes with the Securities and Exchange Commission. In addition, any forward-looking statements included in this Current Report represent the Company’s views only as of the date of its publication and should not be relied upon as representing its views as of any subsequent date. The Company specifically disclaims any intention to update any forward-looking statements included in this Current Report.</w:t>
      </w:r>
    </w:p>
    <w:p>
      <w:pPr>
        <w:spacing w:after="0" w:line="23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78" w:lineRule="exact"/>
        <w:rPr>
          <w:sz w:val="20"/>
          <w:szCs w:val="20"/>
          <w:color w:val="auto"/>
        </w:rPr>
      </w:pPr>
    </w:p>
    <w:p>
      <w:pPr>
        <w:ind w:left="1340"/>
        <w:spacing w:after="0"/>
        <w:tabs>
          <w:tab w:leader="none" w:pos="1600" w:val="left"/>
        </w:tabs>
        <w:rPr>
          <w:sz w:val="20"/>
          <w:szCs w:val="20"/>
          <w:color w:val="auto"/>
        </w:rPr>
      </w:pPr>
      <w:r>
        <w:rPr>
          <w:rFonts w:ascii="Arial" w:cs="Arial" w:eastAsia="Arial" w:hAnsi="Arial"/>
          <w:sz w:val="13"/>
          <w:szCs w:val="13"/>
          <w:b w:val="1"/>
          <w:bCs w:val="1"/>
          <w:color w:val="auto"/>
        </w:rPr>
        <w:t>(d)</w:t>
      </w:r>
      <w:r>
        <w:rPr>
          <w:sz w:val="20"/>
          <w:szCs w:val="20"/>
          <w:color w:val="auto"/>
        </w:rPr>
        <w:tab/>
      </w:r>
      <w:r>
        <w:rPr>
          <w:rFonts w:ascii="Arial" w:cs="Arial" w:eastAsia="Arial" w:hAnsi="Arial"/>
          <w:sz w:val="11"/>
          <w:szCs w:val="11"/>
          <w:b w:val="1"/>
          <w:bCs w:val="1"/>
          <w:color w:val="auto"/>
        </w:rPr>
        <w:t>Exhibits.</w:t>
      </w:r>
    </w:p>
    <w:p>
      <w:pPr>
        <w:spacing w:after="0" w:line="162" w:lineRule="exact"/>
        <w:rPr>
          <w:sz w:val="20"/>
          <w:szCs w:val="20"/>
          <w:color w:val="auto"/>
        </w:rPr>
      </w:pPr>
    </w:p>
    <w:tbl>
      <w:tblPr>
        <w:tblLayout w:type="fixed"/>
        <w:tblInd w:w="1340" w:type="dxa"/>
        <w:tblCellMar>
          <w:top w:w="0" w:type="dxa"/>
          <w:left w:w="0" w:type="dxa"/>
          <w:bottom w:w="0" w:type="dxa"/>
          <w:right w:w="0" w:type="dxa"/>
        </w:tblCellMar>
      </w:tblPr>
      <w:tr>
        <w:trPr>
          <w:trHeight w:val="115"/>
        </w:trPr>
        <w:tc>
          <w:tcPr>
            <w:tcW w:w="800" w:type="dxa"/>
            <w:vAlign w:val="bottom"/>
            <w:gridSpan w:val="2"/>
          </w:tcPr>
          <w:p>
            <w:pPr>
              <w:ind w:left="20"/>
              <w:spacing w:after="0"/>
              <w:rPr>
                <w:sz w:val="20"/>
                <w:szCs w:val="20"/>
                <w:color w:val="auto"/>
              </w:rPr>
            </w:pPr>
            <w:r>
              <w:rPr>
                <w:rFonts w:ascii="Arial" w:cs="Arial" w:eastAsia="Arial" w:hAnsi="Arial"/>
                <w:sz w:val="10"/>
                <w:szCs w:val="10"/>
                <w:color w:val="auto"/>
              </w:rPr>
              <w:t>EXHIBIT</w:t>
            </w:r>
          </w:p>
        </w:tc>
        <w:tc>
          <w:tcPr>
            <w:tcW w:w="5540" w:type="dxa"/>
            <w:vAlign w:val="bottom"/>
            <w:gridSpan w:val="2"/>
            <w:vMerge w:val="restart"/>
          </w:tcPr>
          <w:p>
            <w:pPr>
              <w:spacing w:after="0"/>
              <w:rPr>
                <w:sz w:val="20"/>
                <w:szCs w:val="20"/>
                <w:color w:val="auto"/>
              </w:rPr>
            </w:pPr>
            <w:r>
              <w:rPr>
                <w:rFonts w:ascii="Arial" w:cs="Arial" w:eastAsia="Arial" w:hAnsi="Arial"/>
                <w:sz w:val="10"/>
                <w:szCs w:val="10"/>
                <w:color w:val="auto"/>
              </w:rPr>
              <w:t>EXHIBIT DESCRIPTION</w:t>
            </w:r>
          </w:p>
        </w:tc>
        <w:tc>
          <w:tcPr>
            <w:tcW w:w="0" w:type="dxa"/>
            <w:vAlign w:val="bottom"/>
          </w:tcPr>
          <w:p>
            <w:pPr>
              <w:spacing w:after="0"/>
              <w:rPr>
                <w:sz w:val="1"/>
                <w:szCs w:val="1"/>
                <w:color w:val="auto"/>
              </w:rPr>
            </w:pPr>
          </w:p>
        </w:tc>
      </w:tr>
      <w:tr>
        <w:trPr>
          <w:trHeight w:val="117"/>
        </w:trPr>
        <w:tc>
          <w:tcPr>
            <w:tcW w:w="800" w:type="dxa"/>
            <w:vAlign w:val="bottom"/>
            <w:gridSpan w:val="2"/>
          </w:tcPr>
          <w:p>
            <w:pPr>
              <w:spacing w:after="0"/>
              <w:rPr>
                <w:sz w:val="20"/>
                <w:szCs w:val="20"/>
                <w:color w:val="auto"/>
              </w:rPr>
            </w:pPr>
            <w:r>
              <w:rPr>
                <w:rFonts w:ascii="Arial" w:cs="Arial" w:eastAsia="Arial" w:hAnsi="Arial"/>
                <w:sz w:val="10"/>
                <w:szCs w:val="10"/>
                <w:color w:val="auto"/>
              </w:rPr>
              <w:t>NUMBER</w:t>
            </w:r>
          </w:p>
        </w:tc>
        <w:tc>
          <w:tcPr>
            <w:tcW w:w="5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99.1</w:t>
            </w:r>
          </w:p>
        </w:tc>
        <w:tc>
          <w:tcPr>
            <w:tcW w:w="360" w:type="dxa"/>
            <w:vAlign w:val="bottom"/>
          </w:tcPr>
          <w:p>
            <w:pPr>
              <w:spacing w:after="0"/>
              <w:rPr>
                <w:sz w:val="15"/>
                <w:szCs w:val="15"/>
                <w:color w:val="auto"/>
              </w:rPr>
            </w:pPr>
          </w:p>
        </w:tc>
        <w:tc>
          <w:tcPr>
            <w:tcW w:w="5540" w:type="dxa"/>
            <w:vAlign w:val="bottom"/>
            <w:tcBorders>
              <w:top w:val="single" w:sz="8" w:color="auto"/>
            </w:tcBorders>
            <w:gridSpan w:val="2"/>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Slide Presentation of Selecta Biosciences, Inc. dated November 8, 2021</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Pr>
          <w:p>
            <w:pPr>
              <w:spacing w:after="0"/>
              <w:rPr>
                <w:sz w:val="20"/>
                <w:szCs w:val="20"/>
                <w:color w:val="auto"/>
              </w:rPr>
            </w:pPr>
            <w:r>
              <w:rPr>
                <w:rFonts w:ascii="Arial" w:cs="Arial" w:eastAsia="Arial" w:hAnsi="Arial"/>
                <w:sz w:val="13"/>
                <w:szCs w:val="13"/>
                <w:color w:val="auto"/>
              </w:rPr>
              <w:t>104</w:t>
            </w:r>
          </w:p>
        </w:tc>
        <w:tc>
          <w:tcPr>
            <w:tcW w:w="36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SELECTA BIOSCIENCES,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Arial" w:cs="Arial" w:eastAsia="Arial" w:hAnsi="Arial"/>
          <w:sz w:val="13"/>
          <w:szCs w:val="13"/>
          <w:color w:val="auto"/>
        </w:rPr>
        <w:t>Date: November 8,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Carsten Brunn, Ph.D.</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9019"/>
          </w:cols>
          <w:pgMar w:left="1440" w:top="250"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2021-11-08T07:07:53Z</dcterms:created>
  <dcterms:modified xsi:type="dcterms:W3CDTF">2021-11-08T07:07:53Z</dcterms:modified>
</cp:coreProperties>
</file>