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von Andrian Ulrich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41"/>
              <w:spacing w:after="0"/>
              <w:rPr>
                <w:sz w:val="20"/>
                <w:szCs w:val="20"/>
                <w:color w:val="auto"/>
              </w:rPr>
            </w:pPr>
            <w:r>
              <w:rPr>
                <w:rFonts w:ascii="Arial" w:cs="Arial" w:eastAsia="Arial" w:hAnsi="Arial"/>
                <w:sz w:val="18"/>
                <w:szCs w:val="18"/>
                <w:color w:val="0000FF"/>
              </w:rPr>
              <w:t>414,852</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641"/>
              <w:spacing w:after="0"/>
              <w:rPr>
                <w:sz w:val="20"/>
                <w:szCs w:val="20"/>
                <w:color w:val="auto"/>
              </w:rPr>
            </w:pPr>
            <w:r>
              <w:rPr>
                <w:rFonts w:ascii="Arial" w:cs="Arial" w:eastAsia="Arial" w:hAnsi="Arial"/>
                <w:sz w:val="18"/>
                <w:szCs w:val="18"/>
                <w:color w:val="0000FF"/>
              </w:rPr>
              <w:t>100,642</w:t>
            </w:r>
          </w:p>
        </w:tc>
        <w:tc>
          <w:tcPr>
            <w:tcW w:w="90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w w:val="98"/>
              </w:rPr>
              <w:t>See Footnote</w:t>
            </w:r>
            <w:r>
              <w:rPr>
                <w:rFonts w:ascii="Arial" w:cs="Arial" w:eastAsia="Arial" w:hAnsi="Arial"/>
                <w:sz w:val="22"/>
                <w:szCs w:val="22"/>
                <w:color w:val="008000"/>
                <w:w w:val="98"/>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03/08/2026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25,641</w:t>
            </w:r>
          </w:p>
        </w:tc>
        <w:tc>
          <w:tcPr>
            <w:tcW w:w="880" w:type="dxa"/>
            <w:vAlign w:val="bottom"/>
          </w:tcPr>
          <w:p>
            <w:pPr>
              <w:ind w:left="280"/>
              <w:spacing w:after="0"/>
              <w:rPr>
                <w:sz w:val="20"/>
                <w:szCs w:val="20"/>
                <w:color w:val="auto"/>
              </w:rPr>
            </w:pPr>
            <w:r>
              <w:rPr>
                <w:rFonts w:ascii="Arial" w:cs="Arial" w:eastAsia="Arial" w:hAnsi="Arial"/>
                <w:sz w:val="18"/>
                <w:szCs w:val="18"/>
                <w:color w:val="0000FF"/>
              </w:rPr>
              <w:t>7.02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01/23/2022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73,451</w:t>
            </w:r>
          </w:p>
        </w:tc>
        <w:tc>
          <w:tcPr>
            <w:tcW w:w="880" w:type="dxa"/>
            <w:vAlign w:val="bottom"/>
          </w:tcPr>
          <w:p>
            <w:pPr>
              <w:ind w:left="280"/>
              <w:spacing w:after="0"/>
              <w:rPr>
                <w:sz w:val="20"/>
                <w:szCs w:val="20"/>
                <w:color w:val="auto"/>
              </w:rPr>
            </w:pPr>
            <w:r>
              <w:rPr>
                <w:rFonts w:ascii="Arial" w:cs="Arial" w:eastAsia="Arial" w:hAnsi="Arial"/>
                <w:sz w:val="18"/>
                <w:szCs w:val="18"/>
                <w:color w:val="0000FF"/>
              </w:rPr>
              <w:t>3.44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4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securities are held by The Ulrich H. von Andrian Irrevocable Trust 2008, for which the Reporting Person's spouse and sister-in-law serve as trustees.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substantially equal monthly installments beginning on January 1,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underlying this option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220" w:firstLine="1"/>
        <w:spacing w:after="0" w:line="277"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20" w:firstLine="1"/>
        <w:spacing w:after="0" w:line="264"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Ulrich von Andrian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Ulrich von Andrian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677544"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2019-12-08T17:54:34Z</dcterms:created>
  <dcterms:modified xsi:type="dcterms:W3CDTF">2019-12-08T17:54:34Z</dcterms:modified>
</cp:coreProperties>
</file>