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5266690</wp:posOffset>
            </wp:positionH>
            <wp:positionV relativeFrom="paragraph">
              <wp:posOffset>-626110</wp:posOffset>
            </wp:positionV>
            <wp:extent cx="58420" cy="6394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3980815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15875</wp:posOffset>
            </wp:positionV>
            <wp:extent cx="7046595" cy="47421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7421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DeSilva Nishan M</w:t>
              </w:r>
            </w:hyperlink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20" w:type="dxa"/>
            <w:vAlign w:val="bottom"/>
            <w:gridSpan w:val="9"/>
          </w:tcPr>
          <w:p>
            <w:pPr>
              <w:spacing w:after="0" w:line="103" w:lineRule="exact"/>
              <w:rPr>
                <w:rFonts w:ascii="Arial" w:cs="Arial" w:eastAsia="Arial" w:hAnsi="Arial"/>
                <w:sz w:val="11"/>
                <w:szCs w:val="1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1"/>
                  <w:szCs w:val="11"/>
                  <w:color w:val="0000EE"/>
                </w:rPr>
                <w:t xml:space="preserve">SELECTA BIOSCIENCES INC </w:t>
              </w:r>
            </w:hyperlink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[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SELB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]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Director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860" w:type="dxa"/>
            <w:vAlign w:val="bottom"/>
            <w:gridSpan w:val="3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2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00" w:type="dxa"/>
            <w:vAlign w:val="bottom"/>
            <w:gridSpan w:val="5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06/23/2021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60" w:type="dxa"/>
            <w:vAlign w:val="bottom"/>
            <w:gridSpan w:val="6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SELECTA BIOSCIENCES, INC.</w:t>
            </w:r>
          </w:p>
        </w:tc>
        <w:tc>
          <w:tcPr>
            <w:tcW w:w="1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65 GROVE STREET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2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6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WATERTOWN  MA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02072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7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6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80" w:type="dxa"/>
            <w:vAlign w:val="bottom"/>
            <w:gridSpan w:val="16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5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4.57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jc w:val="right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06/23/2021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80,000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06/22/2031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80,000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80,000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The option vests in thirty-six (36) substantially equal monthly installments over three years following the date of grant.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5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Matthew Bartholomae,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-11430</wp:posOffset>
            </wp:positionV>
            <wp:extent cx="98107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10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Attorney-in-Fact for Nishan de  07/09/2021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-15875</wp:posOffset>
            </wp:positionV>
            <wp:extent cx="188531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53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Silva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-15875</wp:posOffset>
            </wp:positionV>
            <wp:extent cx="21907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600" w:firstLine="2"/>
        <w:spacing w:after="0" w:line="334" w:lineRule="auto"/>
        <w:tabs>
          <w:tab w:leader="none" w:pos="176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492386" TargetMode="External"/><Relationship Id="rId13" Type="http://schemas.openxmlformats.org/officeDocument/2006/relationships/hyperlink" Target="http://www.sec.gov/cgi-bin/browse-edgar?action=getcompany&amp;CIK=0001453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2021-07-09T15:22:18Z</dcterms:created>
  <dcterms:modified xsi:type="dcterms:W3CDTF">2021-07-09T15:22:18Z</dcterms:modified>
</cp:coreProperties>
</file>