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June 21, 2016</w:t>
      </w:r>
    </w:p>
    <w:p>
      <w:pPr>
        <w:spacing w:after="0" w:line="109" w:lineRule="exact"/>
        <w:rPr>
          <w:sz w:val="24"/>
          <w:szCs w:val="24"/>
          <w:color w:val="auto"/>
        </w:rPr>
      </w:pPr>
    </w:p>
    <w:p>
      <w:pPr>
        <w:ind w:left="95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142240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151765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Selecta Biosciences,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142240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720" w:type="dxa"/>
            <w:vAlign w:val="bottom"/>
          </w:tcPr>
          <w:p>
            <w:pPr>
              <w:jc w:val="center"/>
              <w:ind w:right="948"/>
              <w:spacing w:after="0"/>
              <w:rPr>
                <w:sz w:val="20"/>
                <w:szCs w:val="20"/>
                <w:color w:val="auto"/>
              </w:rPr>
            </w:pPr>
            <w:r>
              <w:rPr>
                <w:rFonts w:ascii="Arial" w:cs="Arial" w:eastAsia="Arial" w:hAnsi="Arial"/>
                <w:sz w:val="14"/>
                <w:szCs w:val="14"/>
                <w:b w:val="1"/>
                <w:bCs w:val="1"/>
                <w:color w:val="auto"/>
                <w:w w:val="94"/>
              </w:rPr>
              <w:t>Delaware</w:t>
            </w:r>
          </w:p>
        </w:tc>
        <w:tc>
          <w:tcPr>
            <w:tcW w:w="414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2834</w:t>
            </w:r>
          </w:p>
        </w:tc>
        <w:tc>
          <w:tcPr>
            <w:tcW w:w="2420" w:type="dxa"/>
            <w:vAlign w:val="bottom"/>
          </w:tcPr>
          <w:p>
            <w:pPr>
              <w:jc w:val="center"/>
              <w:ind w:left="1028"/>
              <w:spacing w:after="0"/>
              <w:rPr>
                <w:sz w:val="20"/>
                <w:szCs w:val="20"/>
                <w:color w:val="auto"/>
              </w:rPr>
            </w:pPr>
            <w:r>
              <w:rPr>
                <w:rFonts w:ascii="Arial" w:cs="Arial" w:eastAsia="Arial" w:hAnsi="Arial"/>
                <w:sz w:val="14"/>
                <w:szCs w:val="14"/>
                <w:b w:val="1"/>
                <w:bCs w:val="1"/>
                <w:color w:val="auto"/>
                <w:w w:val="90"/>
              </w:rPr>
              <w:t>26-1622110</w:t>
            </w:r>
          </w:p>
        </w:tc>
      </w:tr>
      <w:tr>
        <w:trPr>
          <w:trHeight w:val="149"/>
        </w:trPr>
        <w:tc>
          <w:tcPr>
            <w:tcW w:w="2720" w:type="dxa"/>
            <w:vAlign w:val="bottom"/>
          </w:tcPr>
          <w:p>
            <w:pPr>
              <w:jc w:val="center"/>
              <w:ind w:right="928"/>
              <w:spacing w:after="0" w:line="149" w:lineRule="exact"/>
              <w:rPr>
                <w:sz w:val="20"/>
                <w:szCs w:val="20"/>
                <w:color w:val="auto"/>
              </w:rPr>
            </w:pPr>
            <w:r>
              <w:rPr>
                <w:rFonts w:ascii="Arial" w:cs="Arial" w:eastAsia="Arial" w:hAnsi="Arial"/>
                <w:sz w:val="14"/>
                <w:szCs w:val="14"/>
                <w:color w:val="auto"/>
                <w:w w:val="95"/>
              </w:rPr>
              <w:t>(State or other jurisdiction of</w:t>
            </w:r>
          </w:p>
        </w:tc>
        <w:tc>
          <w:tcPr>
            <w:tcW w:w="414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5"/>
              </w:rPr>
              <w:t>(Primary Standard Industrial</w:t>
            </w:r>
          </w:p>
        </w:tc>
        <w:tc>
          <w:tcPr>
            <w:tcW w:w="2420" w:type="dxa"/>
            <w:vAlign w:val="bottom"/>
          </w:tcPr>
          <w:p>
            <w:pPr>
              <w:jc w:val="center"/>
              <w:ind w:left="100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720" w:type="dxa"/>
            <w:vAlign w:val="bottom"/>
          </w:tcPr>
          <w:p>
            <w:pPr>
              <w:jc w:val="center"/>
              <w:ind w:right="928"/>
              <w:spacing w:after="0"/>
              <w:rPr>
                <w:sz w:val="20"/>
                <w:szCs w:val="20"/>
                <w:color w:val="auto"/>
              </w:rPr>
            </w:pPr>
            <w:r>
              <w:rPr>
                <w:rFonts w:ascii="Arial" w:cs="Arial" w:eastAsia="Arial" w:hAnsi="Arial"/>
                <w:sz w:val="14"/>
                <w:szCs w:val="14"/>
                <w:color w:val="auto"/>
                <w:w w:val="94"/>
              </w:rPr>
              <w:t>incorporation or organization)</w:t>
            </w:r>
          </w:p>
        </w:tc>
        <w:tc>
          <w:tcPr>
            <w:tcW w:w="4140" w:type="dxa"/>
            <w:vAlign w:val="bottom"/>
          </w:tcPr>
          <w:p>
            <w:pPr>
              <w:jc w:val="center"/>
              <w:ind w:right="8"/>
              <w:spacing w:after="0"/>
              <w:rPr>
                <w:sz w:val="20"/>
                <w:szCs w:val="20"/>
                <w:color w:val="auto"/>
              </w:rPr>
            </w:pPr>
            <w:r>
              <w:rPr>
                <w:rFonts w:ascii="Arial" w:cs="Arial" w:eastAsia="Arial" w:hAnsi="Arial"/>
                <w:sz w:val="14"/>
                <w:szCs w:val="14"/>
                <w:color w:val="auto"/>
                <w:w w:val="95"/>
              </w:rPr>
              <w:t>Classification Code Number)</w:t>
            </w:r>
          </w:p>
        </w:tc>
        <w:tc>
          <w:tcPr>
            <w:tcW w:w="2420" w:type="dxa"/>
            <w:vAlign w:val="bottom"/>
          </w:tcPr>
          <w:p>
            <w:pPr>
              <w:jc w:val="center"/>
              <w:ind w:left="1028"/>
              <w:spacing w:after="0"/>
              <w:rPr>
                <w:sz w:val="20"/>
                <w:szCs w:val="20"/>
                <w:color w:val="auto"/>
              </w:rPr>
            </w:pPr>
            <w:r>
              <w:rPr>
                <w:rFonts w:ascii="Arial" w:cs="Arial" w:eastAsia="Arial" w:hAnsi="Arial"/>
                <w:sz w:val="14"/>
                <w:szCs w:val="14"/>
                <w:color w:val="auto"/>
                <w:w w:val="96"/>
              </w:rPr>
              <w:t>Identification Number)</w:t>
            </w:r>
          </w:p>
        </w:tc>
      </w:tr>
      <w:tr>
        <w:trPr>
          <w:trHeight w:val="232"/>
        </w:trPr>
        <w:tc>
          <w:tcPr>
            <w:tcW w:w="2720" w:type="dxa"/>
            <w:vAlign w:val="bottom"/>
          </w:tcPr>
          <w:p>
            <w:pPr>
              <w:spacing w:after="0"/>
              <w:rPr>
                <w:sz w:val="20"/>
                <w:szCs w:val="20"/>
                <w:color w:val="auto"/>
              </w:rPr>
            </w:pPr>
          </w:p>
        </w:tc>
        <w:tc>
          <w:tcPr>
            <w:tcW w:w="41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480 Arsenal Street, Building One</w:t>
            </w:r>
          </w:p>
        </w:tc>
        <w:tc>
          <w:tcPr>
            <w:tcW w:w="2420" w:type="dxa"/>
            <w:vAlign w:val="bottom"/>
          </w:tcPr>
          <w:p>
            <w:pPr>
              <w:spacing w:after="0"/>
              <w:rPr>
                <w:sz w:val="20"/>
                <w:szCs w:val="20"/>
                <w:color w:val="auto"/>
              </w:rPr>
            </w:pPr>
          </w:p>
        </w:tc>
      </w:tr>
      <w:tr>
        <w:trPr>
          <w:trHeight w:val="149"/>
        </w:trPr>
        <w:tc>
          <w:tcPr>
            <w:tcW w:w="2720" w:type="dxa"/>
            <w:vAlign w:val="bottom"/>
          </w:tcPr>
          <w:p>
            <w:pPr>
              <w:spacing w:after="0"/>
              <w:rPr>
                <w:sz w:val="12"/>
                <w:szCs w:val="12"/>
                <w:color w:val="auto"/>
              </w:rPr>
            </w:pPr>
          </w:p>
        </w:tc>
        <w:tc>
          <w:tcPr>
            <w:tcW w:w="41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1"/>
              </w:rPr>
              <w:t>Watertown, Massachusetts 02472</w:t>
            </w:r>
          </w:p>
        </w:tc>
        <w:tc>
          <w:tcPr>
            <w:tcW w:w="2420" w:type="dxa"/>
            <w:vAlign w:val="bottom"/>
          </w:tcPr>
          <w:p>
            <w:pPr>
              <w:spacing w:after="0"/>
              <w:rPr>
                <w:sz w:val="12"/>
                <w:szCs w:val="12"/>
                <w:color w:val="auto"/>
              </w:rPr>
            </w:pPr>
          </w:p>
        </w:tc>
      </w:tr>
      <w:tr>
        <w:trPr>
          <w:trHeight w:val="165"/>
        </w:trPr>
        <w:tc>
          <w:tcPr>
            <w:tcW w:w="2720" w:type="dxa"/>
            <w:vAlign w:val="bottom"/>
          </w:tcPr>
          <w:p>
            <w:pPr>
              <w:spacing w:after="0"/>
              <w:rPr>
                <w:sz w:val="14"/>
                <w:szCs w:val="14"/>
                <w:color w:val="auto"/>
              </w:rPr>
            </w:pPr>
          </w:p>
        </w:tc>
        <w:tc>
          <w:tcPr>
            <w:tcW w:w="414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(617) 923-1400</w:t>
            </w:r>
          </w:p>
        </w:tc>
        <w:tc>
          <w:tcPr>
            <w:tcW w:w="2420" w:type="dxa"/>
            <w:vAlign w:val="bottom"/>
          </w:tcPr>
          <w:p>
            <w:pPr>
              <w:spacing w:after="0"/>
              <w:rPr>
                <w:sz w:val="14"/>
                <w:szCs w:val="14"/>
                <w:color w:val="auto"/>
              </w:rPr>
            </w:pPr>
          </w:p>
        </w:tc>
      </w:tr>
    </w:tbl>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142240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96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60" w:type="dxa"/>
            <w:vAlign w:val="bottom"/>
            <w:gridSpan w:val="2"/>
          </w:tcPr>
          <w:p>
            <w:pPr>
              <w:jc w:val="center"/>
              <w:ind w:right="3308"/>
              <w:spacing w:after="0"/>
              <w:rPr>
                <w:sz w:val="20"/>
                <w:szCs w:val="20"/>
                <w:color w:val="auto"/>
              </w:rPr>
            </w:pPr>
            <w:r>
              <w:rPr>
                <w:rFonts w:ascii="Arial" w:cs="Arial" w:eastAsia="Arial" w:hAnsi="Arial"/>
                <w:sz w:val="14"/>
                <w:szCs w:val="14"/>
                <w:b w:val="1"/>
                <w:bCs w:val="1"/>
                <w:color w:val="auto"/>
                <w:w w:val="95"/>
              </w:rPr>
              <w:t>Werner Cautreels, Ph.D.</w:t>
            </w:r>
          </w:p>
        </w:tc>
      </w:tr>
      <w:tr>
        <w:trPr>
          <w:trHeight w:val="149"/>
        </w:trPr>
        <w:tc>
          <w:tcPr>
            <w:tcW w:w="2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60" w:type="dxa"/>
            <w:vAlign w:val="bottom"/>
            <w:gridSpan w:val="2"/>
          </w:tcPr>
          <w:p>
            <w:pPr>
              <w:jc w:val="center"/>
              <w:ind w:right="3328"/>
              <w:spacing w:after="0" w:line="149" w:lineRule="exact"/>
              <w:rPr>
                <w:sz w:val="20"/>
                <w:szCs w:val="20"/>
                <w:color w:val="auto"/>
              </w:rPr>
            </w:pPr>
            <w:r>
              <w:rPr>
                <w:rFonts w:ascii="Arial" w:cs="Arial" w:eastAsia="Arial" w:hAnsi="Arial"/>
                <w:sz w:val="14"/>
                <w:szCs w:val="14"/>
                <w:b w:val="1"/>
                <w:bCs w:val="1"/>
                <w:color w:val="auto"/>
                <w:w w:val="93"/>
              </w:rPr>
              <w:t>President and Chief Executive Officer</w:t>
            </w:r>
          </w:p>
        </w:tc>
      </w:tr>
      <w:tr>
        <w:trPr>
          <w:trHeight w:val="149"/>
        </w:trPr>
        <w:tc>
          <w:tcPr>
            <w:tcW w:w="2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60" w:type="dxa"/>
            <w:vAlign w:val="bottom"/>
            <w:gridSpan w:val="2"/>
          </w:tcPr>
          <w:p>
            <w:pPr>
              <w:jc w:val="center"/>
              <w:ind w:right="3328"/>
              <w:spacing w:after="0" w:line="149" w:lineRule="exact"/>
              <w:rPr>
                <w:sz w:val="20"/>
                <w:szCs w:val="20"/>
                <w:color w:val="auto"/>
              </w:rPr>
            </w:pPr>
            <w:r>
              <w:rPr>
                <w:rFonts w:ascii="Arial" w:cs="Arial" w:eastAsia="Arial" w:hAnsi="Arial"/>
                <w:sz w:val="14"/>
                <w:szCs w:val="14"/>
                <w:b w:val="1"/>
                <w:bCs w:val="1"/>
                <w:color w:val="auto"/>
                <w:w w:val="87"/>
              </w:rPr>
              <w:t>Selecta Biosciences, Inc.</w:t>
            </w:r>
          </w:p>
        </w:tc>
      </w:tr>
      <w:tr>
        <w:trPr>
          <w:trHeight w:val="149"/>
        </w:trPr>
        <w:tc>
          <w:tcPr>
            <w:tcW w:w="2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60" w:type="dxa"/>
            <w:vAlign w:val="bottom"/>
            <w:gridSpan w:val="2"/>
          </w:tcPr>
          <w:p>
            <w:pPr>
              <w:jc w:val="center"/>
              <w:ind w:right="3328"/>
              <w:spacing w:after="0" w:line="149" w:lineRule="exact"/>
              <w:rPr>
                <w:sz w:val="20"/>
                <w:szCs w:val="20"/>
                <w:color w:val="auto"/>
              </w:rPr>
            </w:pPr>
            <w:r>
              <w:rPr>
                <w:rFonts w:ascii="Arial" w:cs="Arial" w:eastAsia="Arial" w:hAnsi="Arial"/>
                <w:sz w:val="14"/>
                <w:szCs w:val="14"/>
                <w:b w:val="1"/>
                <w:bCs w:val="1"/>
                <w:color w:val="auto"/>
                <w:w w:val="93"/>
              </w:rPr>
              <w:t>480 Arsenal Street, Building One</w:t>
            </w:r>
          </w:p>
        </w:tc>
      </w:tr>
      <w:tr>
        <w:trPr>
          <w:trHeight w:val="149"/>
        </w:trPr>
        <w:tc>
          <w:tcPr>
            <w:tcW w:w="2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260" w:type="dxa"/>
            <w:vAlign w:val="bottom"/>
            <w:gridSpan w:val="2"/>
          </w:tcPr>
          <w:p>
            <w:pPr>
              <w:jc w:val="center"/>
              <w:ind w:right="3308"/>
              <w:spacing w:after="0" w:line="149" w:lineRule="exact"/>
              <w:rPr>
                <w:sz w:val="20"/>
                <w:szCs w:val="20"/>
                <w:color w:val="auto"/>
              </w:rPr>
            </w:pPr>
            <w:r>
              <w:rPr>
                <w:rFonts w:ascii="Arial" w:cs="Arial" w:eastAsia="Arial" w:hAnsi="Arial"/>
                <w:sz w:val="14"/>
                <w:szCs w:val="14"/>
                <w:b w:val="1"/>
                <w:bCs w:val="1"/>
                <w:color w:val="auto"/>
                <w:w w:val="91"/>
              </w:rPr>
              <w:t>Watertown, Massachusetts 02472</w:t>
            </w:r>
          </w:p>
        </w:tc>
      </w:tr>
      <w:tr>
        <w:trPr>
          <w:trHeight w:val="153"/>
        </w:trPr>
        <w:tc>
          <w:tcPr>
            <w:tcW w:w="2120" w:type="dxa"/>
            <w:vAlign w:val="bottom"/>
          </w:tcPr>
          <w:p>
            <w:pPr>
              <w:spacing w:after="0"/>
              <w:rPr>
                <w:sz w:val="13"/>
                <w:szCs w:val="13"/>
                <w:color w:val="auto"/>
              </w:rPr>
            </w:pPr>
          </w:p>
        </w:tc>
        <w:tc>
          <w:tcPr>
            <w:tcW w:w="4080" w:type="dxa"/>
            <w:vAlign w:val="bottom"/>
            <w:gridSpan w:val="2"/>
          </w:tcPr>
          <w:p>
            <w:pPr>
              <w:jc w:val="center"/>
              <w:ind w:left="1108"/>
              <w:spacing w:after="0" w:line="153" w:lineRule="exact"/>
              <w:rPr>
                <w:sz w:val="20"/>
                <w:szCs w:val="20"/>
                <w:color w:val="auto"/>
              </w:rPr>
            </w:pPr>
            <w:r>
              <w:rPr>
                <w:rFonts w:ascii="Arial" w:cs="Arial" w:eastAsia="Arial" w:hAnsi="Arial"/>
                <w:sz w:val="14"/>
                <w:szCs w:val="14"/>
                <w:b w:val="1"/>
                <w:bCs w:val="1"/>
                <w:color w:val="auto"/>
                <w:w w:val="93"/>
              </w:rPr>
              <w:t>(617) 923-1400</w:t>
            </w:r>
          </w:p>
        </w:tc>
        <w:tc>
          <w:tcPr>
            <w:tcW w:w="3380" w:type="dxa"/>
            <w:vAlign w:val="bottom"/>
          </w:tcPr>
          <w:p>
            <w:pPr>
              <w:spacing w:after="0"/>
              <w:rPr>
                <w:sz w:val="13"/>
                <w:szCs w:val="13"/>
                <w:color w:val="auto"/>
              </w:rPr>
            </w:pPr>
          </w:p>
        </w:tc>
      </w:tr>
      <w:tr>
        <w:trPr>
          <w:trHeight w:val="182"/>
        </w:trPr>
        <w:tc>
          <w:tcPr>
            <w:tcW w:w="2120" w:type="dxa"/>
            <w:vAlign w:val="bottom"/>
          </w:tcPr>
          <w:p>
            <w:pPr>
              <w:spacing w:after="0"/>
              <w:rPr>
                <w:sz w:val="15"/>
                <w:szCs w:val="15"/>
                <w:color w:val="auto"/>
              </w:rPr>
            </w:pPr>
          </w:p>
        </w:tc>
        <w:tc>
          <w:tcPr>
            <w:tcW w:w="7460" w:type="dxa"/>
            <w:vAlign w:val="bottom"/>
            <w:gridSpan w:val="3"/>
          </w:tcPr>
          <w:p>
            <w:pPr>
              <w:ind w:left="36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tc>
      </w:tr>
      <w:tr>
        <w:trPr>
          <w:trHeight w:val="215"/>
        </w:trPr>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80" w:type="dxa"/>
            <w:vAlign w:val="bottom"/>
            <w:tcBorders>
              <w:bottom w:val="single" w:sz="8" w:color="808080"/>
            </w:tcBorders>
          </w:tcPr>
          <w:p>
            <w:pPr>
              <w:spacing w:after="0"/>
              <w:rPr>
                <w:sz w:val="18"/>
                <w:szCs w:val="18"/>
                <w:color w:val="auto"/>
              </w:rPr>
            </w:pPr>
          </w:p>
        </w:tc>
        <w:tc>
          <w:tcPr>
            <w:tcW w:w="3380" w:type="dxa"/>
            <w:vAlign w:val="bottom"/>
          </w:tcPr>
          <w:p>
            <w:pPr>
              <w:spacing w:after="0"/>
              <w:rPr>
                <w:sz w:val="18"/>
                <w:szCs w:val="18"/>
                <w:color w:val="auto"/>
              </w:rPr>
            </w:pPr>
          </w:p>
        </w:tc>
      </w:tr>
      <w:tr>
        <w:trPr>
          <w:trHeight w:val="387"/>
        </w:trPr>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60" w:type="dxa"/>
            <w:vAlign w:val="bottom"/>
            <w:gridSpan w:val="2"/>
          </w:tcPr>
          <w:p>
            <w:pPr>
              <w:jc w:val="center"/>
              <w:ind w:right="3328"/>
              <w:spacing w:after="0"/>
              <w:rPr>
                <w:sz w:val="20"/>
                <w:szCs w:val="20"/>
                <w:color w:val="auto"/>
              </w:rPr>
            </w:pPr>
            <w:r>
              <w:rPr>
                <w:rFonts w:ascii="Arial" w:cs="Arial" w:eastAsia="Arial" w:hAnsi="Arial"/>
                <w:sz w:val="14"/>
                <w:szCs w:val="14"/>
                <w:b w:val="1"/>
                <w:bCs w:val="1"/>
                <w:color w:val="auto"/>
                <w:w w:val="90"/>
              </w:rPr>
              <w:t>Copies to:</w:t>
            </w:r>
          </w:p>
        </w:tc>
      </w:tr>
      <w:tr>
        <w:trPr>
          <w:trHeight w:val="232"/>
        </w:trPr>
        <w:tc>
          <w:tcPr>
            <w:tcW w:w="2120" w:type="dxa"/>
            <w:vAlign w:val="bottom"/>
          </w:tcPr>
          <w:p>
            <w:pPr>
              <w:jc w:val="center"/>
              <w:ind w:right="288"/>
              <w:spacing w:after="0"/>
              <w:rPr>
                <w:sz w:val="20"/>
                <w:szCs w:val="20"/>
                <w:color w:val="auto"/>
              </w:rPr>
            </w:pPr>
            <w:r>
              <w:rPr>
                <w:rFonts w:ascii="Arial" w:cs="Arial" w:eastAsia="Arial" w:hAnsi="Arial"/>
                <w:sz w:val="14"/>
                <w:szCs w:val="14"/>
                <w:b w:val="1"/>
                <w:bCs w:val="1"/>
                <w:color w:val="auto"/>
                <w:w w:val="95"/>
              </w:rPr>
              <w:t>Peter N. Handrinos</w:t>
            </w:r>
          </w:p>
        </w:tc>
        <w:tc>
          <w:tcPr>
            <w:tcW w:w="12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380" w:type="dxa"/>
            <w:vAlign w:val="bottom"/>
          </w:tcPr>
          <w:p>
            <w:pPr>
              <w:jc w:val="center"/>
              <w:ind w:left="1428"/>
              <w:spacing w:after="0"/>
              <w:rPr>
                <w:sz w:val="20"/>
                <w:szCs w:val="20"/>
                <w:color w:val="auto"/>
              </w:rPr>
            </w:pPr>
            <w:r>
              <w:rPr>
                <w:rFonts w:ascii="Arial" w:cs="Arial" w:eastAsia="Arial" w:hAnsi="Arial"/>
                <w:sz w:val="14"/>
                <w:szCs w:val="14"/>
                <w:b w:val="1"/>
                <w:bCs w:val="1"/>
                <w:color w:val="auto"/>
                <w:w w:val="96"/>
              </w:rPr>
              <w:t>Divakar Gupta</w:t>
            </w:r>
          </w:p>
        </w:tc>
      </w:tr>
      <w:tr>
        <w:trPr>
          <w:trHeight w:val="149"/>
        </w:trPr>
        <w:tc>
          <w:tcPr>
            <w:tcW w:w="212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4"/>
              </w:rPr>
              <w:t>Brandon J. Bortner</w:t>
            </w:r>
          </w:p>
        </w:tc>
        <w:tc>
          <w:tcPr>
            <w:tcW w:w="12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38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95"/>
              </w:rPr>
              <w:t>Marc Recht</w:t>
            </w:r>
          </w:p>
        </w:tc>
      </w:tr>
      <w:tr>
        <w:trPr>
          <w:trHeight w:val="149"/>
        </w:trPr>
        <w:tc>
          <w:tcPr>
            <w:tcW w:w="212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rPr>
              <w:t>Latham &amp; Watkins LLP</w:t>
            </w:r>
          </w:p>
        </w:tc>
        <w:tc>
          <w:tcPr>
            <w:tcW w:w="12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38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94"/>
              </w:rPr>
              <w:t>Joshua A. Kaufman</w:t>
            </w:r>
          </w:p>
        </w:tc>
      </w:tr>
      <w:tr>
        <w:trPr>
          <w:trHeight w:val="149"/>
        </w:trPr>
        <w:tc>
          <w:tcPr>
            <w:tcW w:w="212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3"/>
              </w:rPr>
              <w:t>John Hancock Tower</w:t>
            </w:r>
          </w:p>
        </w:tc>
        <w:tc>
          <w:tcPr>
            <w:tcW w:w="12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380" w:type="dxa"/>
            <w:vAlign w:val="bottom"/>
          </w:tcPr>
          <w:p>
            <w:pPr>
              <w:jc w:val="center"/>
              <w:ind w:left="1408"/>
              <w:spacing w:after="0" w:line="149" w:lineRule="exact"/>
              <w:rPr>
                <w:sz w:val="20"/>
                <w:szCs w:val="20"/>
                <w:color w:val="auto"/>
              </w:rPr>
            </w:pPr>
            <w:r>
              <w:rPr>
                <w:rFonts w:ascii="Arial" w:cs="Arial" w:eastAsia="Arial" w:hAnsi="Arial"/>
                <w:sz w:val="14"/>
                <w:szCs w:val="14"/>
                <w:b w:val="1"/>
                <w:bCs w:val="1"/>
                <w:color w:val="auto"/>
                <w:w w:val="96"/>
              </w:rPr>
              <w:t>Cooley LLP</w:t>
            </w:r>
          </w:p>
        </w:tc>
      </w:tr>
      <w:tr>
        <w:trPr>
          <w:trHeight w:val="149"/>
        </w:trPr>
        <w:tc>
          <w:tcPr>
            <w:tcW w:w="212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4"/>
              </w:rPr>
              <w:t>200 Clarendon Street</w:t>
            </w:r>
          </w:p>
        </w:tc>
        <w:tc>
          <w:tcPr>
            <w:tcW w:w="12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380" w:type="dxa"/>
            <w:vAlign w:val="bottom"/>
          </w:tcPr>
          <w:p>
            <w:pPr>
              <w:jc w:val="center"/>
              <w:ind w:left="1408"/>
              <w:spacing w:after="0" w:line="149" w:lineRule="exact"/>
              <w:rPr>
                <w:sz w:val="20"/>
                <w:szCs w:val="20"/>
                <w:color w:val="auto"/>
              </w:rPr>
            </w:pPr>
            <w:r>
              <w:rPr>
                <w:rFonts w:ascii="Arial" w:cs="Arial" w:eastAsia="Arial" w:hAnsi="Arial"/>
                <w:sz w:val="14"/>
                <w:szCs w:val="14"/>
                <w:b w:val="1"/>
                <w:bCs w:val="1"/>
                <w:color w:val="auto"/>
                <w:w w:val="92"/>
              </w:rPr>
              <w:t>500 Boylston Street, 14th Floor</w:t>
            </w:r>
          </w:p>
        </w:tc>
      </w:tr>
      <w:tr>
        <w:trPr>
          <w:trHeight w:val="149"/>
        </w:trPr>
        <w:tc>
          <w:tcPr>
            <w:tcW w:w="212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88"/>
              </w:rPr>
              <w:t>Boston, Massachusetts 02116</w:t>
            </w:r>
          </w:p>
        </w:tc>
        <w:tc>
          <w:tcPr>
            <w:tcW w:w="12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380" w:type="dxa"/>
            <w:vAlign w:val="bottom"/>
          </w:tcPr>
          <w:p>
            <w:pPr>
              <w:jc w:val="center"/>
              <w:ind w:left="1428"/>
              <w:spacing w:after="0" w:line="149" w:lineRule="exact"/>
              <w:rPr>
                <w:sz w:val="20"/>
                <w:szCs w:val="20"/>
                <w:color w:val="auto"/>
              </w:rPr>
            </w:pPr>
            <w:r>
              <w:rPr>
                <w:rFonts w:ascii="Arial" w:cs="Arial" w:eastAsia="Arial" w:hAnsi="Arial"/>
                <w:sz w:val="14"/>
                <w:szCs w:val="14"/>
                <w:b w:val="1"/>
                <w:bCs w:val="1"/>
                <w:color w:val="auto"/>
                <w:w w:val="88"/>
              </w:rPr>
              <w:t>Boston, Massachusetts 02116</w:t>
            </w:r>
          </w:p>
        </w:tc>
      </w:tr>
      <w:tr>
        <w:trPr>
          <w:trHeight w:val="186"/>
        </w:trPr>
        <w:tc>
          <w:tcPr>
            <w:tcW w:w="2120" w:type="dxa"/>
            <w:vAlign w:val="bottom"/>
          </w:tcPr>
          <w:p>
            <w:pPr>
              <w:jc w:val="center"/>
              <w:ind w:right="308"/>
              <w:spacing w:after="0"/>
              <w:rPr>
                <w:sz w:val="20"/>
                <w:szCs w:val="20"/>
                <w:color w:val="auto"/>
              </w:rPr>
            </w:pPr>
            <w:r>
              <w:rPr>
                <w:rFonts w:ascii="Arial" w:cs="Arial" w:eastAsia="Arial" w:hAnsi="Arial"/>
                <w:sz w:val="14"/>
                <w:szCs w:val="14"/>
                <w:b w:val="1"/>
                <w:bCs w:val="1"/>
                <w:color w:val="auto"/>
                <w:w w:val="93"/>
              </w:rPr>
              <w:t>(617) 948-6000</w:t>
            </w:r>
          </w:p>
        </w:tc>
        <w:tc>
          <w:tcPr>
            <w:tcW w:w="7460" w:type="dxa"/>
            <w:vAlign w:val="bottom"/>
            <w:gridSpan w:val="3"/>
          </w:tcPr>
          <w:p>
            <w:pPr>
              <w:jc w:val="center"/>
              <w:ind w:left="5488"/>
              <w:spacing w:after="0"/>
              <w:rPr>
                <w:sz w:val="20"/>
                <w:szCs w:val="20"/>
                <w:color w:val="auto"/>
              </w:rPr>
            </w:pPr>
            <w:r>
              <w:rPr>
                <w:rFonts w:ascii="Arial" w:cs="Arial" w:eastAsia="Arial" w:hAnsi="Arial"/>
                <w:sz w:val="14"/>
                <w:szCs w:val="14"/>
                <w:b w:val="1"/>
                <w:bCs w:val="1"/>
                <w:color w:val="auto"/>
                <w:w w:val="93"/>
              </w:rPr>
              <w:t>(617) 937-2300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136525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ind w:left="3440"/>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70" w:lineRule="exact"/>
        <w:rPr>
          <w:sz w:val="24"/>
          <w:szCs w:val="24"/>
          <w:color w:val="auto"/>
        </w:rPr>
      </w:pPr>
    </w:p>
    <w:p>
      <w:pPr>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o</w:t>
      </w:r>
    </w:p>
    <w:p>
      <w:pPr>
        <w:spacing w:after="0" w:line="94" w:lineRule="exact"/>
        <w:rPr>
          <w:sz w:val="24"/>
          <w:szCs w:val="24"/>
          <w:color w:val="auto"/>
        </w:rPr>
      </w:pPr>
    </w:p>
    <w:p>
      <w:pPr>
        <w:ind w:right="120"/>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x 333-211555</w:t>
      </w:r>
    </w:p>
    <w:p>
      <w:pPr>
        <w:spacing w:after="0" w:line="52"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320"/>
        <w:spacing w:after="0" w:line="25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52" w:lineRule="exact"/>
        <w:rPr>
          <w:sz w:val="24"/>
          <w:szCs w:val="24"/>
          <w:color w:val="auto"/>
        </w:rPr>
      </w:pPr>
    </w:p>
    <w:p>
      <w:pPr>
        <w:ind w:right="1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440" w:type="dxa"/>
            <w:vAlign w:val="bottom"/>
          </w:tcPr>
          <w:p>
            <w:pPr>
              <w:ind w:left="320"/>
              <w:spacing w:after="0"/>
              <w:rPr>
                <w:sz w:val="20"/>
                <w:szCs w:val="20"/>
                <w:color w:val="auto"/>
              </w:rPr>
            </w:pPr>
            <w:r>
              <w:rPr>
                <w:rFonts w:ascii="Arial" w:cs="Arial" w:eastAsia="Arial" w:hAnsi="Arial"/>
                <w:sz w:val="14"/>
                <w:szCs w:val="14"/>
                <w:color w:val="auto"/>
              </w:rPr>
              <w:t>Large accelerated filer o</w:t>
            </w:r>
          </w:p>
        </w:tc>
        <w:tc>
          <w:tcPr>
            <w:tcW w:w="1720" w:type="dxa"/>
            <w:vAlign w:val="bottom"/>
          </w:tcPr>
          <w:p>
            <w:pPr>
              <w:spacing w:after="0"/>
              <w:rPr>
                <w:sz w:val="15"/>
                <w:szCs w:val="15"/>
                <w:color w:val="auto"/>
              </w:rPr>
            </w:pPr>
          </w:p>
        </w:tc>
        <w:tc>
          <w:tcPr>
            <w:tcW w:w="224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26"/>
        </w:trPr>
        <w:tc>
          <w:tcPr>
            <w:tcW w:w="20" w:type="dxa"/>
            <w:vAlign w:val="bottom"/>
          </w:tcPr>
          <w:p>
            <w:pPr>
              <w:spacing w:after="0"/>
              <w:rPr>
                <w:sz w:val="19"/>
                <w:szCs w:val="19"/>
                <w:color w:val="auto"/>
              </w:rPr>
            </w:pPr>
          </w:p>
        </w:tc>
        <w:tc>
          <w:tcPr>
            <w:tcW w:w="7440" w:type="dxa"/>
            <w:vAlign w:val="bottom"/>
          </w:tcPr>
          <w:p>
            <w:pPr>
              <w:ind w:left="320"/>
              <w:spacing w:after="0"/>
              <w:rPr>
                <w:sz w:val="20"/>
                <w:szCs w:val="20"/>
                <w:color w:val="auto"/>
              </w:rPr>
            </w:pPr>
            <w:r>
              <w:rPr>
                <w:rFonts w:ascii="Arial" w:cs="Arial" w:eastAsia="Arial" w:hAnsi="Arial"/>
                <w:sz w:val="14"/>
                <w:szCs w:val="14"/>
                <w:color w:val="auto"/>
              </w:rPr>
              <w:t>Non-accelerated filer (Do not check if a smaller reporting company) x</w:t>
            </w:r>
          </w:p>
        </w:tc>
        <w:tc>
          <w:tcPr>
            <w:tcW w:w="1720" w:type="dxa"/>
            <w:vAlign w:val="bottom"/>
          </w:tcPr>
          <w:p>
            <w:pPr>
              <w:spacing w:after="0"/>
              <w:rPr>
                <w:sz w:val="19"/>
                <w:szCs w:val="19"/>
                <w:color w:val="auto"/>
              </w:rPr>
            </w:pPr>
          </w:p>
        </w:tc>
        <w:tc>
          <w:tcPr>
            <w:tcW w:w="224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268"/>
        </w:trPr>
        <w:tc>
          <w:tcPr>
            <w:tcW w:w="20" w:type="dxa"/>
            <w:vAlign w:val="bottom"/>
          </w:tcPr>
          <w:p>
            <w:pPr>
              <w:spacing w:after="0"/>
              <w:rPr>
                <w:sz w:val="23"/>
                <w:szCs w:val="23"/>
                <w:color w:val="auto"/>
              </w:rPr>
            </w:pPr>
          </w:p>
        </w:tc>
        <w:tc>
          <w:tcPr>
            <w:tcW w:w="7440" w:type="dxa"/>
            <w:vAlign w:val="bottom"/>
          </w:tcPr>
          <w:p>
            <w:pPr>
              <w:ind w:left="4320"/>
              <w:spacing w:after="0"/>
              <w:rPr>
                <w:sz w:val="20"/>
                <w:szCs w:val="20"/>
                <w:color w:val="auto"/>
              </w:rPr>
            </w:pPr>
            <w:r>
              <w:rPr>
                <w:rFonts w:ascii="Arial" w:cs="Arial" w:eastAsia="Arial" w:hAnsi="Arial"/>
                <w:sz w:val="14"/>
                <w:szCs w:val="14"/>
                <w:b w:val="1"/>
                <w:bCs w:val="1"/>
                <w:color w:val="auto"/>
              </w:rPr>
              <w:t>CALCULATION OF REGISTRATION FEE</w:t>
            </w:r>
          </w:p>
        </w:tc>
        <w:tc>
          <w:tcPr>
            <w:tcW w:w="1720" w:type="dxa"/>
            <w:vAlign w:val="bottom"/>
          </w:tcPr>
          <w:p>
            <w:pPr>
              <w:spacing w:after="0"/>
              <w:rPr>
                <w:sz w:val="23"/>
                <w:szCs w:val="23"/>
                <w:color w:val="auto"/>
              </w:rPr>
            </w:pPr>
          </w:p>
        </w:tc>
        <w:tc>
          <w:tcPr>
            <w:tcW w:w="2240" w:type="dxa"/>
            <w:vAlign w:val="bottom"/>
          </w:tcPr>
          <w:p>
            <w:pPr>
              <w:spacing w:after="0"/>
              <w:rPr>
                <w:sz w:val="23"/>
                <w:szCs w:val="23"/>
                <w:color w:val="auto"/>
              </w:rPr>
            </w:pPr>
          </w:p>
        </w:tc>
      </w:tr>
      <w:tr>
        <w:trPr>
          <w:trHeight w:val="107"/>
        </w:trPr>
        <w:tc>
          <w:tcPr>
            <w:tcW w:w="20" w:type="dxa"/>
            <w:vAlign w:val="bottom"/>
          </w:tcPr>
          <w:p>
            <w:pPr>
              <w:spacing w:after="0"/>
              <w:rPr>
                <w:sz w:val="9"/>
                <w:szCs w:val="9"/>
                <w:color w:val="auto"/>
              </w:rPr>
            </w:pPr>
          </w:p>
        </w:tc>
        <w:tc>
          <w:tcPr>
            <w:tcW w:w="744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r>
      <w:tr>
        <w:trPr>
          <w:trHeight w:val="101"/>
        </w:trPr>
        <w:tc>
          <w:tcPr>
            <w:tcW w:w="20" w:type="dxa"/>
            <w:vAlign w:val="bottom"/>
          </w:tcPr>
          <w:p>
            <w:pPr>
              <w:spacing w:after="0"/>
              <w:rPr>
                <w:sz w:val="8"/>
                <w:szCs w:val="8"/>
                <w:color w:val="auto"/>
              </w:rPr>
            </w:pPr>
          </w:p>
        </w:tc>
        <w:tc>
          <w:tcPr>
            <w:tcW w:w="7440" w:type="dxa"/>
            <w:vAlign w:val="bottom"/>
            <w:tcBorders>
              <w:right w:val="single" w:sz="8" w:color="auto"/>
            </w:tcBorders>
          </w:tcPr>
          <w:p>
            <w:pPr>
              <w:spacing w:after="0"/>
              <w:rPr>
                <w:sz w:val="8"/>
                <w:szCs w:val="8"/>
                <w:color w:val="auto"/>
              </w:rPr>
            </w:pPr>
          </w:p>
        </w:tc>
        <w:tc>
          <w:tcPr>
            <w:tcW w:w="172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w w:val="89"/>
              </w:rPr>
              <w:t>Proposed Maximum</w:t>
            </w:r>
          </w:p>
        </w:tc>
        <w:tc>
          <w:tcPr>
            <w:tcW w:w="2240" w:type="dxa"/>
            <w:vAlign w:val="bottom"/>
          </w:tcPr>
          <w:p>
            <w:pPr>
              <w:spacing w:after="0"/>
              <w:rPr>
                <w:sz w:val="8"/>
                <w:szCs w:val="8"/>
                <w:color w:val="auto"/>
              </w:rPr>
            </w:pPr>
          </w:p>
        </w:tc>
      </w:tr>
      <w:tr>
        <w:trPr>
          <w:trHeight w:val="122"/>
        </w:trPr>
        <w:tc>
          <w:tcPr>
            <w:tcW w:w="20" w:type="dxa"/>
            <w:vAlign w:val="bottom"/>
          </w:tcPr>
          <w:p>
            <w:pPr>
              <w:spacing w:after="0"/>
              <w:rPr>
                <w:sz w:val="10"/>
                <w:szCs w:val="10"/>
                <w:color w:val="auto"/>
              </w:rPr>
            </w:pPr>
          </w:p>
        </w:tc>
        <w:tc>
          <w:tcPr>
            <w:tcW w:w="7440" w:type="dxa"/>
            <w:vAlign w:val="bottom"/>
            <w:tcBorders>
              <w:right w:val="single" w:sz="8" w:color="auto"/>
            </w:tcBorders>
          </w:tcPr>
          <w:p>
            <w:pPr>
              <w:jc w:val="center"/>
              <w:ind w:right="254"/>
              <w:spacing w:after="0" w:line="122" w:lineRule="exact"/>
              <w:rPr>
                <w:sz w:val="20"/>
                <w:szCs w:val="20"/>
                <w:color w:val="auto"/>
              </w:rPr>
            </w:pPr>
            <w:r>
              <w:rPr>
                <w:rFonts w:ascii="Arial" w:cs="Arial" w:eastAsia="Arial" w:hAnsi="Arial"/>
                <w:sz w:val="11"/>
                <w:szCs w:val="11"/>
                <w:b w:val="1"/>
                <w:bCs w:val="1"/>
                <w:color w:val="auto"/>
                <w:w w:val="89"/>
              </w:rPr>
              <w:t>Title of Each Class of</w:t>
            </w:r>
          </w:p>
        </w:tc>
        <w:tc>
          <w:tcPr>
            <w:tcW w:w="17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89"/>
              </w:rPr>
              <w:t>Aggregate Offering</w:t>
            </w:r>
          </w:p>
        </w:tc>
        <w:tc>
          <w:tcPr>
            <w:tcW w:w="22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35"/>
        </w:trPr>
        <w:tc>
          <w:tcPr>
            <w:tcW w:w="20" w:type="dxa"/>
            <w:vAlign w:val="bottom"/>
          </w:tcPr>
          <w:p>
            <w:pPr>
              <w:spacing w:after="0"/>
              <w:rPr>
                <w:sz w:val="11"/>
                <w:szCs w:val="11"/>
                <w:color w:val="auto"/>
              </w:rPr>
            </w:pPr>
          </w:p>
        </w:tc>
        <w:tc>
          <w:tcPr>
            <w:tcW w:w="7440" w:type="dxa"/>
            <w:vAlign w:val="bottom"/>
            <w:tcBorders>
              <w:bottom w:val="single" w:sz="8" w:color="auto"/>
              <w:right w:val="single" w:sz="8" w:color="auto"/>
            </w:tcBorders>
          </w:tcPr>
          <w:p>
            <w:pPr>
              <w:jc w:val="center"/>
              <w:ind w:right="254"/>
              <w:spacing w:after="0"/>
              <w:rPr>
                <w:sz w:val="20"/>
                <w:szCs w:val="20"/>
                <w:color w:val="auto"/>
              </w:rPr>
            </w:pPr>
            <w:r>
              <w:rPr>
                <w:rFonts w:ascii="Arial" w:cs="Arial" w:eastAsia="Arial" w:hAnsi="Arial"/>
                <w:sz w:val="11"/>
                <w:szCs w:val="11"/>
                <w:b w:val="1"/>
                <w:bCs w:val="1"/>
                <w:color w:val="auto"/>
                <w:w w:val="84"/>
              </w:rPr>
              <w:t>Securities to be Registered</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Price</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Registration Fee</w:t>
            </w:r>
          </w:p>
        </w:tc>
      </w:tr>
      <w:tr>
        <w:trPr>
          <w:trHeight w:val="142"/>
        </w:trPr>
        <w:tc>
          <w:tcPr>
            <w:tcW w:w="20" w:type="dxa"/>
            <w:vAlign w:val="bottom"/>
            <w:tcBorders>
              <w:bottom w:val="single" w:sz="8" w:color="auto"/>
            </w:tcBorders>
          </w:tcPr>
          <w:p>
            <w:pPr>
              <w:spacing w:after="0"/>
              <w:rPr>
                <w:sz w:val="12"/>
                <w:szCs w:val="12"/>
                <w:color w:val="auto"/>
              </w:rPr>
            </w:pPr>
          </w:p>
        </w:tc>
        <w:tc>
          <w:tcPr>
            <w:tcW w:w="74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$0.0001 par value per share</w:t>
            </w:r>
          </w:p>
        </w:tc>
        <w:tc>
          <w:tcPr>
            <w:tcW w:w="17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$2,300,000(1)</w:t>
            </w:r>
          </w:p>
        </w:tc>
        <w:tc>
          <w:tcPr>
            <w:tcW w:w="2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$232(2)</w:t>
            </w:r>
          </w:p>
        </w:tc>
      </w:tr>
    </w:tbl>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(1)  Based on the public offering price. The registrant previously registered securities at an aggregate offering price not to exceed $78,200,000 on a Registration Statement on Form S-1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3"/>
          <w:szCs w:val="13"/>
          <w:color w:val="auto"/>
        </w:rPr>
        <w:t>No. 333-211555), which was declared effective on June 21, 2016. In accordance with Rule 462(b) promulgated under the Securities Act, an additional amount of securities having a proposed</w:t>
      </w:r>
    </w:p>
    <w:p>
      <w:pPr>
        <w:ind w:left="300"/>
        <w:spacing w:after="0"/>
        <w:rPr>
          <w:sz w:val="20"/>
          <w:szCs w:val="20"/>
          <w:color w:val="auto"/>
        </w:rPr>
      </w:pPr>
      <w:r>
        <w:rPr>
          <w:rFonts w:ascii="Arial" w:cs="Arial" w:eastAsia="Arial" w:hAnsi="Arial"/>
          <w:sz w:val="13"/>
          <w:szCs w:val="13"/>
          <w:color w:val="auto"/>
        </w:rPr>
        <w:t>maximum aggregate offering price of $2,300,000 is hereby registered, which includes shares issuable upon exercise of the underwriters’ option to purchase additional shares and does not</w:t>
      </w:r>
    </w:p>
    <w:p>
      <w:pPr>
        <w:ind w:left="300"/>
        <w:spacing w:after="0" w:line="221" w:lineRule="auto"/>
        <w:rPr>
          <w:sz w:val="20"/>
          <w:szCs w:val="20"/>
          <w:color w:val="auto"/>
        </w:rPr>
      </w:pPr>
      <w:r>
        <w:rPr>
          <w:rFonts w:ascii="Arial" w:cs="Arial" w:eastAsia="Arial" w:hAnsi="Arial"/>
          <w:sz w:val="14"/>
          <w:szCs w:val="14"/>
          <w:color w:val="auto"/>
        </w:rPr>
        <w:t>include the securities that the Registrant previously registered on the Registration Statement on Form S-1 (File No. 333-211555).</w:t>
      </w:r>
    </w:p>
    <w:p>
      <w:pPr>
        <w:ind w:left="300" w:right="80" w:hanging="292"/>
        <w:spacing w:after="0" w:line="237" w:lineRule="auto"/>
        <w:tabs>
          <w:tab w:leader="none" w:pos="274"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457(o) of the rules and regulations under the Securities Act of 1933, as amended, the registration fee has been calculated on the basis of the maximum aggregate offering price and the number of securities being registered has been omitted.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136525</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This Registration Statement shall become effective upon filing with the Securities and Exchange Commission in accordance with Rule 462(b) promulgated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311785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EXPLANATORY NOTE AND INCORPORATION OF CERTAIN INFORMATION BY REFERENCE</w:t>
      </w:r>
    </w:p>
    <w:p>
      <w:pPr>
        <w:sectPr>
          <w:pgSz w:w="11900" w:h="16838" w:orient="portrait"/>
          <w:cols w:equalWidth="0" w:num="1">
            <w:col w:w="11420"/>
          </w:cols>
          <w:pgMar w:left="240" w:top="346" w:right="239" w:bottom="158" w:gutter="0" w:footer="0" w:header="0"/>
        </w:sectPr>
      </w:pPr>
    </w:p>
    <w:bookmarkStart w:id="1" w:name="page2"/>
    <w:bookmarkEnd w:id="1"/>
    <w:p>
      <w:pPr>
        <w:ind w:right="140" w:firstLine="648"/>
        <w:spacing w:after="0" w:line="293" w:lineRule="auto"/>
        <w:rPr>
          <w:sz w:val="20"/>
          <w:szCs w:val="20"/>
          <w:color w:val="auto"/>
        </w:rPr>
      </w:pPr>
      <w:r>
        <w:rPr>
          <w:rFonts w:ascii="Arial" w:cs="Arial" w:eastAsia="Arial" w:hAnsi="Arial"/>
          <w:sz w:val="16"/>
          <w:szCs w:val="16"/>
          <w:color w:val="auto"/>
        </w:rPr>
        <w:t>This registration statement is being filed with the Securities and Exchange Commission (the “Commission”) pursuant to Rule 462(b) under the Securities Act of 1933, as amended. This Registration Statement relates to the public offering of common stock, par value $0.0001 per share, of the Registrant contemplated by the Registration Statement on Form S-1 (File No. 333-211555), initially filed with the Commission by the Registrant on May 24, 2016 (as amended, the “Prior Registration Statement”), and is being filed for the sole purpose of registering additional securities of the same class as were included in the Prior Registration Statement</w:t>
      </w:r>
      <w:r>
        <w:rPr>
          <w:rFonts w:ascii="Arial" w:cs="Arial" w:eastAsia="Arial" w:hAnsi="Arial"/>
          <w:sz w:val="15"/>
          <w:szCs w:val="15"/>
          <w:color w:val="auto"/>
        </w:rPr>
        <w:t>, representing an increase in the maximum aggregate offering price of $2,300,000</w:t>
      </w:r>
      <w:r>
        <w:rPr>
          <w:rFonts w:ascii="Arial" w:cs="Arial" w:eastAsia="Arial" w:hAnsi="Arial"/>
          <w:sz w:val="16"/>
          <w:szCs w:val="16"/>
          <w:color w:val="auto"/>
        </w:rPr>
        <w:t>. The contents of the Prior Registration Statement, which was declared effective by the Commission on June 21, 2016, and all exhibits thereto are hereby incorporated by reference.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required opinion and consents are listed on an Exhibit Index attached hereto and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Watertown, Commonwealth of Massachusetts, on this 21st day of June, 2016.</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Werner Cautreels, Ph.D.</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-130810</wp:posOffset>
            </wp:positionV>
            <wp:extent cx="33362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00" w:right="300" w:firstLine="432"/>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held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tcPr>
          <w:p>
            <w:pPr>
              <w:jc w:val="center"/>
              <w:ind w:right="471"/>
              <w:spacing w:after="0"/>
              <w:rPr>
                <w:sz w:val="20"/>
                <w:szCs w:val="20"/>
                <w:color w:val="auto"/>
              </w:rPr>
            </w:pPr>
            <w:r>
              <w:rPr>
                <w:rFonts w:ascii="Arial" w:cs="Arial" w:eastAsia="Arial" w:hAnsi="Arial"/>
                <w:sz w:val="14"/>
                <w:szCs w:val="14"/>
                <w:b w:val="1"/>
                <w:bCs w:val="1"/>
                <w:color w:val="auto"/>
                <w:w w:val="92"/>
              </w:rPr>
              <w:t>Signature</w:t>
            </w:r>
          </w:p>
        </w:tc>
        <w:tc>
          <w:tcPr>
            <w:tcW w:w="280" w:type="dxa"/>
            <w:vAlign w:val="bottom"/>
          </w:tcPr>
          <w:p>
            <w:pPr>
              <w:spacing w:after="0"/>
              <w:rPr>
                <w:sz w:val="14"/>
                <w:szCs w:val="14"/>
                <w:color w:val="auto"/>
              </w:rPr>
            </w:pPr>
          </w:p>
        </w:tc>
        <w:tc>
          <w:tcPr>
            <w:tcW w:w="456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Title</w:t>
            </w:r>
          </w:p>
        </w:tc>
        <w:tc>
          <w:tcPr>
            <w:tcW w:w="280" w:type="dxa"/>
            <w:vAlign w:val="bottom"/>
          </w:tcPr>
          <w:p>
            <w:pPr>
              <w:spacing w:after="0"/>
              <w:rPr>
                <w:sz w:val="14"/>
                <w:szCs w:val="14"/>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0" w:type="dxa"/>
            <w:vAlign w:val="bottom"/>
          </w:tcPr>
          <w:p>
            <w:pPr>
              <w:spacing w:after="0"/>
              <w:rPr>
                <w:sz w:val="14"/>
                <w:szCs w:val="14"/>
                <w:color w:val="auto"/>
              </w:rPr>
            </w:pPr>
          </w:p>
        </w:tc>
      </w:tr>
      <w:tr>
        <w:trPr>
          <w:trHeight w:val="642"/>
        </w:trPr>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Werner Cautreels, Ph.D.</w:t>
            </w:r>
          </w:p>
        </w:tc>
        <w:tc>
          <w:tcPr>
            <w:tcW w:w="28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 (principal</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21, 2016</w:t>
            </w:r>
          </w:p>
        </w:tc>
        <w:tc>
          <w:tcPr>
            <w:tcW w:w="4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440" w:type="dxa"/>
            <w:vAlign w:val="bottom"/>
          </w:tcPr>
          <w:p>
            <w:pPr>
              <w:jc w:val="center"/>
              <w:ind w:right="491"/>
              <w:spacing w:after="0"/>
              <w:rPr>
                <w:sz w:val="20"/>
                <w:szCs w:val="20"/>
                <w:color w:val="auto"/>
              </w:rPr>
            </w:pPr>
            <w:r>
              <w:rPr>
                <w:rFonts w:ascii="Arial" w:cs="Arial" w:eastAsia="Arial" w:hAnsi="Arial"/>
                <w:sz w:val="18"/>
                <w:szCs w:val="18"/>
                <w:color w:val="auto"/>
                <w:w w:val="88"/>
              </w:rPr>
              <w:t>Werner Cautreels, Ph.D.</w:t>
            </w:r>
          </w:p>
        </w:tc>
        <w:tc>
          <w:tcPr>
            <w:tcW w:w="2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executive officer)</w:t>
            </w: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Siewers</w:t>
            </w:r>
          </w:p>
        </w:tc>
        <w:tc>
          <w:tcPr>
            <w:tcW w:w="28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 officer and</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21, 2016</w:t>
            </w:r>
          </w:p>
        </w:tc>
        <w:tc>
          <w:tcPr>
            <w:tcW w:w="4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440" w:type="dxa"/>
            <w:vAlign w:val="bottom"/>
          </w:tcPr>
          <w:p>
            <w:pPr>
              <w:jc w:val="center"/>
              <w:ind w:right="491"/>
              <w:spacing w:after="0"/>
              <w:rPr>
                <w:sz w:val="20"/>
                <w:szCs w:val="20"/>
                <w:color w:val="auto"/>
              </w:rPr>
            </w:pPr>
            <w:r>
              <w:rPr>
                <w:rFonts w:ascii="Arial" w:cs="Arial" w:eastAsia="Arial" w:hAnsi="Arial"/>
                <w:sz w:val="18"/>
                <w:szCs w:val="18"/>
                <w:color w:val="auto"/>
                <w:w w:val="92"/>
              </w:rPr>
              <w:t>David Siewers</w:t>
            </w:r>
          </w:p>
        </w:tc>
        <w:tc>
          <w:tcPr>
            <w:tcW w:w="2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4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21, 2016</w:t>
            </w:r>
          </w:p>
        </w:tc>
        <w:tc>
          <w:tcPr>
            <w:tcW w:w="4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440" w:type="dxa"/>
            <w:vAlign w:val="bottom"/>
          </w:tcPr>
          <w:p>
            <w:pPr>
              <w:jc w:val="center"/>
              <w:ind w:right="471"/>
              <w:spacing w:after="0"/>
              <w:rPr>
                <w:sz w:val="20"/>
                <w:szCs w:val="20"/>
                <w:color w:val="auto"/>
              </w:rPr>
            </w:pPr>
            <w:r>
              <w:rPr>
                <w:rFonts w:ascii="Arial" w:cs="Arial" w:eastAsia="Arial" w:hAnsi="Arial"/>
                <w:sz w:val="18"/>
                <w:szCs w:val="18"/>
                <w:color w:val="auto"/>
                <w:w w:val="92"/>
              </w:rPr>
              <w:t>Omid Farokhzad, M.D.</w:t>
            </w:r>
          </w:p>
        </w:tc>
        <w:tc>
          <w:tcPr>
            <w:tcW w:w="2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21, 2016</w:t>
            </w:r>
          </w:p>
        </w:tc>
        <w:tc>
          <w:tcPr>
            <w:tcW w:w="4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440" w:type="dxa"/>
            <w:vAlign w:val="bottom"/>
          </w:tcPr>
          <w:p>
            <w:pPr>
              <w:jc w:val="center"/>
              <w:ind w:right="471"/>
              <w:spacing w:after="0"/>
              <w:rPr>
                <w:sz w:val="20"/>
                <w:szCs w:val="20"/>
                <w:color w:val="auto"/>
              </w:rPr>
            </w:pPr>
            <w:r>
              <w:rPr>
                <w:rFonts w:ascii="Arial" w:cs="Arial" w:eastAsia="Arial" w:hAnsi="Arial"/>
                <w:sz w:val="18"/>
                <w:szCs w:val="18"/>
                <w:color w:val="auto"/>
                <w:w w:val="91"/>
              </w:rPr>
              <w:t>Carl Gordon, Ph.D.</w:t>
            </w:r>
          </w:p>
        </w:tc>
        <w:tc>
          <w:tcPr>
            <w:tcW w:w="2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21, 2016</w:t>
            </w:r>
          </w:p>
        </w:tc>
        <w:tc>
          <w:tcPr>
            <w:tcW w:w="4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440" w:type="dxa"/>
            <w:vAlign w:val="bottom"/>
          </w:tcPr>
          <w:p>
            <w:pPr>
              <w:jc w:val="center"/>
              <w:ind w:right="491"/>
              <w:spacing w:after="0"/>
              <w:rPr>
                <w:sz w:val="20"/>
                <w:szCs w:val="20"/>
                <w:color w:val="auto"/>
              </w:rPr>
            </w:pPr>
            <w:r>
              <w:rPr>
                <w:rFonts w:ascii="Arial" w:cs="Arial" w:eastAsia="Arial" w:hAnsi="Arial"/>
                <w:sz w:val="18"/>
                <w:szCs w:val="18"/>
                <w:color w:val="auto"/>
                <w:w w:val="90"/>
              </w:rPr>
              <w:t>Peter Barton Hutt</w:t>
            </w:r>
          </w:p>
        </w:tc>
        <w:tc>
          <w:tcPr>
            <w:tcW w:w="2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21, 2016</w:t>
            </w:r>
          </w:p>
        </w:tc>
        <w:tc>
          <w:tcPr>
            <w:tcW w:w="4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440" w:type="dxa"/>
            <w:vAlign w:val="bottom"/>
          </w:tcPr>
          <w:p>
            <w:pPr>
              <w:jc w:val="center"/>
              <w:ind w:right="491"/>
              <w:spacing w:after="0"/>
              <w:rPr>
                <w:sz w:val="20"/>
                <w:szCs w:val="20"/>
                <w:color w:val="auto"/>
              </w:rPr>
            </w:pPr>
            <w:r>
              <w:rPr>
                <w:rFonts w:ascii="Arial" w:cs="Arial" w:eastAsia="Arial" w:hAnsi="Arial"/>
                <w:sz w:val="18"/>
                <w:szCs w:val="18"/>
                <w:color w:val="auto"/>
                <w:w w:val="94"/>
              </w:rPr>
              <w:t>Edwin M. Kania, Jr.</w:t>
            </w:r>
          </w:p>
        </w:tc>
        <w:tc>
          <w:tcPr>
            <w:tcW w:w="2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21, 2016</w:t>
            </w:r>
          </w:p>
        </w:tc>
        <w:tc>
          <w:tcPr>
            <w:tcW w:w="4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440" w:type="dxa"/>
            <w:vAlign w:val="bottom"/>
          </w:tcPr>
          <w:p>
            <w:pPr>
              <w:jc w:val="center"/>
              <w:ind w:right="491"/>
              <w:spacing w:after="0"/>
              <w:rPr>
                <w:sz w:val="20"/>
                <w:szCs w:val="20"/>
                <w:color w:val="auto"/>
              </w:rPr>
            </w:pPr>
            <w:r>
              <w:rPr>
                <w:rFonts w:ascii="Arial" w:cs="Arial" w:eastAsia="Arial" w:hAnsi="Arial"/>
                <w:sz w:val="18"/>
                <w:szCs w:val="18"/>
                <w:color w:val="auto"/>
                <w:w w:val="92"/>
              </w:rPr>
              <w:t>Amir Nashat, Sc.D.</w:t>
            </w:r>
          </w:p>
        </w:tc>
        <w:tc>
          <w:tcPr>
            <w:tcW w:w="2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21, 2016</w:t>
            </w:r>
          </w:p>
        </w:tc>
        <w:tc>
          <w:tcPr>
            <w:tcW w:w="4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440" w:type="dxa"/>
            <w:vAlign w:val="bottom"/>
          </w:tcPr>
          <w:p>
            <w:pPr>
              <w:jc w:val="center"/>
              <w:ind w:right="471"/>
              <w:spacing w:after="0"/>
              <w:rPr>
                <w:sz w:val="20"/>
                <w:szCs w:val="20"/>
                <w:color w:val="auto"/>
              </w:rPr>
            </w:pPr>
            <w:r>
              <w:rPr>
                <w:rFonts w:ascii="Arial" w:cs="Arial" w:eastAsia="Arial" w:hAnsi="Arial"/>
                <w:sz w:val="18"/>
                <w:szCs w:val="18"/>
                <w:color w:val="auto"/>
                <w:w w:val="94"/>
              </w:rPr>
              <w:t>Aymeric Sallin</w:t>
            </w:r>
          </w:p>
        </w:tc>
        <w:tc>
          <w:tcPr>
            <w:tcW w:w="2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4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21, 2016</w:t>
            </w:r>
          </w:p>
        </w:tc>
        <w:tc>
          <w:tcPr>
            <w:tcW w:w="4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440" w:type="dxa"/>
            <w:vAlign w:val="bottom"/>
          </w:tcPr>
          <w:p>
            <w:pPr>
              <w:jc w:val="center"/>
              <w:ind w:right="491"/>
              <w:spacing w:after="0"/>
              <w:rPr>
                <w:sz w:val="20"/>
                <w:szCs w:val="20"/>
                <w:color w:val="auto"/>
              </w:rPr>
            </w:pPr>
            <w:r>
              <w:rPr>
                <w:rFonts w:ascii="Arial" w:cs="Arial" w:eastAsia="Arial" w:hAnsi="Arial"/>
                <w:sz w:val="18"/>
                <w:szCs w:val="18"/>
                <w:color w:val="auto"/>
                <w:w w:val="93"/>
              </w:rPr>
              <w:t>Leysan Shaydullina, M.D.</w:t>
            </w:r>
          </w:p>
        </w:tc>
        <w:tc>
          <w:tcPr>
            <w:tcW w:w="2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5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80" w:type="dxa"/>
            <w:vAlign w:val="bottom"/>
          </w:tcPr>
          <w:p>
            <w:pPr>
              <w:jc w:val="center"/>
              <w:spacing w:after="0"/>
              <w:rPr>
                <w:sz w:val="20"/>
                <w:szCs w:val="20"/>
                <w:color w:val="auto"/>
              </w:rPr>
            </w:pPr>
            <w:r>
              <w:rPr>
                <w:rFonts w:ascii="Arial" w:cs="Arial" w:eastAsia="Arial" w:hAnsi="Arial"/>
                <w:sz w:val="18"/>
                <w:szCs w:val="18"/>
                <w:color w:val="auto"/>
                <w:w w:val="87"/>
              </w:rPr>
              <w:t>June 21, 2016</w:t>
            </w:r>
          </w:p>
        </w:tc>
        <w:tc>
          <w:tcPr>
            <w:tcW w:w="4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3440" w:type="dxa"/>
            <w:vAlign w:val="bottom"/>
          </w:tcPr>
          <w:p>
            <w:pPr>
              <w:jc w:val="center"/>
              <w:ind w:right="491"/>
              <w:spacing w:after="0"/>
              <w:rPr>
                <w:sz w:val="20"/>
                <w:szCs w:val="20"/>
                <w:color w:val="auto"/>
              </w:rPr>
            </w:pPr>
            <w:r>
              <w:rPr>
                <w:rFonts w:ascii="Arial" w:cs="Arial" w:eastAsia="Arial" w:hAnsi="Arial"/>
                <w:sz w:val="18"/>
                <w:szCs w:val="18"/>
                <w:color w:val="auto"/>
                <w:w w:val="92"/>
              </w:rPr>
              <w:t>Timothy A. Springer, Ph.D.</w:t>
            </w:r>
          </w:p>
        </w:tc>
        <w:tc>
          <w:tcPr>
            <w:tcW w:w="2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634"/>
        </w:trPr>
        <w:tc>
          <w:tcPr>
            <w:tcW w:w="4020" w:type="dxa"/>
            <w:vAlign w:val="bottom"/>
            <w:gridSpan w:val="2"/>
          </w:tcPr>
          <w:p>
            <w:pPr>
              <w:spacing w:after="0"/>
              <w:rPr>
                <w:sz w:val="20"/>
                <w:szCs w:val="20"/>
                <w:color w:val="auto"/>
              </w:rPr>
            </w:pPr>
            <w:r>
              <w:rPr>
                <w:rFonts w:ascii="Arial" w:cs="Arial" w:eastAsia="Arial" w:hAnsi="Arial"/>
                <w:sz w:val="18"/>
                <w:szCs w:val="18"/>
                <w:color w:val="auto"/>
              </w:rPr>
              <w:t>*By:   /s/ Werner Cautreels, Ph.D.</w:t>
            </w:r>
          </w:p>
        </w:tc>
        <w:tc>
          <w:tcPr>
            <w:tcW w:w="2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580" w:type="dxa"/>
            <w:vAlign w:val="bottom"/>
          </w:tcPr>
          <w:p>
            <w:pPr>
              <w:spacing w:after="0"/>
              <w:rPr>
                <w:sz w:val="16"/>
                <w:szCs w:val="16"/>
                <w:color w:val="auto"/>
              </w:rPr>
            </w:pPr>
          </w:p>
        </w:tc>
        <w:tc>
          <w:tcPr>
            <w:tcW w:w="3440" w:type="dxa"/>
            <w:vAlign w:val="bottom"/>
            <w:tcBorders>
              <w:top w:val="single" w:sz="8" w:color="auto"/>
            </w:tcBorders>
          </w:tcPr>
          <w:p>
            <w:pPr>
              <w:jc w:val="center"/>
              <w:ind w:right="491"/>
              <w:spacing w:after="0" w:line="195" w:lineRule="exact"/>
              <w:rPr>
                <w:sz w:val="20"/>
                <w:szCs w:val="20"/>
                <w:color w:val="auto"/>
              </w:rPr>
            </w:pPr>
            <w:r>
              <w:rPr>
                <w:rFonts w:ascii="Arial" w:cs="Arial" w:eastAsia="Arial" w:hAnsi="Arial"/>
                <w:sz w:val="18"/>
                <w:szCs w:val="18"/>
                <w:color w:val="auto"/>
                <w:w w:val="88"/>
              </w:rPr>
              <w:t>Werner Cautreels, Ph.D.</w:t>
            </w:r>
          </w:p>
        </w:tc>
        <w:tc>
          <w:tcPr>
            <w:tcW w:w="28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p>
        </w:tc>
        <w:tc>
          <w:tcPr>
            <w:tcW w:w="3440" w:type="dxa"/>
            <w:vAlign w:val="bottom"/>
          </w:tcPr>
          <w:p>
            <w:pPr>
              <w:jc w:val="center"/>
              <w:ind w:right="491"/>
              <w:spacing w:after="0"/>
              <w:rPr>
                <w:sz w:val="20"/>
                <w:szCs w:val="20"/>
                <w:color w:val="auto"/>
              </w:rPr>
            </w:pPr>
            <w:r>
              <w:rPr>
                <w:rFonts w:ascii="Arial" w:cs="Arial" w:eastAsia="Arial" w:hAnsi="Arial"/>
                <w:sz w:val="18"/>
                <w:szCs w:val="18"/>
                <w:i w:val="1"/>
                <w:iCs w:val="1"/>
                <w:color w:val="auto"/>
                <w:w w:val="93"/>
              </w:rPr>
              <w:t>Attorney-in-fact</w:t>
            </w:r>
          </w:p>
        </w:tc>
        <w:tc>
          <w:tcPr>
            <w:tcW w:w="28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4"/>
        </w:trPr>
        <w:tc>
          <w:tcPr>
            <w:tcW w:w="58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94"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rPr>
                <w:sz w:val="24"/>
                <w:szCs w:val="24"/>
                <w:color w:val="auto"/>
              </w:rPr>
            </w:pPr>
          </w:p>
        </w:tc>
        <w:tc>
          <w:tcPr>
            <w:tcW w:w="9920" w:type="dxa"/>
            <w:vAlign w:val="bottom"/>
            <w:vMerge w:val="restart"/>
          </w:tcPr>
          <w:p>
            <w:pPr>
              <w:ind w:left="42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9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1.1(1)</w:t>
            </w:r>
          </w:p>
        </w:tc>
        <w:tc>
          <w:tcPr>
            <w:tcW w:w="34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3"/>
              </w:rPr>
              <w:t>5.1(2)</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Opinion of Latham &amp; Watkins LLP</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23.1</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23.2(3)</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Consent of Latham &amp; Watkins LLP</w:t>
            </w:r>
          </w:p>
        </w:tc>
        <w:tc>
          <w:tcPr>
            <w:tcW w:w="0" w:type="dxa"/>
            <w:vAlign w:val="bottom"/>
          </w:tcPr>
          <w:p>
            <w:pPr>
              <w:spacing w:after="0"/>
              <w:rPr>
                <w:sz w:val="1"/>
                <w:szCs w:val="1"/>
                <w:color w:val="auto"/>
              </w:rPr>
            </w:pPr>
          </w:p>
        </w:tc>
      </w:tr>
      <w:tr>
        <w:trPr>
          <w:trHeight w:val="230"/>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24.1(4)</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320" w:hanging="652"/>
        <w:spacing w:after="0" w:line="258" w:lineRule="auto"/>
        <w:tabs>
          <w:tab w:leader="none" w:pos="667"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as Exhibit 1.1 to the Registrant’s Registration Statement on Form S-1, as amended (File No. 333-211555), initially filed with the Securities and Exchange Commission on May 24, 2016 and incorporated by reference herein.</w:t>
      </w:r>
    </w:p>
    <w:p>
      <w:pPr>
        <w:spacing w:after="0" w:line="1" w:lineRule="exact"/>
        <w:rPr>
          <w:rFonts w:ascii="Arial" w:cs="Arial" w:eastAsia="Arial" w:hAnsi="Arial"/>
          <w:sz w:val="18"/>
          <w:szCs w:val="18"/>
          <w:color w:val="auto"/>
        </w:rPr>
      </w:pPr>
    </w:p>
    <w:p>
      <w:pPr>
        <w:ind w:left="660" w:right="320" w:hanging="652"/>
        <w:spacing w:after="0" w:line="250" w:lineRule="auto"/>
        <w:tabs>
          <w:tab w:leader="none" w:pos="667"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as Exhibit 5.1 to the Registrant’s Registration Statement on Form S-1, as amended (File No. 333-211555), initially filed with the Securities and Exchange Commission on May 24, 2016 and incorporated by reference herein.</w:t>
      </w:r>
    </w:p>
    <w:p>
      <w:pPr>
        <w:ind w:left="660" w:right="360" w:hanging="652"/>
        <w:spacing w:after="0" w:line="250" w:lineRule="auto"/>
        <w:tabs>
          <w:tab w:leader="none" w:pos="667"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(included in Exhibit 5.1) with the Registrant’s Registration Statement on Form S-1, as amended (File No. 333-211555), initially filed with the Securities and Exchange Commission on May 24, 2016 and incorporated by reference herein.</w:t>
      </w:r>
    </w:p>
    <w:p>
      <w:pPr>
        <w:ind w:left="660" w:right="40" w:hanging="652"/>
        <w:spacing w:after="0" w:line="261" w:lineRule="auto"/>
        <w:tabs>
          <w:tab w:leader="none" w:pos="667"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Previously filed on the signature page to the Registrant’s Registration Statement on Form S-1, as amended (File No. 333-211555), initially filed with the Securities and Exchange Commission on May 24, 2016 and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 on Form S-1 filed pursuant to Rule 462(b) of the Securities Act of 1933 of the reference to our firm under the caption “Experts” and to the incorporation by reference of our report dated March 30, 2016 (except for Note 17(b) as to which the date is June 8, 2016), with respect to the consolidated financial statements of Selecta Biosciences, Inc. included in Amendment No. 2 to the Registration Statement (Form S-1 No. 333-211555) and related Prospectus of Selecta Biosciences, Inc. for the registration of its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2019-12-08T17:41:24Z</dcterms:created>
  <dcterms:modified xsi:type="dcterms:W3CDTF">2019-12-08T17:41:24Z</dcterms:modified>
</cp:coreProperties>
</file>