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341"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2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Polaris Partners</w:t>
            </w: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Gunderson Dettmer Stough Villeneuve</w:t>
            </w:r>
          </w:p>
        </w:tc>
      </w:tr>
      <w:tr>
        <w:trPr>
          <w:trHeight w:val="216"/>
        </w:trPr>
        <w:tc>
          <w:tcPr>
            <w:tcW w:w="42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One Marina Park Drive, 10th Floor</w:t>
            </w: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5"/>
              </w:rPr>
              <w:t>Franklin &amp; Hachigian, LLP</w:t>
            </w:r>
          </w:p>
        </w:tc>
      </w:tr>
      <w:tr>
        <w:trPr>
          <w:trHeight w:val="216"/>
        </w:trPr>
        <w:tc>
          <w:tcPr>
            <w:tcW w:w="42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Boston, MA 02210</w:t>
            </w:r>
          </w:p>
        </w:tc>
        <w:tc>
          <w:tcPr>
            <w:tcW w:w="4420" w:type="dxa"/>
            <w:vAlign w:val="bottom"/>
          </w:tcPr>
          <w:p>
            <w:pPr>
              <w:jc w:val="center"/>
              <w:ind w:left="1370"/>
              <w:spacing w:after="0"/>
              <w:rPr>
                <w:sz w:val="20"/>
                <w:szCs w:val="20"/>
                <w:color w:val="auto"/>
              </w:rPr>
            </w:pPr>
            <w:r>
              <w:rPr>
                <w:rFonts w:ascii="Arial" w:cs="Arial" w:eastAsia="Arial" w:hAnsi="Arial"/>
                <w:sz w:val="18"/>
                <w:szCs w:val="18"/>
                <w:b w:val="1"/>
                <w:bCs w:val="1"/>
                <w:color w:val="auto"/>
                <w:w w:val="93"/>
              </w:rPr>
              <w:t>One Marina Park Drive, Suite 900</w:t>
            </w:r>
          </w:p>
        </w:tc>
      </w:tr>
      <w:tr>
        <w:trPr>
          <w:trHeight w:val="216"/>
        </w:trPr>
        <w:tc>
          <w:tcPr>
            <w:tcW w:w="4200" w:type="dxa"/>
            <w:vAlign w:val="bottom"/>
          </w:tcPr>
          <w:p>
            <w:pPr>
              <w:spacing w:after="0"/>
              <w:rPr>
                <w:sz w:val="18"/>
                <w:szCs w:val="18"/>
                <w:color w:val="auto"/>
              </w:rPr>
            </w:pP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Boston, MA 02210</w:t>
            </w:r>
          </w:p>
        </w:tc>
      </w:tr>
      <w:tr>
        <w:trPr>
          <w:trHeight w:val="216"/>
        </w:trPr>
        <w:tc>
          <w:tcPr>
            <w:tcW w:w="4200" w:type="dxa"/>
            <w:vAlign w:val="bottom"/>
          </w:tcPr>
          <w:p>
            <w:pPr>
              <w:spacing w:after="0"/>
              <w:rPr>
                <w:sz w:val="18"/>
                <w:szCs w:val="18"/>
                <w:color w:val="auto"/>
              </w:rPr>
            </w:pP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2"/>
              </w:rPr>
              <w:t>Attn: Jay K. Hachigian, Esq.</w:t>
            </w:r>
          </w:p>
        </w:tc>
      </w:tr>
      <w:tr>
        <w:trPr>
          <w:trHeight w:val="234"/>
        </w:trPr>
        <w:tc>
          <w:tcPr>
            <w:tcW w:w="4200" w:type="dxa"/>
            <w:vAlign w:val="bottom"/>
          </w:tcPr>
          <w:p>
            <w:pPr>
              <w:spacing w:after="0"/>
              <w:rPr>
                <w:sz w:val="20"/>
                <w:szCs w:val="20"/>
                <w:color w:val="auto"/>
              </w:rPr>
            </w:pP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2"/>
              </w:rPr>
              <w:t>(617) 648-9100</w:t>
            </w:r>
          </w:p>
        </w:tc>
      </w:tr>
    </w:tbl>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23, 2019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5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ind w:left="495" w:hanging="405"/>
        <w:spacing w:after="0"/>
        <w:tabs>
          <w:tab w:leader="none" w:pos="495"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Polaris Venture Partners V, L.P. (“PVP V”)</w:t>
      </w:r>
    </w:p>
    <w:p>
      <w:pPr>
        <w:spacing w:after="0" w:line="36" w:lineRule="exact"/>
        <w:rPr>
          <w:rFonts w:ascii="Arial" w:cs="Arial" w:eastAsia="Arial" w:hAnsi="Arial"/>
          <w:sz w:val="18"/>
          <w:szCs w:val="18"/>
          <w:color w:val="auto"/>
        </w:rPr>
      </w:pPr>
    </w:p>
    <w:p>
      <w:pPr>
        <w:ind w:left="495" w:hanging="405"/>
        <w:spacing w:after="0"/>
        <w:tabs>
          <w:tab w:leader="none" w:pos="49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-575945</wp:posOffset>
            </wp:positionV>
            <wp:extent cx="7254875" cy="7075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7075170"/>
                    </a:xfrm>
                    <a:prstGeom prst="rect">
                      <a:avLst/>
                    </a:prstGeom>
                    <a:noFill/>
                  </pic:spPr>
                </pic:pic>
              </a:graphicData>
            </a:graphic>
          </wp:anchor>
        </w:drawing>
      </w:r>
    </w:p>
    <w:p>
      <w:pPr>
        <w:ind w:left="495"/>
        <w:spacing w:after="0" w:line="205" w:lineRule="exact"/>
        <w:tabs>
          <w:tab w:leader="none" w:pos="129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95" w:hanging="405"/>
        <w:spacing w:after="0"/>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495" w:hanging="405"/>
        <w:spacing w:after="0"/>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495" w:hanging="405"/>
        <w:spacing w:after="0"/>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right="8140" w:hanging="405"/>
        <w:spacing w:after="0" w:line="402"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75" w:hanging="328"/>
        <w:spacing w:after="0"/>
        <w:tabs>
          <w:tab w:leader="none" w:pos="1675"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675" w:right="60"/>
        <w:spacing w:after="0" w:line="288" w:lineRule="auto"/>
        <w:rPr>
          <w:rFonts w:ascii="Arial" w:cs="Arial" w:eastAsia="Arial" w:hAnsi="Arial"/>
          <w:sz w:val="18"/>
          <w:szCs w:val="18"/>
          <w:color w:val="auto"/>
        </w:rPr>
      </w:pPr>
      <w:r>
        <w:rPr>
          <w:rFonts w:ascii="Arial" w:cs="Arial" w:eastAsia="Arial" w:hAnsi="Arial"/>
          <w:sz w:val="16"/>
          <w:szCs w:val="16"/>
          <w:color w:val="auto"/>
        </w:rPr>
        <w:t>2,676,234 shares, except that (i) Polaris Venture Management Co. V, L.L.C. (“PVM V”), the general partner of PVP V, may be deemed to have sole power to vote these shares, and (ii) Jonathan A. Flint (“Flint”), a managing member of PVM V, may be deemed to have shared power to vote these shares, Terrance G. McGuire (“McGuire”), a managing member of PVM V, may be deemed to</w:t>
      </w:r>
    </w:p>
    <w:tbl>
      <w:tblPr>
        <w:tblLayout w:type="fixed"/>
        <w:tblInd w:w="115" w:type="dxa"/>
        <w:tblCellMar>
          <w:top w:w="0" w:type="dxa"/>
          <w:left w:w="0" w:type="dxa"/>
          <w:bottom w:w="0" w:type="dxa"/>
          <w:right w:w="0" w:type="dxa"/>
        </w:tblCellMar>
      </w:tblPr>
      <w:tr>
        <w:trPr>
          <w:trHeight w:val="202"/>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w:t>
            </w:r>
          </w:p>
        </w:tc>
        <w:tc>
          <w:tcPr>
            <w:tcW w:w="460" w:type="dxa"/>
            <w:vAlign w:val="bottom"/>
          </w:tcPr>
          <w:p>
            <w:pPr>
              <w:spacing w:after="0"/>
              <w:rPr>
                <w:sz w:val="17"/>
                <w:szCs w:val="17"/>
                <w:color w:val="auto"/>
              </w:rPr>
            </w:pPr>
          </w:p>
        </w:tc>
        <w:tc>
          <w:tcPr>
            <w:tcW w:w="9700" w:type="dxa"/>
            <w:vAlign w:val="bottom"/>
          </w:tcPr>
          <w:p>
            <w:pPr>
              <w:ind w:left="100"/>
              <w:spacing w:after="0" w:line="202" w:lineRule="exact"/>
              <w:rPr>
                <w:sz w:val="20"/>
                <w:szCs w:val="20"/>
                <w:color w:val="auto"/>
              </w:rPr>
            </w:pPr>
            <w:r>
              <w:rPr>
                <w:rFonts w:ascii="Arial" w:cs="Arial" w:eastAsia="Arial" w:hAnsi="Arial"/>
                <w:sz w:val="18"/>
                <w:szCs w:val="18"/>
                <w:color w:val="auto"/>
                <w:w w:val="91"/>
              </w:rPr>
              <w:t>have shared power to vote these shares and Amir Nashat (“Nashat”), a member of PVM V and member of the Board of Directors of</w:t>
            </w:r>
          </w:p>
        </w:tc>
        <w:tc>
          <w:tcPr>
            <w:tcW w:w="0" w:type="dxa"/>
            <w:vAlign w:val="bottom"/>
          </w:tcPr>
          <w:p>
            <w:pPr>
              <w:spacing w:after="0"/>
              <w:rPr>
                <w:sz w:val="1"/>
                <w:szCs w:val="1"/>
                <w:color w:val="auto"/>
              </w:rPr>
            </w:pPr>
          </w:p>
        </w:tc>
      </w:tr>
      <w:tr>
        <w:trPr>
          <w:trHeight w:val="176"/>
        </w:trPr>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700" w:type="dxa"/>
            <w:vAlign w:val="bottom"/>
          </w:tcPr>
          <w:p>
            <w:pPr>
              <w:ind w:left="100"/>
              <w:spacing w:after="0" w:line="176" w:lineRule="exact"/>
              <w:rPr>
                <w:sz w:val="20"/>
                <w:szCs w:val="20"/>
                <w:color w:val="auto"/>
              </w:rPr>
            </w:pPr>
            <w:r>
              <w:rPr>
                <w:rFonts w:ascii="Arial" w:cs="Arial" w:eastAsia="Arial" w:hAnsi="Arial"/>
                <w:sz w:val="18"/>
                <w:szCs w:val="18"/>
                <w:color w:val="auto"/>
              </w:rPr>
              <w:t>the Issuer, may be deemed to have shared power to vote these shares.</w:t>
            </w:r>
          </w:p>
        </w:tc>
        <w:tc>
          <w:tcPr>
            <w:tcW w:w="0" w:type="dxa"/>
            <w:vAlign w:val="bottom"/>
          </w:tcPr>
          <w:p>
            <w:pPr>
              <w:spacing w:after="0"/>
              <w:rPr>
                <w:sz w:val="1"/>
                <w:szCs w:val="1"/>
                <w:color w:val="auto"/>
              </w:rPr>
            </w:pPr>
          </w:p>
        </w:tc>
      </w:tr>
      <w:tr>
        <w:trPr>
          <w:trHeight w:val="68"/>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4"/>
              </w:rPr>
              <w:t>Shares</w:t>
            </w:r>
          </w:p>
        </w:tc>
        <w:tc>
          <w:tcPr>
            <w:tcW w:w="460" w:type="dxa"/>
            <w:vAlign w:val="bottom"/>
            <w:tcBorders>
              <w:bottom w:val="single" w:sz="8" w:color="auto"/>
            </w:tcBorders>
          </w:tcPr>
          <w:p>
            <w:pPr>
              <w:spacing w:after="0"/>
              <w:rPr>
                <w:sz w:val="5"/>
                <w:szCs w:val="5"/>
                <w:color w:val="auto"/>
              </w:rPr>
            </w:pPr>
          </w:p>
        </w:tc>
        <w:tc>
          <w:tcPr>
            <w:tcW w:w="9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7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60" w:type="dxa"/>
            <w:vAlign w:val="bottom"/>
            <w:vMerge w:val="continue"/>
          </w:tcPr>
          <w:p>
            <w:pPr>
              <w:spacing w:after="0"/>
              <w:rPr>
                <w:sz w:val="8"/>
                <w:szCs w:val="8"/>
                <w:color w:val="auto"/>
              </w:rPr>
            </w:pPr>
          </w:p>
        </w:tc>
        <w:tc>
          <w:tcPr>
            <w:tcW w:w="9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Owned by</w:t>
            </w:r>
          </w:p>
        </w:tc>
        <w:tc>
          <w:tcPr>
            <w:tcW w:w="460" w:type="dxa"/>
            <w:vAlign w:val="bottom"/>
          </w:tcPr>
          <w:p>
            <w:pPr>
              <w:spacing w:after="0"/>
              <w:rPr>
                <w:sz w:val="18"/>
                <w:szCs w:val="18"/>
                <w:color w:val="auto"/>
              </w:rPr>
            </w:pPr>
          </w:p>
        </w:tc>
        <w:tc>
          <w:tcPr>
            <w:tcW w:w="9700" w:type="dxa"/>
            <w:vAlign w:val="bottom"/>
            <w:vMerge w:val="restart"/>
          </w:tcPr>
          <w:p>
            <w:pPr>
              <w:ind w:left="10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tcBorders>
          </w:tcPr>
          <w:p>
            <w:pPr>
              <w:spacing w:after="0"/>
              <w:rPr>
                <w:sz w:val="10"/>
                <w:szCs w:val="10"/>
                <w:color w:val="auto"/>
              </w:rPr>
            </w:pPr>
          </w:p>
        </w:tc>
        <w:tc>
          <w:tcPr>
            <w:tcW w:w="9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0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7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w:t>
            </w:r>
          </w:p>
        </w:tc>
        <w:tc>
          <w:tcPr>
            <w:tcW w:w="460" w:type="dxa"/>
            <w:vAlign w:val="bottom"/>
            <w:vMerge w:val="continue"/>
          </w:tcPr>
          <w:p>
            <w:pPr>
              <w:spacing w:after="0"/>
              <w:rPr>
                <w:sz w:val="13"/>
                <w:szCs w:val="13"/>
                <w:color w:val="auto"/>
              </w:rPr>
            </w:pPr>
          </w:p>
        </w:tc>
        <w:tc>
          <w:tcPr>
            <w:tcW w:w="9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700" w:type="dxa"/>
            <w:vAlign w:val="bottom"/>
            <w:vMerge w:val="restart"/>
          </w:tcPr>
          <w:p>
            <w:pPr>
              <w:ind w:left="100"/>
              <w:spacing w:after="0"/>
              <w:rPr>
                <w:sz w:val="20"/>
                <w:szCs w:val="20"/>
                <w:color w:val="auto"/>
              </w:rPr>
            </w:pPr>
            <w:r>
              <w:rPr>
                <w:rFonts w:ascii="Arial" w:cs="Arial" w:eastAsia="Arial" w:hAnsi="Arial"/>
                <w:sz w:val="18"/>
                <w:szCs w:val="18"/>
                <w:color w:val="auto"/>
                <w:w w:val="94"/>
              </w:rPr>
              <w:t>2,676,234 shares, except that (i) PVM V, the general partner of PVP V, may be deemed to have sole power to dispose of these</w:t>
            </w:r>
          </w:p>
        </w:tc>
        <w:tc>
          <w:tcPr>
            <w:tcW w:w="0" w:type="dxa"/>
            <w:vAlign w:val="bottom"/>
          </w:tcPr>
          <w:p>
            <w:pPr>
              <w:spacing w:after="0"/>
              <w:rPr>
                <w:sz w:val="1"/>
                <w:szCs w:val="1"/>
                <w:color w:val="auto"/>
              </w:rPr>
            </w:pPr>
          </w:p>
        </w:tc>
      </w:tr>
      <w:tr>
        <w:trPr>
          <w:trHeight w:val="149"/>
        </w:trPr>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With</w:t>
            </w:r>
          </w:p>
        </w:tc>
        <w:tc>
          <w:tcPr>
            <w:tcW w:w="460" w:type="dxa"/>
            <w:vAlign w:val="bottom"/>
          </w:tcPr>
          <w:p>
            <w:pPr>
              <w:spacing w:after="0"/>
              <w:rPr>
                <w:sz w:val="12"/>
                <w:szCs w:val="12"/>
                <w:color w:val="auto"/>
              </w:rPr>
            </w:pPr>
          </w:p>
        </w:tc>
        <w:tc>
          <w:tcPr>
            <w:tcW w:w="9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0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700" w:type="dxa"/>
            <w:vAlign w:val="bottom"/>
            <w:vMerge w:val="restart"/>
          </w:tcPr>
          <w:p>
            <w:pPr>
              <w:ind w:left="100"/>
              <w:spacing w:after="0"/>
              <w:rPr>
                <w:sz w:val="20"/>
                <w:szCs w:val="20"/>
                <w:color w:val="auto"/>
              </w:rPr>
            </w:pPr>
            <w:r>
              <w:rPr>
                <w:rFonts w:ascii="Arial" w:cs="Arial" w:eastAsia="Arial" w:hAnsi="Arial"/>
                <w:sz w:val="18"/>
                <w:szCs w:val="18"/>
                <w:color w:val="auto"/>
                <w:w w:val="91"/>
              </w:rPr>
              <w:t>shares, and (ii) Flint, a managing member of PVM V, may be deemed to have shared power to dispose of these shares, McGuire, a</w:t>
            </w:r>
          </w:p>
        </w:tc>
        <w:tc>
          <w:tcPr>
            <w:tcW w:w="0" w:type="dxa"/>
            <w:vAlign w:val="bottom"/>
          </w:tcPr>
          <w:p>
            <w:pPr>
              <w:spacing w:after="0"/>
              <w:rPr>
                <w:sz w:val="1"/>
                <w:szCs w:val="1"/>
                <w:color w:val="auto"/>
              </w:rPr>
            </w:pPr>
          </w:p>
        </w:tc>
      </w:tr>
      <w:tr>
        <w:trPr>
          <w:trHeight w:val="134"/>
        </w:trPr>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2"/>
              </w:rPr>
              <w:t>managing member of PVM V, may be deemed to have shared power to dispose of these shares and Nashat, a member of PVM V</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9"/>
              </w:rPr>
              <w:t>and member of the Board of Directors of the Issuer, maybe be deemed to have shared power to dispose of 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75" w:right="7720" w:hanging="418"/>
        <w:spacing w:after="0" w:line="458" w:lineRule="auto"/>
        <w:tabs>
          <w:tab w:leader="none" w:pos="1675"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495" w:right="5980" w:hanging="495"/>
        <w:spacing w:after="0" w:line="407" w:lineRule="auto"/>
        <w:tabs>
          <w:tab w:leader="none" w:pos="485"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2,676,234</w:t>
      </w:r>
    </w:p>
    <w:p>
      <w:pPr>
        <w:ind w:left="495" w:hanging="495"/>
        <w:spacing w:after="0"/>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right="6900" w:hanging="495"/>
        <w:spacing w:after="0" w:line="402"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3.1%</w:t>
      </w:r>
    </w:p>
    <w:p>
      <w:pPr>
        <w:spacing w:after="0" w:line="1" w:lineRule="exact"/>
        <w:rPr>
          <w:rFonts w:ascii="Arial" w:cs="Arial" w:eastAsia="Arial" w:hAnsi="Arial"/>
          <w:sz w:val="18"/>
          <w:szCs w:val="18"/>
          <w:color w:val="auto"/>
        </w:rPr>
      </w:pPr>
    </w:p>
    <w:p>
      <w:pPr>
        <w:ind w:left="495" w:hanging="495"/>
        <w:spacing w:after="0"/>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555"/>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75"/>
          </w:cols>
          <w:pgMar w:left="405" w:top="287" w:right="219" w:bottom="1440" w:gutter="0" w:footer="0" w:header="0"/>
        </w:sectPr>
      </w:pPr>
    </w:p>
    <w:bookmarkStart w:id="2" w:name="page3"/>
    <w:bookmarkEnd w:id="2"/>
    <w:p>
      <w:pPr>
        <w:ind w:left="495" w:hanging="405"/>
        <w:spacing w:after="0"/>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Polaris Venture Partners Entrepreneurs’ Fund V, L.P. (“PVPE V”)</w:t>
      </w:r>
    </w:p>
    <w:p>
      <w:pPr>
        <w:spacing w:after="0" w:line="36" w:lineRule="exact"/>
        <w:rPr>
          <w:rFonts w:ascii="Arial" w:cs="Arial" w:eastAsia="Arial" w:hAnsi="Arial"/>
          <w:sz w:val="18"/>
          <w:szCs w:val="18"/>
          <w:color w:val="auto"/>
        </w:rPr>
      </w:pPr>
    </w:p>
    <w:p>
      <w:pPr>
        <w:ind w:left="415" w:hanging="325"/>
        <w:spacing w:after="0"/>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-575945</wp:posOffset>
            </wp:positionV>
            <wp:extent cx="7254875" cy="6938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938010"/>
                    </a:xfrm>
                    <a:prstGeom prst="rect">
                      <a:avLst/>
                    </a:prstGeom>
                    <a:noFill/>
                  </pic:spPr>
                </pic:pic>
              </a:graphicData>
            </a:graphic>
          </wp:anchor>
        </w:drawing>
      </w:r>
    </w:p>
    <w:p>
      <w:pPr>
        <w:ind w:left="495"/>
        <w:spacing w:after="0" w:line="205" w:lineRule="exact"/>
        <w:tabs>
          <w:tab w:leader="none" w:pos="129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95" w:hanging="405"/>
        <w:spacing w:after="0"/>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495" w:hanging="405"/>
        <w:spacing w:after="0"/>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495" w:hanging="405"/>
        <w:spacing w:after="0"/>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right="8140" w:hanging="405"/>
        <w:spacing w:after="0" w:line="402"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75" w:hanging="328"/>
        <w:spacing w:after="0"/>
        <w:tabs>
          <w:tab w:leader="none" w:pos="1675"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p>
      <w:pPr>
        <w:ind w:left="1675"/>
        <w:spacing w:after="0"/>
        <w:rPr>
          <w:sz w:val="20"/>
          <w:szCs w:val="20"/>
          <w:color w:val="auto"/>
        </w:rPr>
      </w:pPr>
      <w:r>
        <w:rPr>
          <w:rFonts w:ascii="Arial" w:cs="Arial" w:eastAsia="Arial" w:hAnsi="Arial"/>
          <w:sz w:val="16"/>
          <w:szCs w:val="16"/>
          <w:color w:val="auto"/>
        </w:rPr>
        <w:t>52,156 shares, except that (i) PVM V, the general partner of PVPE V, may be deemed to have sole power to vote these shares, and</w:t>
      </w:r>
    </w:p>
    <w:p>
      <w:pPr>
        <w:spacing w:after="0" w:line="46" w:lineRule="exact"/>
        <w:rPr>
          <w:sz w:val="20"/>
          <w:szCs w:val="20"/>
          <w:color w:val="auto"/>
        </w:rPr>
      </w:pPr>
    </w:p>
    <w:p>
      <w:pPr>
        <w:jc w:val="both"/>
        <w:ind w:left="1675" w:right="80" w:firstLine="5"/>
        <w:spacing w:after="0" w:line="281" w:lineRule="auto"/>
        <w:tabs>
          <w:tab w:leader="none" w:pos="1939" w:val="left"/>
        </w:tabs>
        <w:numPr>
          <w:ilvl w:val="0"/>
          <w:numId w:val="8"/>
        </w:numPr>
        <w:rPr>
          <w:rFonts w:ascii="Arial" w:cs="Arial" w:eastAsia="Arial" w:hAnsi="Arial"/>
          <w:sz w:val="16"/>
          <w:szCs w:val="16"/>
          <w:color w:val="auto"/>
        </w:rPr>
      </w:pPr>
      <w:r>
        <w:rPr>
          <w:rFonts w:ascii="Arial" w:cs="Arial" w:eastAsia="Arial" w:hAnsi="Arial"/>
          <w:sz w:val="16"/>
          <w:szCs w:val="16"/>
          <w:color w:val="auto"/>
        </w:rPr>
        <w:t>Flint, a managing member of PVM V, may be deemed to have shared power to vote these shares, McGuire, a managing member of PVM V, may be deemed to have shared power to vote these shares and Nashat, a member of PVM V and member of the Board of</w:t>
      </w:r>
    </w:p>
    <w:p>
      <w:pPr>
        <w:spacing w:after="0" w:line="1" w:lineRule="exact"/>
        <w:rPr>
          <w:sz w:val="20"/>
          <w:szCs w:val="20"/>
          <w:color w:val="auto"/>
        </w:rPr>
      </w:pPr>
    </w:p>
    <w:tbl>
      <w:tblPr>
        <w:tblLayout w:type="fixed"/>
        <w:tblInd w:w="115" w:type="dxa"/>
        <w:tblCellMar>
          <w:top w:w="0" w:type="dxa"/>
          <w:left w:w="0" w:type="dxa"/>
          <w:bottom w:w="0" w:type="dxa"/>
          <w:right w:w="0" w:type="dxa"/>
        </w:tblCellMar>
      </w:tblPr>
      <w:tr>
        <w:trPr>
          <w:trHeight w:val="243"/>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5"/>
              </w:rPr>
              <w:t>Number of</w:t>
            </w:r>
          </w:p>
        </w:tc>
        <w:tc>
          <w:tcPr>
            <w:tcW w:w="46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Directors of the Issuer, may be deemed to have shared power to vote these shares.</w:t>
            </w:r>
          </w:p>
        </w:tc>
        <w:tc>
          <w:tcPr>
            <w:tcW w:w="0" w:type="dxa"/>
            <w:vAlign w:val="bottom"/>
          </w:tcPr>
          <w:p>
            <w:pPr>
              <w:spacing w:after="0"/>
              <w:rPr>
                <w:sz w:val="1"/>
                <w:szCs w:val="1"/>
                <w:color w:val="auto"/>
              </w:rPr>
            </w:pPr>
          </w:p>
        </w:tc>
      </w:tr>
      <w:tr>
        <w:trPr>
          <w:trHeight w:val="222"/>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97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700" w:type="dxa"/>
            <w:vAlign w:val="bottom"/>
            <w:vMerge w:val="restart"/>
          </w:tcPr>
          <w:p>
            <w:pPr>
              <w:ind w:left="10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7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0"/>
              </w:rPr>
              <w:t>52,156 shares, except that (i) PVM V, the general partner of PVPE V, may be deemed to have sole power to dispose of these shares,</w:t>
            </w:r>
          </w:p>
        </w:tc>
        <w:tc>
          <w:tcPr>
            <w:tcW w:w="0" w:type="dxa"/>
            <w:vAlign w:val="bottom"/>
          </w:tcPr>
          <w:p>
            <w:pPr>
              <w:spacing w:after="0"/>
              <w:rPr>
                <w:sz w:val="1"/>
                <w:szCs w:val="1"/>
                <w:color w:val="auto"/>
              </w:rPr>
            </w:pPr>
          </w:p>
        </w:tc>
      </w:tr>
      <w:tr>
        <w:trPr>
          <w:trHeight w:val="25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9"/>
              </w:rPr>
              <w:t>With</w:t>
            </w:r>
          </w:p>
        </w:tc>
        <w:tc>
          <w:tcPr>
            <w:tcW w:w="460" w:type="dxa"/>
            <w:vAlign w:val="bottom"/>
          </w:tcPr>
          <w:p>
            <w:pPr>
              <w:spacing w:after="0"/>
              <w:rPr>
                <w:sz w:val="22"/>
                <w:szCs w:val="22"/>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7"/>
              </w:rPr>
              <w:t>and (ii) Flint, a managing member of PVM V, may be deemed to have shared power to dispose of these shares, McGuire, a</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2"/>
              </w:rPr>
              <w:t>managing member of PVM V, may be deemed to have shared power to dispose of these shares, and Nashat, a member of PVM V</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rPr>
              <w:t>and member of 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75" w:right="7720" w:hanging="418"/>
        <w:spacing w:after="0" w:line="458" w:lineRule="auto"/>
        <w:tabs>
          <w:tab w:leader="none" w:pos="1675"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495" w:right="5980" w:hanging="495"/>
        <w:spacing w:after="0" w:line="407" w:lineRule="auto"/>
        <w:tabs>
          <w:tab w:leader="none" w:pos="4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52,156</w:t>
      </w:r>
    </w:p>
    <w:p>
      <w:pPr>
        <w:ind w:left="495" w:hanging="495"/>
        <w:spacing w:after="0"/>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right="6900" w:hanging="495"/>
        <w:spacing w:after="0" w:line="402"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495" w:hanging="495"/>
        <w:spacing w:after="0"/>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555"/>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75"/>
          </w:cols>
          <w:pgMar w:left="405" w:top="287" w:right="219" w:bottom="1440" w:gutter="0" w:footer="0" w:header="0"/>
        </w:sectPr>
      </w:pPr>
    </w:p>
    <w:bookmarkStart w:id="3" w:name="page4"/>
    <w:bookmarkEnd w:id="3"/>
    <w:p>
      <w:pPr>
        <w:ind w:left="440" w:hanging="390"/>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Polaris Venture Partners Founders’ Fund V, L.P. (“PVPFF V”)</w:t>
      </w:r>
    </w:p>
    <w:p>
      <w:pPr>
        <w:spacing w:after="0" w:line="36" w:lineRule="exact"/>
        <w:rPr>
          <w:rFonts w:ascii="Arial" w:cs="Arial" w:eastAsia="Arial" w:hAnsi="Arial"/>
          <w:sz w:val="18"/>
          <w:szCs w:val="18"/>
          <w:color w:val="auto"/>
        </w:rPr>
      </w:pPr>
    </w:p>
    <w:p>
      <w:pPr>
        <w:ind w:left="440" w:hanging="390"/>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-575945</wp:posOffset>
            </wp:positionV>
            <wp:extent cx="7254875" cy="7075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7075170"/>
                    </a:xfrm>
                    <a:prstGeom prst="rect">
                      <a:avLst/>
                    </a:prstGeom>
                    <a:noFill/>
                  </pic:spPr>
                </pic:pic>
              </a:graphicData>
            </a:graphic>
          </wp:anchor>
        </w:drawing>
      </w:r>
    </w:p>
    <w:p>
      <w:pPr>
        <w:ind w:left="440"/>
        <w:spacing w:after="0" w:line="205" w:lineRule="exact"/>
        <w:tabs>
          <w:tab w:leader="none" w:pos="11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70" w:lineRule="exact"/>
        <w:rPr>
          <w:sz w:val="20"/>
          <w:szCs w:val="20"/>
          <w:color w:val="auto"/>
        </w:rPr>
      </w:pPr>
    </w:p>
    <w:p>
      <w:pPr>
        <w:ind w:left="440" w:hanging="390"/>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440" w:hanging="390"/>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440" w:hanging="390"/>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4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40" w:right="8120" w:hanging="390"/>
        <w:spacing w:after="0" w:line="402"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920" w:hanging="547"/>
        <w:spacing w:after="0"/>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0"/>
              </w:rPr>
              <w:t>18,329 shares, except that (i) PVM V, the general partner of PVPFF V, may be deemed to have sole power to vote these shares,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0"/>
              </w:rPr>
              <w:t>and (ii) Flint, a managing member of PVM V, may be deemed to have shared power to vote these shares, McGuire, a managing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1"/>
              </w:rPr>
              <w:t>member of PVM V, may be deemed to have shared power to vote these shares, and Nashat, a member of PVM V and member</w:t>
            </w:r>
          </w:p>
        </w:tc>
        <w:tc>
          <w:tcPr>
            <w:tcW w:w="0" w:type="dxa"/>
            <w:vAlign w:val="bottom"/>
          </w:tcPr>
          <w:p>
            <w:pPr>
              <w:spacing w:after="0"/>
              <w:rPr>
                <w:sz w:val="1"/>
                <w:szCs w:val="1"/>
                <w:color w:val="auto"/>
              </w:rPr>
            </w:pPr>
          </w:p>
        </w:tc>
      </w:tr>
      <w:tr>
        <w:trPr>
          <w:trHeight w:val="237"/>
        </w:trPr>
        <w:tc>
          <w:tcPr>
            <w:tcW w:w="104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Number of</w:t>
            </w:r>
          </w:p>
        </w:tc>
        <w:tc>
          <w:tcPr>
            <w:tcW w:w="6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of the Board of Directors of the Issuer, may be deemed to have shared power to vote these shares.</w:t>
            </w: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680" w:type="dxa"/>
            <w:vAlign w:val="bottom"/>
            <w:vMerge w:val="continue"/>
          </w:tcPr>
          <w:p>
            <w:pPr>
              <w:spacing w:after="0"/>
              <w:rPr>
                <w:sz w:val="8"/>
                <w:szCs w:val="8"/>
                <w:color w:val="auto"/>
              </w:rPr>
            </w:pP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10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Owned by</w:t>
            </w:r>
          </w:p>
        </w:tc>
        <w:tc>
          <w:tcPr>
            <w:tcW w:w="680" w:type="dxa"/>
            <w:vAlign w:val="bottom"/>
            <w:tcBorders>
              <w:bottom w:val="single" w:sz="8" w:color="auto"/>
            </w:tcBorders>
          </w:tcPr>
          <w:p>
            <w:pPr>
              <w:spacing w:after="0"/>
              <w:rPr>
                <w:sz w:val="10"/>
                <w:szCs w:val="10"/>
                <w:color w:val="auto"/>
              </w:rPr>
            </w:pP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40" w:type="dxa"/>
            <w:vAlign w:val="bottom"/>
            <w:vMerge w:val="continue"/>
          </w:tcPr>
          <w:p>
            <w:pPr>
              <w:spacing w:after="0"/>
              <w:rPr>
                <w:sz w:val="6"/>
                <w:szCs w:val="6"/>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68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680" w:type="dxa"/>
            <w:vAlign w:val="bottom"/>
          </w:tcPr>
          <w:p>
            <w:pPr>
              <w:spacing w:after="0"/>
              <w:rPr>
                <w:sz w:val="18"/>
                <w:szCs w:val="18"/>
                <w:color w:val="auto"/>
              </w:rPr>
            </w:pP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w w:val="91"/>
              </w:rPr>
              <w:t>18,329 shares, except that (i) PVM V, the general partner of PVPFF V, may be deemed to have sole power to dispose of these</w:t>
            </w:r>
          </w:p>
        </w:tc>
        <w:tc>
          <w:tcPr>
            <w:tcW w:w="0" w:type="dxa"/>
            <w:vAlign w:val="bottom"/>
          </w:tcPr>
          <w:p>
            <w:pPr>
              <w:spacing w:after="0"/>
              <w:rPr>
                <w:sz w:val="1"/>
                <w:szCs w:val="1"/>
                <w:color w:val="auto"/>
              </w:rPr>
            </w:pPr>
          </w:p>
        </w:tc>
      </w:tr>
      <w:tr>
        <w:trPr>
          <w:trHeight w:val="149"/>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4"/>
              </w:rPr>
              <w:t>Person</w:t>
            </w:r>
          </w:p>
        </w:tc>
        <w:tc>
          <w:tcPr>
            <w:tcW w:w="680" w:type="dxa"/>
            <w:vAlign w:val="bottom"/>
          </w:tcPr>
          <w:p>
            <w:pPr>
              <w:spacing w:after="0"/>
              <w:rPr>
                <w:sz w:val="12"/>
                <w:szCs w:val="12"/>
                <w:color w:val="auto"/>
              </w:rPr>
            </w:pPr>
          </w:p>
        </w:tc>
        <w:tc>
          <w:tcPr>
            <w:tcW w:w="9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w w:val="97"/>
              </w:rPr>
              <w:t>shares, and (ii) Flint, a managing member of PVM V, may be deemed to have shared power to dispose of these shares,</w:t>
            </w:r>
          </w:p>
        </w:tc>
        <w:tc>
          <w:tcPr>
            <w:tcW w:w="0" w:type="dxa"/>
            <w:vAlign w:val="bottom"/>
          </w:tcPr>
          <w:p>
            <w:pPr>
              <w:spacing w:after="0"/>
              <w:rPr>
                <w:sz w:val="1"/>
                <w:szCs w:val="1"/>
                <w:color w:val="auto"/>
              </w:rPr>
            </w:pPr>
          </w:p>
        </w:tc>
      </w:tr>
      <w:tr>
        <w:trPr>
          <w:trHeight w:val="149"/>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80" w:type="dxa"/>
            <w:vAlign w:val="bottom"/>
          </w:tcPr>
          <w:p>
            <w:pPr>
              <w:spacing w:after="0"/>
              <w:rPr>
                <w:sz w:val="12"/>
                <w:szCs w:val="12"/>
                <w:color w:val="auto"/>
              </w:rPr>
            </w:pPr>
          </w:p>
        </w:tc>
        <w:tc>
          <w:tcPr>
            <w:tcW w:w="9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0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w w:val="94"/>
              </w:rPr>
              <w:t>McGuire, a managing member of PVM V, may be deemed to have shared power to dispose of these shares, and Nashat, a</w:t>
            </w: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4"/>
              </w:rPr>
              <w:t>member of PVM V and member of the Board of Directors of the Issuer, may be deemed to have shared power to dispose of</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920" w:right="7380" w:hanging="637"/>
        <w:spacing w:after="0" w:line="458" w:lineRule="auto"/>
        <w:tabs>
          <w:tab w:leader="none" w:pos="1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600" w:right="5780" w:hanging="552"/>
        <w:spacing w:after="0" w:line="407" w:lineRule="auto"/>
        <w:tabs>
          <w:tab w:leader="none" w:pos="5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18,329</w:t>
      </w:r>
    </w:p>
    <w:p>
      <w:pPr>
        <w:ind w:left="600" w:hanging="559"/>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600" w:right="6700" w:hanging="559"/>
        <w:spacing w:after="0" w:line="402"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600" w:hanging="559"/>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180"/>
          </w:cols>
          <w:pgMar w:left="500" w:top="287" w:right="219" w:bottom="1440" w:gutter="0" w:footer="0" w:header="0"/>
        </w:sectPr>
      </w:pPr>
    </w:p>
    <w:bookmarkStart w:id="4" w:name="page5"/>
    <w:bookmarkEnd w:id="4"/>
    <w:p>
      <w:pPr>
        <w:ind w:left="404" w:hanging="404"/>
        <w:spacing w:after="0"/>
        <w:tabs>
          <w:tab w:leader="none" w:pos="404"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404"/>
        <w:spacing w:after="0"/>
        <w:rPr>
          <w:rFonts w:ascii="Arial" w:cs="Arial" w:eastAsia="Arial" w:hAnsi="Arial"/>
          <w:sz w:val="18"/>
          <w:szCs w:val="18"/>
          <w:color w:val="auto"/>
        </w:rPr>
      </w:pPr>
      <w:r>
        <w:rPr>
          <w:rFonts w:ascii="Arial" w:cs="Arial" w:eastAsia="Arial" w:hAnsi="Arial"/>
          <w:sz w:val="18"/>
          <w:szCs w:val="18"/>
          <w:color w:val="auto"/>
        </w:rPr>
        <w:t>Polaris Venture Partners Special Founders’ Fund V, L.P. (“PVPSFF V”)</w:t>
      </w:r>
    </w:p>
    <w:p>
      <w:pPr>
        <w:spacing w:after="0" w:line="36" w:lineRule="exact"/>
        <w:rPr>
          <w:rFonts w:ascii="Arial" w:cs="Arial" w:eastAsia="Arial" w:hAnsi="Arial"/>
          <w:sz w:val="18"/>
          <w:szCs w:val="18"/>
          <w:color w:val="auto"/>
        </w:rPr>
      </w:pPr>
    </w:p>
    <w:p>
      <w:pPr>
        <w:ind w:left="404" w:hanging="404"/>
        <w:spacing w:after="0"/>
        <w:tabs>
          <w:tab w:leader="none" w:pos="4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-575945</wp:posOffset>
            </wp:positionV>
            <wp:extent cx="7254875" cy="7075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7075170"/>
                    </a:xfrm>
                    <a:prstGeom prst="rect">
                      <a:avLst/>
                    </a:prstGeom>
                    <a:noFill/>
                  </pic:spPr>
                </pic:pic>
              </a:graphicData>
            </a:graphic>
          </wp:anchor>
        </w:drawing>
      </w:r>
    </w:p>
    <w:p>
      <w:pPr>
        <w:ind w:left="404"/>
        <w:spacing w:after="0" w:line="205" w:lineRule="exact"/>
        <w:tabs>
          <w:tab w:leader="none" w:pos="116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(b) </w:t>
      </w:r>
      <w:r>
        <w:rPr>
          <w:rFonts w:ascii="MS PGothic" w:cs="MS PGothic" w:eastAsia="MS PGothic" w:hAnsi="MS PGothic"/>
          <w:sz w:val="15"/>
          <w:szCs w:val="15"/>
          <w:color w:val="auto"/>
        </w:rPr>
        <w:t>☒</w:t>
      </w:r>
    </w:p>
    <w:p>
      <w:pPr>
        <w:spacing w:after="0" w:line="270" w:lineRule="exact"/>
        <w:rPr>
          <w:sz w:val="20"/>
          <w:szCs w:val="20"/>
          <w:color w:val="auto"/>
        </w:rPr>
      </w:pPr>
    </w:p>
    <w:p>
      <w:pPr>
        <w:ind w:left="404" w:hanging="404"/>
        <w:spacing w:after="0"/>
        <w:tabs>
          <w:tab w:leader="none" w:pos="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404" w:hanging="404"/>
        <w:spacing w:after="0"/>
        <w:tabs>
          <w:tab w:leader="none" w:pos="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40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404" w:hanging="404"/>
        <w:spacing w:after="0"/>
        <w:tabs>
          <w:tab w:leader="none" w:pos="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40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04" w:right="8120" w:hanging="404"/>
        <w:spacing w:after="0" w:line="402" w:lineRule="auto"/>
        <w:tabs>
          <w:tab w:leader="none" w:pos="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924" w:hanging="547"/>
        <w:spacing w:after="0"/>
        <w:tabs>
          <w:tab w:leader="none" w:pos="19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40" w:type="dxa"/>
            <w:vAlign w:val="bottom"/>
          </w:tcPr>
          <w:p>
            <w:pPr>
              <w:ind w:left="200"/>
              <w:spacing w:after="0"/>
              <w:rPr>
                <w:sz w:val="20"/>
                <w:szCs w:val="20"/>
                <w:color w:val="auto"/>
              </w:rPr>
            </w:pPr>
            <w:r>
              <w:rPr>
                <w:rFonts w:ascii="Arial" w:cs="Arial" w:eastAsia="Arial" w:hAnsi="Arial"/>
                <w:sz w:val="18"/>
                <w:szCs w:val="18"/>
                <w:color w:val="auto"/>
                <w:w w:val="94"/>
              </w:rPr>
              <w:t>26,760 shares, except that (i) PVM V, the general partner of PVPSFF V, may be deemed to have sole power to vote these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40" w:type="dxa"/>
            <w:vAlign w:val="bottom"/>
          </w:tcPr>
          <w:p>
            <w:pPr>
              <w:ind w:left="200"/>
              <w:spacing w:after="0"/>
              <w:rPr>
                <w:sz w:val="20"/>
                <w:szCs w:val="20"/>
                <w:color w:val="auto"/>
              </w:rPr>
            </w:pPr>
            <w:r>
              <w:rPr>
                <w:rFonts w:ascii="Arial" w:cs="Arial" w:eastAsia="Arial" w:hAnsi="Arial"/>
                <w:sz w:val="18"/>
                <w:szCs w:val="18"/>
                <w:color w:val="auto"/>
                <w:w w:val="92"/>
              </w:rPr>
              <w:t>shares, and (ii) Flint, a managing member of PVM V, may be deemed to have shared power to vote these shares, McGuire, a</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40" w:type="dxa"/>
            <w:vAlign w:val="bottom"/>
          </w:tcPr>
          <w:p>
            <w:pPr>
              <w:ind w:left="200"/>
              <w:spacing w:after="0"/>
              <w:rPr>
                <w:sz w:val="20"/>
                <w:szCs w:val="20"/>
                <w:color w:val="auto"/>
              </w:rPr>
            </w:pPr>
            <w:r>
              <w:rPr>
                <w:rFonts w:ascii="Arial" w:cs="Arial" w:eastAsia="Arial" w:hAnsi="Arial"/>
                <w:sz w:val="18"/>
                <w:szCs w:val="18"/>
                <w:color w:val="auto"/>
                <w:w w:val="89"/>
              </w:rPr>
              <w:t>managing member of PVM V, may be deemed to have shared power to vote these shares, and Nashat, a member of PVM V and</w:t>
            </w:r>
          </w:p>
        </w:tc>
        <w:tc>
          <w:tcPr>
            <w:tcW w:w="0" w:type="dxa"/>
            <w:vAlign w:val="bottom"/>
          </w:tcPr>
          <w:p>
            <w:pPr>
              <w:spacing w:after="0"/>
              <w:rPr>
                <w:sz w:val="1"/>
                <w:szCs w:val="1"/>
                <w:color w:val="auto"/>
              </w:rPr>
            </w:pPr>
          </w:p>
        </w:tc>
      </w:tr>
      <w:tr>
        <w:trPr>
          <w:trHeight w:val="237"/>
        </w:trPr>
        <w:tc>
          <w:tcPr>
            <w:tcW w:w="104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Number of</w:t>
            </w:r>
          </w:p>
        </w:tc>
        <w:tc>
          <w:tcPr>
            <w:tcW w:w="6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member of the Board of Directors of the Issuer, may be deemed to have shared power to vote these shares.</w:t>
            </w: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680" w:type="dxa"/>
            <w:vAlign w:val="bottom"/>
            <w:vMerge w:val="continue"/>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9440" w:type="dxa"/>
            <w:vAlign w:val="bottom"/>
            <w:vMerge w:val="restart"/>
          </w:tcPr>
          <w:p>
            <w:pPr>
              <w:ind w:left="20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10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Owned by</w:t>
            </w:r>
          </w:p>
        </w:tc>
        <w:tc>
          <w:tcPr>
            <w:tcW w:w="680" w:type="dxa"/>
            <w:vAlign w:val="bottom"/>
            <w:tcBorders>
              <w:bottom w:val="single" w:sz="8" w:color="auto"/>
            </w:tcBorders>
          </w:tcPr>
          <w:p>
            <w:pPr>
              <w:spacing w:after="0"/>
              <w:rPr>
                <w:sz w:val="10"/>
                <w:szCs w:val="10"/>
                <w:color w:val="auto"/>
              </w:rPr>
            </w:pPr>
          </w:p>
        </w:tc>
        <w:tc>
          <w:tcPr>
            <w:tcW w:w="9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40" w:type="dxa"/>
            <w:vAlign w:val="bottom"/>
            <w:vMerge w:val="continue"/>
          </w:tcPr>
          <w:p>
            <w:pPr>
              <w:spacing w:after="0"/>
              <w:rPr>
                <w:sz w:val="6"/>
                <w:szCs w:val="6"/>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9.</w:t>
            </w:r>
          </w:p>
        </w:tc>
        <w:tc>
          <w:tcPr>
            <w:tcW w:w="94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680" w:type="dxa"/>
            <w:vAlign w:val="bottom"/>
            <w:vMerge w:val="continue"/>
          </w:tcPr>
          <w:p>
            <w:pPr>
              <w:spacing w:after="0"/>
              <w:rPr>
                <w:sz w:val="13"/>
                <w:szCs w:val="13"/>
                <w:color w:val="auto"/>
              </w:rPr>
            </w:pPr>
          </w:p>
        </w:tc>
        <w:tc>
          <w:tcPr>
            <w:tcW w:w="9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680" w:type="dxa"/>
            <w:vAlign w:val="bottom"/>
          </w:tcPr>
          <w:p>
            <w:pPr>
              <w:spacing w:after="0"/>
              <w:rPr>
                <w:sz w:val="18"/>
                <w:szCs w:val="18"/>
                <w:color w:val="auto"/>
              </w:rPr>
            </w:pPr>
          </w:p>
        </w:tc>
        <w:tc>
          <w:tcPr>
            <w:tcW w:w="9440" w:type="dxa"/>
            <w:vAlign w:val="bottom"/>
            <w:vMerge w:val="restart"/>
          </w:tcPr>
          <w:p>
            <w:pPr>
              <w:ind w:left="200"/>
              <w:spacing w:after="0"/>
              <w:rPr>
                <w:sz w:val="20"/>
                <w:szCs w:val="20"/>
                <w:color w:val="auto"/>
              </w:rPr>
            </w:pPr>
            <w:r>
              <w:rPr>
                <w:rFonts w:ascii="Arial" w:cs="Arial" w:eastAsia="Arial" w:hAnsi="Arial"/>
                <w:sz w:val="18"/>
                <w:szCs w:val="18"/>
                <w:color w:val="auto"/>
                <w:w w:val="90"/>
              </w:rPr>
              <w:t>26,760 shares, except that (i) PVM V, the general partner of PVPSFF V, may be deemed to have sole power to dispose of these</w:t>
            </w:r>
          </w:p>
        </w:tc>
        <w:tc>
          <w:tcPr>
            <w:tcW w:w="0" w:type="dxa"/>
            <w:vAlign w:val="bottom"/>
          </w:tcPr>
          <w:p>
            <w:pPr>
              <w:spacing w:after="0"/>
              <w:rPr>
                <w:sz w:val="1"/>
                <w:szCs w:val="1"/>
                <w:color w:val="auto"/>
              </w:rPr>
            </w:pPr>
          </w:p>
        </w:tc>
      </w:tr>
      <w:tr>
        <w:trPr>
          <w:trHeight w:val="149"/>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4"/>
              </w:rPr>
              <w:t>Person</w:t>
            </w:r>
          </w:p>
        </w:tc>
        <w:tc>
          <w:tcPr>
            <w:tcW w:w="680" w:type="dxa"/>
            <w:vAlign w:val="bottom"/>
          </w:tcPr>
          <w:p>
            <w:pPr>
              <w:spacing w:after="0"/>
              <w:rPr>
                <w:sz w:val="12"/>
                <w:szCs w:val="12"/>
                <w:color w:val="auto"/>
              </w:rPr>
            </w:pPr>
          </w:p>
        </w:tc>
        <w:tc>
          <w:tcPr>
            <w:tcW w:w="9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40" w:type="dxa"/>
            <w:vAlign w:val="bottom"/>
            <w:vMerge w:val="restart"/>
          </w:tcPr>
          <w:p>
            <w:pPr>
              <w:ind w:left="200"/>
              <w:spacing w:after="0"/>
              <w:rPr>
                <w:sz w:val="20"/>
                <w:szCs w:val="20"/>
                <w:color w:val="auto"/>
              </w:rPr>
            </w:pPr>
            <w:r>
              <w:rPr>
                <w:rFonts w:ascii="Arial" w:cs="Arial" w:eastAsia="Arial" w:hAnsi="Arial"/>
                <w:sz w:val="18"/>
                <w:szCs w:val="18"/>
                <w:color w:val="auto"/>
                <w:w w:val="96"/>
              </w:rPr>
              <w:t>shares, and (ii) Flint, a managing member of PVM V, may be deemed to have shared power to dispose of these shares,</w:t>
            </w:r>
          </w:p>
        </w:tc>
        <w:tc>
          <w:tcPr>
            <w:tcW w:w="0" w:type="dxa"/>
            <w:vAlign w:val="bottom"/>
          </w:tcPr>
          <w:p>
            <w:pPr>
              <w:spacing w:after="0"/>
              <w:rPr>
                <w:sz w:val="1"/>
                <w:szCs w:val="1"/>
                <w:color w:val="auto"/>
              </w:rPr>
            </w:pPr>
          </w:p>
        </w:tc>
      </w:tr>
      <w:tr>
        <w:trPr>
          <w:trHeight w:val="149"/>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80" w:type="dxa"/>
            <w:vAlign w:val="bottom"/>
          </w:tcPr>
          <w:p>
            <w:pPr>
              <w:spacing w:after="0"/>
              <w:rPr>
                <w:sz w:val="12"/>
                <w:szCs w:val="12"/>
                <w:color w:val="auto"/>
              </w:rPr>
            </w:pPr>
          </w:p>
        </w:tc>
        <w:tc>
          <w:tcPr>
            <w:tcW w:w="9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0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40" w:type="dxa"/>
            <w:vAlign w:val="bottom"/>
            <w:vMerge w:val="restart"/>
          </w:tcPr>
          <w:p>
            <w:pPr>
              <w:ind w:left="200"/>
              <w:spacing w:after="0"/>
              <w:rPr>
                <w:sz w:val="20"/>
                <w:szCs w:val="20"/>
                <w:color w:val="auto"/>
              </w:rPr>
            </w:pPr>
            <w:r>
              <w:rPr>
                <w:rFonts w:ascii="Arial" w:cs="Arial" w:eastAsia="Arial" w:hAnsi="Arial"/>
                <w:sz w:val="18"/>
                <w:szCs w:val="18"/>
                <w:color w:val="auto"/>
                <w:w w:val="94"/>
              </w:rPr>
              <w:t>McGuire, a managing member of PVM V, may be deemed to have shared power to dispose of these shares, and Nashat, a</w:t>
            </w: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40" w:type="dxa"/>
            <w:vAlign w:val="bottom"/>
          </w:tcPr>
          <w:p>
            <w:pPr>
              <w:ind w:left="200"/>
              <w:spacing w:after="0"/>
              <w:rPr>
                <w:sz w:val="20"/>
                <w:szCs w:val="20"/>
                <w:color w:val="auto"/>
              </w:rPr>
            </w:pPr>
            <w:r>
              <w:rPr>
                <w:rFonts w:ascii="Arial" w:cs="Arial" w:eastAsia="Arial" w:hAnsi="Arial"/>
                <w:sz w:val="18"/>
                <w:szCs w:val="18"/>
                <w:color w:val="auto"/>
                <w:w w:val="93"/>
              </w:rPr>
              <w:t>member of PVM V and member of the Board of Directors of the Issuer, may be deemed to have shared power to dispose of</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40" w:type="dxa"/>
            <w:vAlign w:val="bottom"/>
          </w:tcPr>
          <w:p>
            <w:pPr>
              <w:ind w:left="200"/>
              <w:spacing w:after="0"/>
              <w:rPr>
                <w:sz w:val="20"/>
                <w:szCs w:val="20"/>
                <w:color w:val="auto"/>
              </w:rPr>
            </w:pPr>
            <w:r>
              <w:rPr>
                <w:rFonts w:ascii="Arial" w:cs="Arial" w:eastAsia="Arial" w:hAnsi="Arial"/>
                <w:sz w:val="18"/>
                <w:szCs w:val="18"/>
                <w:color w:val="auto"/>
              </w:rPr>
              <w:t>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924" w:right="7360" w:hanging="637"/>
        <w:spacing w:after="0" w:line="458" w:lineRule="auto"/>
        <w:tabs>
          <w:tab w:leader="none" w:pos="1924" w:val="left"/>
        </w:tabs>
        <w:numPr>
          <w:ilvl w:val="1"/>
          <w:numId w:val="17"/>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604" w:right="5760" w:hanging="552"/>
        <w:spacing w:after="0" w:line="407" w:lineRule="auto"/>
        <w:tabs>
          <w:tab w:leader="none" w:pos="5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26,760</w:t>
      </w:r>
    </w:p>
    <w:p>
      <w:pPr>
        <w:ind w:left="604" w:hanging="559"/>
        <w:spacing w:after="0"/>
        <w:tabs>
          <w:tab w:leader="none" w:pos="6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0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604" w:right="6680" w:hanging="559"/>
        <w:spacing w:after="0" w:line="402" w:lineRule="auto"/>
        <w:tabs>
          <w:tab w:leader="none" w:pos="6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1" w:lineRule="exact"/>
        <w:rPr>
          <w:rFonts w:ascii="Arial" w:cs="Arial" w:eastAsia="Arial" w:hAnsi="Arial"/>
          <w:sz w:val="18"/>
          <w:szCs w:val="18"/>
          <w:color w:val="auto"/>
        </w:rPr>
      </w:pPr>
    </w:p>
    <w:p>
      <w:pPr>
        <w:ind w:left="604" w:hanging="559"/>
        <w:spacing w:after="0"/>
        <w:tabs>
          <w:tab w:leader="none" w:pos="6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04"/>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164"/>
          </w:cols>
          <w:pgMar w:left="496" w:top="287" w:right="239" w:bottom="1440" w:gutter="0" w:footer="0" w:header="0"/>
        </w:sectPr>
      </w:pPr>
    </w:p>
    <w:bookmarkStart w:id="5" w:name="page6"/>
    <w:bookmarkEnd w:id="5"/>
    <w:p>
      <w:pPr>
        <w:ind w:left="520" w:hanging="470"/>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Polaris Venture Management Co. V, L.L.C. (“PVM V”)</w:t>
      </w:r>
    </w:p>
    <w:p>
      <w:pPr>
        <w:spacing w:after="0" w:line="36" w:lineRule="exact"/>
        <w:rPr>
          <w:rFonts w:ascii="Arial" w:cs="Arial" w:eastAsia="Arial" w:hAnsi="Arial"/>
          <w:sz w:val="18"/>
          <w:szCs w:val="18"/>
          <w:color w:val="auto"/>
        </w:rPr>
      </w:pPr>
    </w:p>
    <w:p>
      <w:pPr>
        <w:ind w:left="520" w:hanging="470"/>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-575945</wp:posOffset>
            </wp:positionV>
            <wp:extent cx="7254875" cy="7623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7623810"/>
                    </a:xfrm>
                    <a:prstGeom prst="rect">
                      <a:avLst/>
                    </a:prstGeom>
                    <a:noFill/>
                  </pic:spPr>
                </pic:pic>
              </a:graphicData>
            </a:graphic>
          </wp:anchor>
        </w:drawing>
      </w:r>
    </w:p>
    <w:p>
      <w:pPr>
        <w:ind w:left="520"/>
        <w:spacing w:after="0" w:line="205" w:lineRule="exact"/>
        <w:tabs>
          <w:tab w:leader="none" w:pos="12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(b) </w:t>
      </w:r>
      <w:r>
        <w:rPr>
          <w:rFonts w:ascii="MS PGothic" w:cs="MS PGothic" w:eastAsia="MS PGothic" w:hAnsi="MS PGothic"/>
          <w:sz w:val="15"/>
          <w:szCs w:val="15"/>
          <w:color w:val="auto"/>
        </w:rPr>
        <w:t>☒</w:t>
      </w:r>
    </w:p>
    <w:p>
      <w:pPr>
        <w:spacing w:after="0" w:line="270" w:lineRule="exact"/>
        <w:rPr>
          <w:sz w:val="20"/>
          <w:szCs w:val="20"/>
          <w:color w:val="auto"/>
        </w:rPr>
      </w:pPr>
    </w:p>
    <w:p>
      <w:pPr>
        <w:ind w:left="520" w:hanging="470"/>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0" w:hanging="470"/>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520" w:hanging="470"/>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5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20" w:right="8020" w:hanging="470"/>
        <w:spacing w:after="0" w:line="402"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920" w:hanging="547"/>
        <w:spacing w:after="0"/>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920" w:right="180"/>
        <w:spacing w:after="0" w:line="288" w:lineRule="auto"/>
        <w:rPr>
          <w:rFonts w:ascii="Arial" w:cs="Arial" w:eastAsia="Arial" w:hAnsi="Arial"/>
          <w:sz w:val="18"/>
          <w:szCs w:val="18"/>
          <w:color w:val="auto"/>
        </w:rPr>
      </w:pPr>
      <w:r>
        <w:rPr>
          <w:rFonts w:ascii="Arial" w:cs="Arial" w:eastAsia="Arial" w:hAnsi="Arial"/>
          <w:sz w:val="16"/>
          <w:szCs w:val="16"/>
          <w:color w:val="auto"/>
        </w:rPr>
        <w:t>2,773,479 shares, of which (a) 2,676,234 shares are directly owned by PVP V, (b) 52,156 shares are directly owned by PVPE V, (c) 18,329 shares are directly owned by PVPFF and (d) 26,760 shares are directly owned by PVPSFF V, except that Flint, a managing member of PVM V, the general partner of each of PVP V, PVPE V, PVPFF V and PVPSFF V, may be deemed to</w:t>
      </w: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60" w:type="dxa"/>
            <w:vAlign w:val="bottom"/>
          </w:tcPr>
          <w:p>
            <w:pPr>
              <w:ind w:left="200"/>
              <w:spacing w:after="0" w:line="202" w:lineRule="exact"/>
              <w:rPr>
                <w:sz w:val="20"/>
                <w:szCs w:val="20"/>
                <w:color w:val="auto"/>
              </w:rPr>
            </w:pPr>
            <w:r>
              <w:rPr>
                <w:rFonts w:ascii="Arial" w:cs="Arial" w:eastAsia="Arial" w:hAnsi="Arial"/>
                <w:sz w:val="18"/>
                <w:szCs w:val="18"/>
                <w:color w:val="auto"/>
                <w:w w:val="91"/>
              </w:rPr>
              <w:t>have shared power to vote PVP V’s, PVPE V’s, PVPFF V’s and PVPSFF V’s shares (collectively, the “Fund V Shares”) shares,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4"/>
              </w:rPr>
              <w:t>McGuire, a managing member of PVM V, may be deemed to have shared power to vote the Fund V Shares, and Nashat, a</w:t>
            </w:r>
          </w:p>
        </w:tc>
        <w:tc>
          <w:tcPr>
            <w:tcW w:w="0" w:type="dxa"/>
            <w:vAlign w:val="bottom"/>
          </w:tcPr>
          <w:p>
            <w:pPr>
              <w:spacing w:after="0"/>
              <w:rPr>
                <w:sz w:val="1"/>
                <w:szCs w:val="1"/>
                <w:color w:val="auto"/>
              </w:rPr>
            </w:pPr>
          </w:p>
        </w:tc>
      </w:tr>
      <w:tr>
        <w:trPr>
          <w:trHeight w:val="216"/>
        </w:trPr>
        <w:tc>
          <w:tcPr>
            <w:tcW w:w="104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Number of</w:t>
            </w:r>
          </w:p>
        </w:tc>
        <w:tc>
          <w:tcPr>
            <w:tcW w:w="68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1"/>
              </w:rPr>
              <w:t>member of PVM V and member of the Board of Directors of the Issuer, may be deemed to have shared power to vote the Fund</w:t>
            </w:r>
          </w:p>
        </w:tc>
        <w:tc>
          <w:tcPr>
            <w:tcW w:w="0" w:type="dxa"/>
            <w:vAlign w:val="bottom"/>
          </w:tcPr>
          <w:p>
            <w:pPr>
              <w:spacing w:after="0"/>
              <w:rPr>
                <w:sz w:val="1"/>
                <w:szCs w:val="1"/>
                <w:color w:val="auto"/>
              </w:rPr>
            </w:pPr>
          </w:p>
        </w:tc>
      </w:tr>
      <w:tr>
        <w:trPr>
          <w:trHeight w:val="176"/>
        </w:trPr>
        <w:tc>
          <w:tcPr>
            <w:tcW w:w="10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9460" w:type="dxa"/>
            <w:vAlign w:val="bottom"/>
          </w:tcPr>
          <w:p>
            <w:pPr>
              <w:ind w:left="200"/>
              <w:spacing w:after="0" w:line="176" w:lineRule="exact"/>
              <w:rPr>
                <w:sz w:val="20"/>
                <w:szCs w:val="20"/>
                <w:color w:val="auto"/>
              </w:rPr>
            </w:pPr>
            <w:r>
              <w:rPr>
                <w:rFonts w:ascii="Arial" w:cs="Arial" w:eastAsia="Arial" w:hAnsi="Arial"/>
                <w:sz w:val="18"/>
                <w:szCs w:val="18"/>
                <w:color w:val="auto"/>
              </w:rPr>
              <w:t>V Shares.</w:t>
            </w:r>
          </w:p>
        </w:tc>
        <w:tc>
          <w:tcPr>
            <w:tcW w:w="0" w:type="dxa"/>
            <w:vAlign w:val="bottom"/>
          </w:tcPr>
          <w:p>
            <w:pPr>
              <w:spacing w:after="0"/>
              <w:rPr>
                <w:sz w:val="1"/>
                <w:szCs w:val="1"/>
                <w:color w:val="auto"/>
              </w:rPr>
            </w:pPr>
          </w:p>
        </w:tc>
      </w:tr>
      <w:tr>
        <w:trPr>
          <w:trHeight w:val="68"/>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68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vMerge w:val="continue"/>
          </w:tcPr>
          <w:p>
            <w:pPr>
              <w:spacing w:after="0"/>
              <w:rPr>
                <w:sz w:val="11"/>
                <w:szCs w:val="11"/>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80" w:type="dxa"/>
            <w:vAlign w:val="bottom"/>
            <w:vMerge w:val="continue"/>
          </w:tcPr>
          <w:p>
            <w:pPr>
              <w:spacing w:after="0"/>
              <w:rPr>
                <w:sz w:val="8"/>
                <w:szCs w:val="8"/>
                <w:color w:val="auto"/>
              </w:rPr>
            </w:pP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Owned by</w:t>
            </w:r>
          </w:p>
        </w:tc>
        <w:tc>
          <w:tcPr>
            <w:tcW w:w="680" w:type="dxa"/>
            <w:vAlign w:val="bottom"/>
          </w:tcPr>
          <w:p>
            <w:pPr>
              <w:spacing w:after="0"/>
              <w:rPr>
                <w:sz w:val="18"/>
                <w:szCs w:val="18"/>
                <w:color w:val="auto"/>
              </w:rPr>
            </w:pP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680" w:type="dxa"/>
            <w:vAlign w:val="bottom"/>
            <w:tcBorders>
              <w:bottom w:val="single" w:sz="8" w:color="auto"/>
            </w:tcBorders>
          </w:tcPr>
          <w:p>
            <w:pPr>
              <w:spacing w:after="0"/>
              <w:rPr>
                <w:sz w:val="10"/>
                <w:szCs w:val="10"/>
                <w:color w:val="auto"/>
              </w:rPr>
            </w:pP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40" w:type="dxa"/>
            <w:vAlign w:val="bottom"/>
            <w:vMerge w:val="continue"/>
          </w:tcPr>
          <w:p>
            <w:pPr>
              <w:spacing w:after="0"/>
              <w:rPr>
                <w:sz w:val="6"/>
                <w:szCs w:val="6"/>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68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680" w:type="dxa"/>
            <w:vAlign w:val="bottom"/>
          </w:tcPr>
          <w:p>
            <w:pPr>
              <w:spacing w:after="0"/>
              <w:rPr>
                <w:sz w:val="18"/>
                <w:szCs w:val="18"/>
                <w:color w:val="auto"/>
              </w:rPr>
            </w:pP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w w:val="92"/>
              </w:rPr>
              <w:t>2,773,479 shares, of which (a) 2,676,234 shares are directly owned by PVP V, (b) 52,156 shares are directly owned by PVPE</w:t>
            </w:r>
          </w:p>
        </w:tc>
        <w:tc>
          <w:tcPr>
            <w:tcW w:w="0" w:type="dxa"/>
            <w:vAlign w:val="bottom"/>
          </w:tcPr>
          <w:p>
            <w:pPr>
              <w:spacing w:after="0"/>
              <w:rPr>
                <w:sz w:val="1"/>
                <w:szCs w:val="1"/>
                <w:color w:val="auto"/>
              </w:rPr>
            </w:pPr>
          </w:p>
        </w:tc>
      </w:tr>
      <w:tr>
        <w:trPr>
          <w:trHeight w:val="149"/>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80" w:type="dxa"/>
            <w:vAlign w:val="bottom"/>
          </w:tcPr>
          <w:p>
            <w:pPr>
              <w:spacing w:after="0"/>
              <w:rPr>
                <w:sz w:val="12"/>
                <w:szCs w:val="12"/>
                <w:color w:val="auto"/>
              </w:rPr>
            </w:pPr>
          </w:p>
        </w:tc>
        <w:tc>
          <w:tcPr>
            <w:tcW w:w="9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0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60" w:type="dxa"/>
            <w:vAlign w:val="bottom"/>
            <w:vMerge w:val="restart"/>
          </w:tcPr>
          <w:p>
            <w:pPr>
              <w:ind w:left="200"/>
              <w:spacing w:after="0"/>
              <w:rPr>
                <w:sz w:val="20"/>
                <w:szCs w:val="20"/>
                <w:color w:val="auto"/>
              </w:rPr>
            </w:pPr>
            <w:r>
              <w:rPr>
                <w:rFonts w:ascii="Arial" w:cs="Arial" w:eastAsia="Arial" w:hAnsi="Arial"/>
                <w:sz w:val="18"/>
                <w:szCs w:val="18"/>
                <w:color w:val="auto"/>
                <w:w w:val="91"/>
              </w:rPr>
              <w:t>V, (c) 18,329 shares are directly owned by PVPFF and (d) 26,760 shares are directly owned by PVPSFF V, except that Flint, a</w:t>
            </w: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4"/>
              </w:rPr>
              <w:t>managing member of PVM V, the general partner of each of PVP V, PVPE V, PVPFF V and PVPSFF V, may be deemed to</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1"/>
              </w:rPr>
              <w:t>have shared power to dispose of the Fund V Shares, McGuire, a managing member of PVM V, may be deemed to have shared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w w:val="92"/>
              </w:rPr>
              <w:t>power to dispose of the Fund V Shares, and Nashat, a member of PVM V and member of the Board of Directors of the Issuer,</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may be deemed to have shared power 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920" w:right="7380" w:hanging="637"/>
        <w:spacing w:after="0" w:line="458" w:lineRule="auto"/>
        <w:tabs>
          <w:tab w:leader="none" w:pos="19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600" w:right="5780" w:hanging="553"/>
        <w:spacing w:after="0" w:line="407" w:lineRule="auto"/>
        <w:tabs>
          <w:tab w:leader="none" w:pos="5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2,773,479</w:t>
      </w:r>
    </w:p>
    <w:p>
      <w:pPr>
        <w:ind w:left="600" w:hanging="559"/>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600" w:right="6700" w:hanging="559"/>
        <w:spacing w:after="0" w:line="402"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3.2%</w:t>
      </w:r>
    </w:p>
    <w:p>
      <w:pPr>
        <w:spacing w:after="0" w:line="1" w:lineRule="exact"/>
        <w:rPr>
          <w:rFonts w:ascii="Arial" w:cs="Arial" w:eastAsia="Arial" w:hAnsi="Arial"/>
          <w:sz w:val="18"/>
          <w:szCs w:val="18"/>
          <w:color w:val="auto"/>
        </w:rPr>
      </w:pPr>
    </w:p>
    <w:p>
      <w:pPr>
        <w:ind w:left="600" w:hanging="559"/>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180"/>
          </w:cols>
          <w:pgMar w:left="500" w:top="287" w:right="219" w:bottom="1440" w:gutter="0" w:footer="0" w:header="0"/>
        </w:sectPr>
      </w:pPr>
    </w:p>
    <w:bookmarkStart w:id="6" w:name="page7"/>
    <w:bookmarkEnd w:id="6"/>
    <w:p>
      <w:pPr>
        <w:ind w:left="495" w:right="8660" w:hanging="405"/>
        <w:spacing w:after="0" w:line="407"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 Jonathan A. Flint</w:t>
      </w:r>
    </w:p>
    <w:p>
      <w:pPr>
        <w:ind w:left="495" w:hanging="405"/>
        <w:spacing w:after="0"/>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-575945</wp:posOffset>
            </wp:positionV>
            <wp:extent cx="7254875" cy="7212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7212330"/>
                    </a:xfrm>
                    <a:prstGeom prst="rect">
                      <a:avLst/>
                    </a:prstGeom>
                    <a:noFill/>
                  </pic:spPr>
                </pic:pic>
              </a:graphicData>
            </a:graphic>
          </wp:anchor>
        </w:drawing>
      </w:r>
    </w:p>
    <w:p>
      <w:pPr>
        <w:ind w:left="495"/>
        <w:spacing w:after="0" w:line="205" w:lineRule="exact"/>
        <w:tabs>
          <w:tab w:leader="none" w:pos="129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95" w:hanging="405"/>
        <w:spacing w:after="0"/>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495" w:hanging="405"/>
        <w:spacing w:after="0"/>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495" w:hanging="405"/>
        <w:spacing w:after="0"/>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hanging="405"/>
        <w:spacing w:after="0"/>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36" w:lineRule="exact"/>
        <w:rPr>
          <w:rFonts w:ascii="Arial" w:cs="Arial" w:eastAsia="Arial" w:hAnsi="Arial"/>
          <w:sz w:val="18"/>
          <w:szCs w:val="18"/>
          <w:color w:val="auto"/>
        </w:rPr>
      </w:pPr>
    </w:p>
    <w:p>
      <w:pPr>
        <w:ind w:left="1675" w:hanging="328"/>
        <w:spacing w:after="0"/>
        <w:tabs>
          <w:tab w:leader="none" w:pos="16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675" w:right="140"/>
        <w:spacing w:after="0" w:line="286" w:lineRule="auto"/>
        <w:rPr>
          <w:rFonts w:ascii="Arial" w:cs="Arial" w:eastAsia="Arial" w:hAnsi="Arial"/>
          <w:sz w:val="18"/>
          <w:szCs w:val="18"/>
          <w:color w:val="auto"/>
        </w:rPr>
      </w:pPr>
      <w:r>
        <w:rPr>
          <w:rFonts w:ascii="Arial" w:cs="Arial" w:eastAsia="Arial" w:hAnsi="Arial"/>
          <w:sz w:val="16"/>
          <w:szCs w:val="16"/>
          <w:color w:val="auto"/>
        </w:rPr>
        <w:t>2,773,479 shares, of which (a) 2,676,234 shares are directly owned by PVP V, (b) 52,156 shares are directly owned by PVPE V, (c) 18,329 shares are directly owned by PVPFF and (d) 26,760 shares are directly owned by PVPSFF V, except that PVM V, the general partner of PVP V, PVPE V, PVPFF V and PVPSFF V, may be deemed to have sole power to vote the Fund V Shares, McGuire, as a managing member of PVM V, may be deemed to have shared power to vote the Fund V Shares, and Nashat, a</w:t>
      </w:r>
    </w:p>
    <w:p>
      <w:pPr>
        <w:spacing w:after="0" w:line="2" w:lineRule="exact"/>
        <w:rPr>
          <w:sz w:val="20"/>
          <w:szCs w:val="20"/>
          <w:color w:val="auto"/>
        </w:rPr>
      </w:pPr>
    </w:p>
    <w:tbl>
      <w:tblPr>
        <w:tblLayout w:type="fixed"/>
        <w:tblInd w:w="115" w:type="dxa"/>
        <w:tblCellMar>
          <w:top w:w="0" w:type="dxa"/>
          <w:left w:w="0" w:type="dxa"/>
          <w:bottom w:w="0" w:type="dxa"/>
          <w:right w:w="0" w:type="dxa"/>
        </w:tblCellMar>
      </w:tblPr>
      <w:tr>
        <w:trPr>
          <w:trHeight w:val="243"/>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5"/>
              </w:rPr>
              <w:t>Number of</w:t>
            </w:r>
          </w:p>
        </w:tc>
        <w:tc>
          <w:tcPr>
            <w:tcW w:w="46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member of PVM V, may be deemed to have shared power to vote the Fund V Shares.</w:t>
            </w:r>
          </w:p>
        </w:tc>
        <w:tc>
          <w:tcPr>
            <w:tcW w:w="0" w:type="dxa"/>
            <w:vAlign w:val="bottom"/>
          </w:tcPr>
          <w:p>
            <w:pPr>
              <w:spacing w:after="0"/>
              <w:rPr>
                <w:sz w:val="1"/>
                <w:szCs w:val="1"/>
                <w:color w:val="auto"/>
              </w:rPr>
            </w:pPr>
          </w:p>
        </w:tc>
      </w:tr>
      <w:tr>
        <w:trPr>
          <w:trHeight w:val="222"/>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97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700" w:type="dxa"/>
            <w:vAlign w:val="bottom"/>
            <w:vMerge w:val="restart"/>
          </w:tcPr>
          <w:p>
            <w:pPr>
              <w:ind w:left="10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7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1"/>
              </w:rPr>
              <w:t>2,773,479 shares, of which (a) 2,676,234 shares are directly owned by PVP V, (b) 52,156 shares are directly owned by PVPE V, (c)</w:t>
            </w:r>
          </w:p>
        </w:tc>
        <w:tc>
          <w:tcPr>
            <w:tcW w:w="0" w:type="dxa"/>
            <w:vAlign w:val="bottom"/>
          </w:tcPr>
          <w:p>
            <w:pPr>
              <w:spacing w:after="0"/>
              <w:rPr>
                <w:sz w:val="1"/>
                <w:szCs w:val="1"/>
                <w:color w:val="auto"/>
              </w:rPr>
            </w:pPr>
          </w:p>
        </w:tc>
      </w:tr>
      <w:tr>
        <w:trPr>
          <w:trHeight w:val="25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9"/>
              </w:rPr>
              <w:t>With</w:t>
            </w:r>
          </w:p>
        </w:tc>
        <w:tc>
          <w:tcPr>
            <w:tcW w:w="460" w:type="dxa"/>
            <w:vAlign w:val="bottom"/>
          </w:tcPr>
          <w:p>
            <w:pPr>
              <w:spacing w:after="0"/>
              <w:rPr>
                <w:sz w:val="22"/>
                <w:szCs w:val="22"/>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0"/>
              </w:rPr>
              <w:t>18,329 shares are directly owned by PVPFF and (d) 26,760 shares are directly owned by PVPSFF V, except that PVM V, as general</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7"/>
              </w:rPr>
              <w:t>partner of PVP V, PVPE V, PVPFF V and PVPSFF V, maybe deemed to have sole power to dispose of the Fund V Shares,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1"/>
              </w:rPr>
              <w:t>McGuire, as a managing member of PVM V, may be deemed to have shared power to dispose of the Fund V Shares, and Nashat, a</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rPr>
              <w:t>member of PVM V, may be deemed to have shared power 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75" w:right="7720" w:hanging="418"/>
        <w:spacing w:after="0" w:line="458" w:lineRule="auto"/>
        <w:tabs>
          <w:tab w:leader="none" w:pos="1675" w:val="left"/>
        </w:tabs>
        <w:numPr>
          <w:ilvl w:val="1"/>
          <w:numId w:val="25"/>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495" w:right="5980" w:hanging="495"/>
        <w:spacing w:after="0" w:line="407" w:lineRule="auto"/>
        <w:tabs>
          <w:tab w:leader="none" w:pos="4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2,773,479</w:t>
      </w:r>
    </w:p>
    <w:p>
      <w:pPr>
        <w:ind w:left="495" w:hanging="495"/>
        <w:spacing w:after="0"/>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right="6900" w:hanging="495"/>
        <w:spacing w:after="0" w:line="402"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3.2%</w:t>
      </w:r>
    </w:p>
    <w:p>
      <w:pPr>
        <w:spacing w:after="0" w:line="1" w:lineRule="exact"/>
        <w:rPr>
          <w:rFonts w:ascii="Arial" w:cs="Arial" w:eastAsia="Arial" w:hAnsi="Arial"/>
          <w:sz w:val="18"/>
          <w:szCs w:val="18"/>
          <w:color w:val="auto"/>
        </w:rPr>
      </w:pPr>
    </w:p>
    <w:p>
      <w:pPr>
        <w:ind w:left="495" w:hanging="495"/>
        <w:spacing w:after="0"/>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555"/>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75"/>
          </w:cols>
          <w:pgMar w:left="405" w:top="287" w:right="219" w:bottom="1440" w:gutter="0" w:footer="0" w:header="0"/>
        </w:sectPr>
      </w:pPr>
    </w:p>
    <w:bookmarkStart w:id="7" w:name="page8"/>
    <w:bookmarkEnd w:id="7"/>
    <w:p>
      <w:pPr>
        <w:ind w:left="495" w:right="8660" w:hanging="405"/>
        <w:spacing w:after="0" w:line="458" w:lineRule="auto"/>
        <w:tabs>
          <w:tab w:leader="none" w:pos="498"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 Terrance G. McGuire</w:t>
      </w:r>
    </w:p>
    <w:p>
      <w:pPr>
        <w:ind w:left="495" w:hanging="405"/>
        <w:spacing w:after="0"/>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-575945</wp:posOffset>
            </wp:positionV>
            <wp:extent cx="7254875" cy="7212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7212330"/>
                    </a:xfrm>
                    <a:prstGeom prst="rect">
                      <a:avLst/>
                    </a:prstGeom>
                    <a:noFill/>
                  </pic:spPr>
                </pic:pic>
              </a:graphicData>
            </a:graphic>
          </wp:anchor>
        </w:drawing>
      </w:r>
    </w:p>
    <w:p>
      <w:pPr>
        <w:ind w:left="495"/>
        <w:spacing w:after="0" w:line="205" w:lineRule="exact"/>
        <w:tabs>
          <w:tab w:leader="none" w:pos="129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95" w:hanging="405"/>
        <w:spacing w:after="0"/>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495" w:hanging="405"/>
        <w:spacing w:after="0"/>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495" w:hanging="405"/>
        <w:spacing w:after="0"/>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hanging="405"/>
        <w:spacing w:after="0"/>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36" w:lineRule="exact"/>
        <w:rPr>
          <w:rFonts w:ascii="Arial" w:cs="Arial" w:eastAsia="Arial" w:hAnsi="Arial"/>
          <w:sz w:val="18"/>
          <w:szCs w:val="18"/>
          <w:color w:val="auto"/>
        </w:rPr>
      </w:pPr>
    </w:p>
    <w:p>
      <w:pPr>
        <w:ind w:left="1675" w:hanging="328"/>
        <w:spacing w:after="0"/>
        <w:tabs>
          <w:tab w:leader="none" w:pos="16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675" w:right="100"/>
        <w:spacing w:after="0" w:line="286" w:lineRule="auto"/>
        <w:rPr>
          <w:rFonts w:ascii="Arial" w:cs="Arial" w:eastAsia="Arial" w:hAnsi="Arial"/>
          <w:sz w:val="18"/>
          <w:szCs w:val="18"/>
          <w:color w:val="auto"/>
        </w:rPr>
      </w:pPr>
      <w:r>
        <w:rPr>
          <w:rFonts w:ascii="Arial" w:cs="Arial" w:eastAsia="Arial" w:hAnsi="Arial"/>
          <w:sz w:val="16"/>
          <w:szCs w:val="16"/>
          <w:color w:val="auto"/>
        </w:rPr>
        <w:t>2,773,479 shares, of which (a) 2,676,234 shares are directly owned by PVP V, (b) 52,156 shares are directly owned by PVPE V, (c) 18,329 shares are directly owned by PVPFF and (d) 26,760 shares are directly owned by PVPSFF V, except that PVM V, the general partner of PVP V, PVPE V, PVPFF V and PVPSFF V, may be deemed to have sole power to vote the Fund V Shares, Flint, as a managing member of PVM V, may be deemed to have shared power to vote the Fund V Shares, and Nashat, a member of PVM</w:t>
      </w:r>
    </w:p>
    <w:p>
      <w:pPr>
        <w:spacing w:after="0" w:line="2" w:lineRule="exact"/>
        <w:rPr>
          <w:sz w:val="20"/>
          <w:szCs w:val="20"/>
          <w:color w:val="auto"/>
        </w:rPr>
      </w:pPr>
    </w:p>
    <w:tbl>
      <w:tblPr>
        <w:tblLayout w:type="fixed"/>
        <w:tblInd w:w="115" w:type="dxa"/>
        <w:tblCellMar>
          <w:top w:w="0" w:type="dxa"/>
          <w:left w:w="0" w:type="dxa"/>
          <w:bottom w:w="0" w:type="dxa"/>
          <w:right w:w="0" w:type="dxa"/>
        </w:tblCellMar>
      </w:tblPr>
      <w:tr>
        <w:trPr>
          <w:trHeight w:val="243"/>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5"/>
              </w:rPr>
              <w:t>Number of</w:t>
            </w:r>
          </w:p>
        </w:tc>
        <w:tc>
          <w:tcPr>
            <w:tcW w:w="46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 may be deemed to have shared power to vote the Fund V Shares.</w:t>
            </w:r>
          </w:p>
        </w:tc>
        <w:tc>
          <w:tcPr>
            <w:tcW w:w="0" w:type="dxa"/>
            <w:vAlign w:val="bottom"/>
          </w:tcPr>
          <w:p>
            <w:pPr>
              <w:spacing w:after="0"/>
              <w:rPr>
                <w:sz w:val="1"/>
                <w:szCs w:val="1"/>
                <w:color w:val="auto"/>
              </w:rPr>
            </w:pPr>
          </w:p>
        </w:tc>
      </w:tr>
      <w:tr>
        <w:trPr>
          <w:trHeight w:val="222"/>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97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700" w:type="dxa"/>
            <w:vAlign w:val="bottom"/>
            <w:vMerge w:val="restart"/>
          </w:tcPr>
          <w:p>
            <w:pPr>
              <w:ind w:left="10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7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1"/>
              </w:rPr>
              <w:t>2,773,479 shares, of which (a) 2,676,234 shares are directly owned by PVP V, (b) 52,156 shares are directly owned by PVPE V, (c)</w:t>
            </w:r>
          </w:p>
        </w:tc>
        <w:tc>
          <w:tcPr>
            <w:tcW w:w="0" w:type="dxa"/>
            <w:vAlign w:val="bottom"/>
          </w:tcPr>
          <w:p>
            <w:pPr>
              <w:spacing w:after="0"/>
              <w:rPr>
                <w:sz w:val="1"/>
                <w:szCs w:val="1"/>
                <w:color w:val="auto"/>
              </w:rPr>
            </w:pPr>
          </w:p>
        </w:tc>
      </w:tr>
      <w:tr>
        <w:trPr>
          <w:trHeight w:val="25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9"/>
              </w:rPr>
              <w:t>With</w:t>
            </w:r>
          </w:p>
        </w:tc>
        <w:tc>
          <w:tcPr>
            <w:tcW w:w="460" w:type="dxa"/>
            <w:vAlign w:val="bottom"/>
          </w:tcPr>
          <w:p>
            <w:pPr>
              <w:spacing w:after="0"/>
              <w:rPr>
                <w:sz w:val="22"/>
                <w:szCs w:val="22"/>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0"/>
              </w:rPr>
              <w:t>18,329 shares are directly owned by PVPFF and (d) 26,760 shares are directly owned by PVPSFF V, except that PVM V, as general</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1"/>
              </w:rPr>
              <w:t>partner of PVP V, PVPE V, PVPFF V and PVPSFF V, may be deemed to have sole power to dispose of the Fund V Shares, Flint, as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2"/>
              </w:rPr>
              <w:t>a managing member of PVM V, may be deemed to have shared power to dispose of the Fund V Shares, and Nashat, a member of</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rPr>
              <w:t>PVM V, may be deemed to have shared power 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75" w:right="7720" w:hanging="418"/>
        <w:spacing w:after="0" w:line="458" w:lineRule="auto"/>
        <w:tabs>
          <w:tab w:leader="none" w:pos="1675" w:val="left"/>
        </w:tabs>
        <w:numPr>
          <w:ilvl w:val="1"/>
          <w:numId w:val="29"/>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495" w:right="5980" w:hanging="495"/>
        <w:spacing w:after="0" w:line="407" w:lineRule="auto"/>
        <w:tabs>
          <w:tab w:leader="none" w:pos="4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2,773,479</w:t>
      </w:r>
    </w:p>
    <w:p>
      <w:pPr>
        <w:ind w:left="495" w:hanging="495"/>
        <w:spacing w:after="0"/>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right="6900" w:hanging="495"/>
        <w:spacing w:after="0" w:line="402"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3.2%</w:t>
      </w:r>
    </w:p>
    <w:p>
      <w:pPr>
        <w:spacing w:after="0" w:line="1" w:lineRule="exact"/>
        <w:rPr>
          <w:rFonts w:ascii="Arial" w:cs="Arial" w:eastAsia="Arial" w:hAnsi="Arial"/>
          <w:sz w:val="18"/>
          <w:szCs w:val="18"/>
          <w:color w:val="auto"/>
        </w:rPr>
      </w:pPr>
    </w:p>
    <w:p>
      <w:pPr>
        <w:ind w:left="495" w:hanging="495"/>
        <w:spacing w:after="0"/>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555"/>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75"/>
          </w:cols>
          <w:pgMar w:left="405" w:top="287" w:right="219" w:bottom="1440" w:gutter="0" w:footer="0" w:header="0"/>
        </w:sectPr>
      </w:pPr>
    </w:p>
    <w:bookmarkStart w:id="8" w:name="page9"/>
    <w:bookmarkEnd w:id="8"/>
    <w:p>
      <w:pPr>
        <w:ind w:left="495" w:right="8660" w:hanging="405"/>
        <w:spacing w:after="0" w:line="40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 Amir Nashat</w:t>
      </w:r>
    </w:p>
    <w:p>
      <w:pPr>
        <w:ind w:left="495" w:hanging="405"/>
        <w:spacing w:after="0"/>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-575945</wp:posOffset>
            </wp:positionV>
            <wp:extent cx="7254875" cy="7486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7486650"/>
                    </a:xfrm>
                    <a:prstGeom prst="rect">
                      <a:avLst/>
                    </a:prstGeom>
                    <a:noFill/>
                  </pic:spPr>
                </pic:pic>
              </a:graphicData>
            </a:graphic>
          </wp:anchor>
        </w:drawing>
      </w:r>
    </w:p>
    <w:p>
      <w:pPr>
        <w:ind w:left="495"/>
        <w:spacing w:after="0" w:line="205" w:lineRule="exact"/>
        <w:tabs>
          <w:tab w:leader="none" w:pos="129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95" w:hanging="405"/>
        <w:spacing w:after="0"/>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495" w:hanging="405"/>
        <w:spacing w:after="0"/>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495" w:hanging="405"/>
        <w:spacing w:after="0"/>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hanging="405"/>
        <w:spacing w:after="0"/>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495"/>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36" w:lineRule="exact"/>
        <w:rPr>
          <w:rFonts w:ascii="Arial" w:cs="Arial" w:eastAsia="Arial" w:hAnsi="Arial"/>
          <w:sz w:val="18"/>
          <w:szCs w:val="18"/>
          <w:color w:val="auto"/>
        </w:rPr>
      </w:pPr>
    </w:p>
    <w:p>
      <w:pPr>
        <w:ind w:left="1675" w:hanging="328"/>
        <w:spacing w:after="0"/>
        <w:tabs>
          <w:tab w:leader="none" w:pos="16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675" w:right="140"/>
        <w:spacing w:after="0" w:line="285" w:lineRule="auto"/>
        <w:rPr>
          <w:rFonts w:ascii="Arial" w:cs="Arial" w:eastAsia="Arial" w:hAnsi="Arial"/>
          <w:sz w:val="18"/>
          <w:szCs w:val="18"/>
          <w:color w:val="auto"/>
        </w:rPr>
      </w:pPr>
      <w:r>
        <w:rPr>
          <w:rFonts w:ascii="Arial" w:cs="Arial" w:eastAsia="Arial" w:hAnsi="Arial"/>
          <w:sz w:val="16"/>
          <w:szCs w:val="16"/>
          <w:color w:val="auto"/>
        </w:rPr>
        <w:t>2,789,889 shares, of which (a) 2,676,234 shares are directly owned by PVP V, (b) 52,156 shares are directly owned by PVPE V, (c) 18,329 shares are directly owned by PVPFF, (d) 26,760 shares are directly owned by PVPSFF V and (e) 16,410 shares which represent Common Stock underlying a Stock Option owned by Nashat directly, except that PVM V, the general partner of PVP V, PVPE V, PVPFF V and PVPSFF V, may be deemed to have sole power to vote the Fund V Shares, Flint, as a managing member of PVM V, may be deemed to have shared power to vote the Fund V Shares, and McGuire, a managing member of PVM V, may be</w:t>
      </w:r>
    </w:p>
    <w:p>
      <w:pPr>
        <w:spacing w:after="0" w:line="2" w:lineRule="exact"/>
        <w:rPr>
          <w:sz w:val="20"/>
          <w:szCs w:val="20"/>
          <w:color w:val="auto"/>
        </w:rPr>
      </w:pPr>
    </w:p>
    <w:tbl>
      <w:tblPr>
        <w:tblLayout w:type="fixed"/>
        <w:tblInd w:w="115" w:type="dxa"/>
        <w:tblCellMar>
          <w:top w:w="0" w:type="dxa"/>
          <w:left w:w="0" w:type="dxa"/>
          <w:bottom w:w="0" w:type="dxa"/>
          <w:right w:w="0" w:type="dxa"/>
        </w:tblCellMar>
      </w:tblPr>
      <w:tr>
        <w:trPr>
          <w:trHeight w:val="243"/>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5"/>
              </w:rPr>
              <w:t>Number of</w:t>
            </w:r>
          </w:p>
        </w:tc>
        <w:tc>
          <w:tcPr>
            <w:tcW w:w="46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deemed to have shared power to vote the Fund V Shares.</w:t>
            </w:r>
          </w:p>
        </w:tc>
        <w:tc>
          <w:tcPr>
            <w:tcW w:w="0" w:type="dxa"/>
            <w:vAlign w:val="bottom"/>
          </w:tcPr>
          <w:p>
            <w:pPr>
              <w:spacing w:after="0"/>
              <w:rPr>
                <w:sz w:val="1"/>
                <w:szCs w:val="1"/>
                <w:color w:val="auto"/>
              </w:rPr>
            </w:pPr>
          </w:p>
        </w:tc>
      </w:tr>
      <w:tr>
        <w:trPr>
          <w:trHeight w:val="222"/>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97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700" w:type="dxa"/>
            <w:vAlign w:val="bottom"/>
            <w:vMerge w:val="restart"/>
          </w:tcPr>
          <w:p>
            <w:pPr>
              <w:ind w:left="10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7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1"/>
              </w:rPr>
              <w:t>2,789,889 shares, of which (a) 2,676,234 shares are directly owned by PVP V, (b) 52,156 shares are directly owned by PVPE V, (c)</w:t>
            </w:r>
          </w:p>
        </w:tc>
        <w:tc>
          <w:tcPr>
            <w:tcW w:w="0" w:type="dxa"/>
            <w:vAlign w:val="bottom"/>
          </w:tcPr>
          <w:p>
            <w:pPr>
              <w:spacing w:after="0"/>
              <w:rPr>
                <w:sz w:val="1"/>
                <w:szCs w:val="1"/>
                <w:color w:val="auto"/>
              </w:rPr>
            </w:pPr>
          </w:p>
        </w:tc>
      </w:tr>
      <w:tr>
        <w:trPr>
          <w:trHeight w:val="256"/>
        </w:trPr>
        <w:tc>
          <w:tcPr>
            <w:tcW w:w="1000" w:type="dxa"/>
            <w:vAlign w:val="bottom"/>
          </w:tcPr>
          <w:p>
            <w:pPr>
              <w:jc w:val="center"/>
              <w:ind w:right="30"/>
              <w:spacing w:after="0"/>
              <w:rPr>
                <w:sz w:val="20"/>
                <w:szCs w:val="20"/>
                <w:color w:val="auto"/>
              </w:rPr>
            </w:pPr>
            <w:r>
              <w:rPr>
                <w:rFonts w:ascii="Arial" w:cs="Arial" w:eastAsia="Arial" w:hAnsi="Arial"/>
                <w:sz w:val="18"/>
                <w:szCs w:val="18"/>
                <w:color w:val="auto"/>
                <w:w w:val="99"/>
              </w:rPr>
              <w:t>With</w:t>
            </w:r>
          </w:p>
        </w:tc>
        <w:tc>
          <w:tcPr>
            <w:tcW w:w="460" w:type="dxa"/>
            <w:vAlign w:val="bottom"/>
          </w:tcPr>
          <w:p>
            <w:pPr>
              <w:spacing w:after="0"/>
              <w:rPr>
                <w:sz w:val="22"/>
                <w:szCs w:val="22"/>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5"/>
              </w:rPr>
              <w:t>18,329 shares are directly owned by PVPFF, (d) 26,760 shares are directly owned by PVPSFF V and (e) 16,410 shares which</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3"/>
              </w:rPr>
              <w:t>represent Common Stock underlying a Stock Option owned by Nashat directly, except that PVM V, as general partner of PVP V,</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5"/>
              </w:rPr>
              <w:t>PVPE V, PVPFF V and PVPSFF V, may be deemed to have sole power to dispose of the Fund V Shares, Flint, as a managing</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w w:val="92"/>
              </w:rPr>
              <w:t>member of PVM V, may be deemed to have shared power to dispose of the Fund V Shares, and McGuire, a managing member of</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100"/>
              <w:spacing w:after="0"/>
              <w:rPr>
                <w:sz w:val="20"/>
                <w:szCs w:val="20"/>
                <w:color w:val="auto"/>
              </w:rPr>
            </w:pPr>
            <w:r>
              <w:rPr>
                <w:rFonts w:ascii="Arial" w:cs="Arial" w:eastAsia="Arial" w:hAnsi="Arial"/>
                <w:sz w:val="18"/>
                <w:szCs w:val="18"/>
                <w:color w:val="auto"/>
              </w:rPr>
              <w:t>PVM V, may be deemed to have shared power 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75" w:right="7720" w:hanging="418"/>
        <w:spacing w:after="0" w:line="458" w:lineRule="auto"/>
        <w:tabs>
          <w:tab w:leader="none" w:pos="1675" w:val="left"/>
        </w:tabs>
        <w:numPr>
          <w:ilvl w:val="1"/>
          <w:numId w:val="33"/>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495" w:right="5980" w:hanging="495"/>
        <w:spacing w:after="0" w:line="407" w:lineRule="auto"/>
        <w:tabs>
          <w:tab w:leader="none" w:pos="4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2,789,889</w:t>
      </w:r>
    </w:p>
    <w:p>
      <w:pPr>
        <w:ind w:left="495" w:hanging="495"/>
        <w:spacing w:after="0"/>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49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495" w:right="6900" w:hanging="495"/>
        <w:spacing w:after="0" w:line="402"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3.2%</w:t>
      </w:r>
    </w:p>
    <w:p>
      <w:pPr>
        <w:spacing w:after="0" w:line="1" w:lineRule="exact"/>
        <w:rPr>
          <w:rFonts w:ascii="Arial" w:cs="Arial" w:eastAsia="Arial" w:hAnsi="Arial"/>
          <w:sz w:val="18"/>
          <w:szCs w:val="18"/>
          <w:color w:val="auto"/>
        </w:rPr>
      </w:pPr>
    </w:p>
    <w:p>
      <w:pPr>
        <w:ind w:left="495" w:hanging="495"/>
        <w:spacing w:after="0"/>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555"/>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75"/>
          </w:cols>
          <w:pgMar w:left="405" w:top="287"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Amendment No. 4 (“Amendment No. 4”) amends and supplements the Schedule 13D originally filed with the Securities and Exchange Commission (the “SEC”) on July 7, 2016 and amended on September 29, 2017 , May 3, 2018 and February 4, 2019 (collectively, the “Schedule 13D”) by the Reporting Persons. The “Reporting Persons” are, collectively, Polaris Venture Partners V, L.P. (“PVP V”), Polaris Venture Partners Entrepreneurs’ Fund V, L.P. (“PVPE V”), Polaris Venture Partners Founders’ Fund V, L.P (“PVPFF V”), Polaris Venture Partners Special Founders’ Fund, L.P. (“PVPSFF V”), Polaris Venture Management Co. V, L.L.C. (“PVM V), Jonathan A. Flint (“Flint”), Terrance G. McGuire (“McGuire”) and Amir Nashat (“Nashat”). The Reporting Persons are making this single, joint filing because they may be deemed to constitute a “group” within the meaning of Section 13(d)(3) of the Securities Exchange Act of 1934, as amended. The agreement between the Reporting Persons to file as a group (the “Joint Filing Agreement”) is attached hereto as Exhibit A.</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Amendment No. 4 is being filed to report that the Reporting Persons have ceased to be the beneficial owners of more than 5% of the class of securities as of December 23, 2019. Only those items that are hereby reported are amended; all other items reported in the Schedule 13D remain unchanged. Information given in response to each item below shall be deemed incorporated by reference in all other items, as applicable. Capitalized terms used herein but not defined shall have the meanings ascribed thereto in the Schedule 13D.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5(a) of the Schedule 13D is hereby amended and restated in its entirety as follows: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cover page of each Reporting Person, except Nashat is based on a total of 86,325,547 shares of the Issuer’s Common Stock outstanding as of December 23, 2019 as reported on the Issuer’s Registration Statement on Form S-3 and filed with the United States Securities and Exchange Commission on January 29, 2020.</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the cover page of Nashat is based on a total of 86,341,957 shares, comprised of (i) 86,325,547 shares of the Issuer’s Common Stock outstanding as of December 23, 2019 as reported on the Issuer’s Registration Statement on Form S-3 and filed with the United States Securities and Exchange Commission on January 29, 2020, plus (ii) 16,410 shares of the Issuer’s Common Stock underlying fully vested stock options issued to Nashat for service as a member of the Issuer’s Board of Directors.</w:t>
      </w:r>
    </w:p>
    <w:p>
      <w:pPr>
        <w:spacing w:after="0" w:line="92" w:lineRule="exact"/>
        <w:rPr>
          <w:sz w:val="20"/>
          <w:szCs w:val="20"/>
          <w:color w:val="auto"/>
        </w:rPr>
      </w:pPr>
    </w:p>
    <w:p>
      <w:pPr>
        <w:ind w:left="1020" w:right="20" w:hanging="566"/>
        <w:spacing w:after="0" w:line="25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Regarding aggregate beneficial ownership, see Row 11 of the cover page of each Reporting Person. Regarding percentage of class of beneficial ownership, see Row 13 of the cover page of each Reporting Person. 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w:t>
      </w:r>
    </w:p>
    <w:p>
      <w:pPr>
        <w:spacing w:after="0" w:line="94" w:lineRule="exact"/>
        <w:rPr>
          <w:sz w:val="20"/>
          <w:szCs w:val="20"/>
          <w:color w:val="auto"/>
        </w:rPr>
      </w:pPr>
    </w:p>
    <w:p>
      <w:pPr>
        <w:ind w:left="1020" w:right="280" w:hanging="566"/>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described in this statement and below, none of the Reporting Persons has effected any transactions in the Common Stock in the 60 days prior to December 23,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Each of the Reporting Persons ceased to be that beneficial owner of more than five percent of the Issuer’s Common Stock on December 23, 2019.</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Material to be Filed as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E - Power of Attorney (Amir Nashat)</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V,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POLARIS VENTURE PARTNERS ENTREPRENEURS’</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FUND V, 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SPECIAL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ectPr>
          <w:pgSz w:w="11900" w:h="16838" w:orient="portrait"/>
          <w:cols w:equalWidth="0" w:num="1">
            <w:col w:w="11060"/>
          </w:cols>
          <w:pgMar w:left="240" w:top="270" w:right="599" w:bottom="1440" w:gutter="0" w:footer="0" w:header="0"/>
        </w:sectPr>
      </w:pPr>
    </w:p>
    <w:bookmarkStart w:id="11" w:name="page12"/>
    <w:bookmarkEnd w:id="1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JONATHAN A. FLINT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Jonathan A. Flint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AMIR NASHAT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Amir Nashat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 Crockett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Schedule 13D Amendment No. 4 was executed pursuant to Powers of Attorney. Note that copies of the applicable Powers of Attorney for the Reporting Persons other than Nashat are already on file with the appropriate agencies. The Power of Attorney of Amir Nashat is attached hereto as Exhibit E.]</w:t>
      </w:r>
    </w:p>
    <w:p>
      <w:pPr>
        <w:sectPr>
          <w:pgSz w:w="11900" w:h="16838" w:orient="portrait"/>
          <w:cols w:equalWidth="0" w:num="1">
            <w:col w:w="11380"/>
          </w:cols>
          <w:pgMar w:left="240" w:top="274" w:right="2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REGARDING THE JOINT FILING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undersigned, being duly authorized thereunto, hereby execute this agreement as an exhibit to this Schedule 13D Amendment No. 4 to evidence the agreement of the below-named parties, in accordance with the rules promulgated pursuant to the Securities Exchange Act of 1934, to file this Amendment No. 4 jointly on behalf of each such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February 12, 2020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V,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ENTREPRENEURS’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FUND V, 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SPECIAL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A. FLINT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A. Flint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AMIR NASHAT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Amir Nashat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 Crockett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Exhibit A to Schedule 13D Amendment No. 4 was executed pursuant to Powers of Attorney. Note that copies of the applicable Powers of Attorney for the Reporting Persons other than Nashat are already on file with the appropriate agencies. The Power of Attorney of Amir Nashat is attached hereto as Exhibit E.]</w:t>
      </w:r>
    </w:p>
    <w:p>
      <w:pPr>
        <w:sectPr>
          <w:pgSz w:w="11900" w:h="16838" w:orient="portrait"/>
          <w:cols w:equalWidth="0" w:num="1">
            <w:col w:w="11420"/>
          </w:cols>
          <w:pgMar w:left="240" w:top="125" w:right="239" w:bottom="663"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(the “Reporting Person”) hereby constitutes and appoints Lauren Crockett, signing singly, with full power of substitution, as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Reporting Person’s true and lawful attorney in fact to:</w:t>
      </w:r>
    </w:p>
    <w:p>
      <w:pPr>
        <w:spacing w:after="0" w:line="103" w:lineRule="exact"/>
        <w:rPr>
          <w:sz w:val="20"/>
          <w:szCs w:val="20"/>
          <w:color w:val="auto"/>
        </w:rPr>
      </w:pPr>
    </w:p>
    <w:p>
      <w:pPr>
        <w:ind w:right="40" w:firstLine="464"/>
        <w:spacing w:after="0" w:line="259" w:lineRule="auto"/>
        <w:tabs>
          <w:tab w:leader="none" w:pos="711"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prepare, execute in the Reporting Person’s name and on the Reporting Person’s behalf, and submit to the U.S. Securities and Exchange Commission (the “SEC”) a Form ID, including amendments thereto, and any other documents necessary or appropriate to obtain codes and passwords enabling the Reporting Person to make electronic filings with the SEC of Reports required by Section 16(a) of the Securities Exchange Act of 1934 or any rule or regulation of the SEC;</w:t>
      </w:r>
    </w:p>
    <w:p>
      <w:pPr>
        <w:spacing w:after="0" w:line="78" w:lineRule="exact"/>
        <w:rPr>
          <w:rFonts w:ascii="Arial" w:cs="Arial" w:eastAsia="Arial" w:hAnsi="Arial"/>
          <w:sz w:val="18"/>
          <w:szCs w:val="18"/>
          <w:color w:val="auto"/>
        </w:rPr>
      </w:pPr>
    </w:p>
    <w:p>
      <w:pPr>
        <w:ind w:right="20" w:firstLine="464"/>
        <w:spacing w:after="0" w:line="286" w:lineRule="auto"/>
        <w:tabs>
          <w:tab w:leader="none" w:pos="711" w:val="left"/>
        </w:tabs>
        <w:numPr>
          <w:ilvl w:val="1"/>
          <w:numId w:val="37"/>
        </w:numPr>
        <w:rPr>
          <w:rFonts w:ascii="Arial" w:cs="Arial" w:eastAsia="Arial" w:hAnsi="Arial"/>
          <w:sz w:val="16"/>
          <w:szCs w:val="16"/>
          <w:color w:val="auto"/>
        </w:rPr>
      </w:pPr>
      <w:r>
        <w:rPr>
          <w:rFonts w:ascii="Arial" w:cs="Arial" w:eastAsia="Arial" w:hAnsi="Arial"/>
          <w:sz w:val="16"/>
          <w:szCs w:val="16"/>
          <w:color w:val="auto"/>
        </w:rPr>
        <w:t>prepare and file on behalf of such Reporting Person any and all reports, notices, communications and other documents (including, but not limited to, reports on Schedule 13D, Schedule 13G, Form 13-F, Form 3, Form 4 and Form 5) that such Reporting Person may be required to file with the SEC pursuant to the Securities Act of 1933, as amended (together with the implementing regulations thereto, the “Act”) and the Securities Exchange Act of 1934, as amended (together with the implementing regulations thereto, the “Exchange Act”) (collectively, the “Reports”) with respect to the Reporting Person’s</w:t>
      </w:r>
    </w:p>
    <w:p>
      <w:pPr>
        <w:spacing w:after="0" w:line="1" w:lineRule="exact"/>
        <w:rPr>
          <w:rFonts w:ascii="Arial" w:cs="Arial" w:eastAsia="Arial" w:hAnsi="Arial"/>
          <w:sz w:val="16"/>
          <w:szCs w:val="16"/>
          <w:color w:val="auto"/>
        </w:rPr>
      </w:pPr>
    </w:p>
    <w:p>
      <w:pPr>
        <w:ind w:right="220" w:firstLine="8"/>
        <w:spacing w:after="0" w:line="261"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status as an officer or director of, or (b) ownership of, or transactions in, the securities of, any entity whose securities are beneficially owned (directly or indirectly) by the Reporting Person (“Portfolio Companies”);</w:t>
      </w:r>
    </w:p>
    <w:p>
      <w:pPr>
        <w:spacing w:after="0" w:line="75" w:lineRule="exact"/>
        <w:rPr>
          <w:rFonts w:ascii="Arial" w:cs="Arial" w:eastAsia="Arial" w:hAnsi="Arial"/>
          <w:sz w:val="18"/>
          <w:szCs w:val="18"/>
          <w:color w:val="auto"/>
        </w:rPr>
      </w:pPr>
    </w:p>
    <w:p>
      <w:pPr>
        <w:ind w:right="160" w:firstLine="464"/>
        <w:spacing w:after="0" w:line="264" w:lineRule="auto"/>
        <w:tabs>
          <w:tab w:leader="none" w:pos="71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Reporting Person which may be necessary or desirable to complete and execute any such Reports, complete and execute any amendment or amendments thereto, and timely file such form with the SEC and any stock exchange or similar authority; and</w:t>
      </w:r>
    </w:p>
    <w:p>
      <w:pPr>
        <w:spacing w:after="0" w:line="73" w:lineRule="exact"/>
        <w:rPr>
          <w:rFonts w:ascii="Arial" w:cs="Arial" w:eastAsia="Arial" w:hAnsi="Arial"/>
          <w:sz w:val="18"/>
          <w:szCs w:val="18"/>
          <w:color w:val="auto"/>
        </w:rPr>
      </w:pPr>
    </w:p>
    <w:p>
      <w:pPr>
        <w:ind w:firstLine="464"/>
        <w:spacing w:after="0" w:line="259" w:lineRule="auto"/>
        <w:tabs>
          <w:tab w:leader="none" w:pos="711" w:val="left"/>
        </w:tabs>
        <w:numPr>
          <w:ilvl w:val="1"/>
          <w:numId w:val="38"/>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 in fact, may be of benefit to, in the best interest of, or legally required by, the Reporting Person, it being understood that the documents executed by such attorney in fact on behalf of the Reporting Person pursuant to this Power of Attorney shall be in such form and shall contain such terms and conditions as such attorney in fact may approve in such attorney in fact’s discretion.</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Reporting Person hereby grants to such attorney in fact full power and authority to do and perform any and every act and thing whatsoever requisite, necessary, or proper to be done in the exercise of any of the rights and powers herein granted, as fully to all intents and purposes as the Reporting Person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Reporting Person acknowledges that the foregoing attorney in fact, in serving in such capacity at the request of the Reporting Person, is not assuming any of the Reporting Person’s responsibilities to comply with Section 16 of the Securities Exchange Act of 1934.</w:t>
      </w:r>
    </w:p>
    <w:p>
      <w:pPr>
        <w:spacing w:after="0" w:line="16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This Power of Attorney with respect to the Reporting Person shall remain in full force and effect until such Reporting Person is no longer required to file any Reports with respect to the Reporting Person’s ownership of, or transactions in, the securities of Portfolio Companies, unless earlier revoked in a signed writing delivered to the foregoing attorney in fact.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caused this Power of Attorney to be executed as of this 10</w:t>
      </w:r>
      <w:r>
        <w:rPr>
          <w:rFonts w:ascii="Arial" w:cs="Arial" w:eastAsia="Arial" w:hAnsi="Arial"/>
          <w:sz w:val="15"/>
          <w:szCs w:val="15"/>
          <w:color w:val="auto"/>
        </w:rPr>
        <w:t>th</w:t>
      </w:r>
      <w:r>
        <w:rPr>
          <w:rFonts w:ascii="Arial" w:cs="Arial" w:eastAsia="Arial" w:hAnsi="Arial"/>
          <w:sz w:val="18"/>
          <w:szCs w:val="18"/>
          <w:color w:val="auto"/>
        </w:rPr>
        <w:t xml:space="preserve"> day of June 2019.</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Amir Nashat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Amir Nashat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3"/>
    </w:lvl>
    <w:lvl w:ilvl="1">
      <w:lvlJc w:val="left"/>
      <w:lvlText w:val="%2."/>
      <w:numFmt w:val="decimal"/>
      <w:start w:val="7"/>
    </w:lvl>
  </w:abstractNum>
  <w:abstractNum w:abstractNumId="3">
    <w:nsid w:val="628C895D"/>
    <w:multiLevelType w:val="hybridMultilevel"/>
    <w:lvl w:ilvl="0">
      <w:lvlJc w:val="left"/>
      <w:lvlText w:val="%1"/>
      <w:numFmt w:val="decimal"/>
      <w:start w:val="1"/>
    </w:lvl>
    <w:lvl w:ilvl="1">
      <w:lvlJc w:val="left"/>
      <w:lvlText w:val="%2."/>
      <w:numFmt w:val="decimal"/>
      <w:start w:val="10"/>
    </w:lvl>
  </w:abstractNum>
  <w:abstractNum w:abstractNumId="4">
    <w:nsid w:val="333AB105"/>
    <w:multiLevelType w:val="hybridMultilevel"/>
    <w:lvl w:ilvl="0">
      <w:lvlJc w:val="left"/>
      <w:lvlText w:val="%1."/>
      <w:numFmt w:val="decimal"/>
      <w:start w:val="11"/>
    </w:lvl>
    <w:lvl w:ilvl="1">
      <w:lvlJc w:val="left"/>
      <w:lvlText w:val="%2"/>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3"/>
    </w:lvl>
    <w:lvl w:ilvl="1">
      <w:lvlJc w:val="left"/>
      <w:lvlText w:val="%2."/>
      <w:numFmt w:val="decimal"/>
      <w:start w:val="7"/>
    </w:lvl>
  </w:abstractNum>
  <w:abstractNum w:abstractNumId="7">
    <w:nsid w:val="2D1D5AE9"/>
    <w:multiLevelType w:val="hybridMultilevel"/>
    <w:lvl w:ilvl="0">
      <w:lvlJc w:val="left"/>
      <w:lvlText w:val="(%1)"/>
      <w:numFmt w:val="lowerRoman"/>
      <w:start w:val="2"/>
    </w:lvl>
  </w:abstractNum>
  <w:abstractNum w:abstractNumId="8">
    <w:nsid w:val="6763845E"/>
    <w:multiLevelType w:val="hybridMultilevel"/>
    <w:lvl w:ilvl="0">
      <w:lvlJc w:val="left"/>
      <w:lvlText w:val="%1"/>
      <w:numFmt w:val="decimal"/>
      <w:start w:val="1"/>
    </w:lvl>
    <w:lvl w:ilvl="1">
      <w:lvlJc w:val="left"/>
      <w:lvlText w:val="%2."/>
      <w:numFmt w:val="decimal"/>
      <w:start w:val="10"/>
    </w:lvl>
  </w:abstractNum>
  <w:abstractNum w:abstractNumId="9">
    <w:nsid w:val="75A2A8D4"/>
    <w:multiLevelType w:val="hybridMultilevel"/>
    <w:lvl w:ilvl="0">
      <w:lvlJc w:val="left"/>
      <w:lvlText w:val="%1."/>
      <w:numFmt w:val="decimal"/>
      <w:start w:val="11"/>
    </w:lvl>
    <w:lvl w:ilvl="1">
      <w:lvlJc w:val="left"/>
      <w:lvlText w:val="%2"/>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3"/>
    </w:lvl>
    <w:lvl w:ilvl="1">
      <w:lvlJc w:val="left"/>
      <w:lvlText w:val="%2."/>
      <w:numFmt w:val="decimal"/>
      <w:start w:val="7"/>
    </w:lvl>
  </w:abstractNum>
  <w:abstractNum w:abstractNumId="12">
    <w:nsid w:val="4353D0CD"/>
    <w:multiLevelType w:val="hybridMultilevel"/>
    <w:lvl w:ilvl="0">
      <w:lvlJc w:val="left"/>
      <w:lvlText w:val="%1"/>
      <w:numFmt w:val="decimal"/>
      <w:start w:val="1"/>
    </w:lvl>
    <w:lvl w:ilvl="1">
      <w:lvlJc w:val="left"/>
      <w:lvlText w:val="%2."/>
      <w:numFmt w:val="decimal"/>
      <w:start w:val="10"/>
    </w:lvl>
  </w:abstractNum>
  <w:abstractNum w:abstractNumId="13">
    <w:nsid w:val="B03E0C6"/>
    <w:multiLevelType w:val="hybridMultilevel"/>
    <w:lvl w:ilvl="0">
      <w:lvlJc w:val="left"/>
      <w:lvlText w:val="%1."/>
      <w:numFmt w:val="decimal"/>
      <w:start w:val="11"/>
    </w:lvl>
    <w:lvl w:ilvl="1">
      <w:lvlJc w:val="left"/>
      <w:lvlText w:val="%2"/>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3"/>
    </w:lvl>
    <w:lvl w:ilvl="1">
      <w:lvlJc w:val="left"/>
      <w:lvlText w:val="%2."/>
      <w:numFmt w:val="decimal"/>
      <w:start w:val="7"/>
    </w:lvl>
  </w:abstractNum>
  <w:abstractNum w:abstractNumId="16">
    <w:nsid w:val="71F32454"/>
    <w:multiLevelType w:val="hybridMultilevel"/>
    <w:lvl w:ilvl="0">
      <w:lvlJc w:val="left"/>
      <w:lvlText w:val="%1"/>
      <w:numFmt w:val="decimal"/>
      <w:start w:val="1"/>
    </w:lvl>
    <w:lvl w:ilvl="1">
      <w:lvlJc w:val="left"/>
      <w:lvlText w:val="%2."/>
      <w:numFmt w:val="decimal"/>
      <w:start w:val="10"/>
    </w:lvl>
  </w:abstractNum>
  <w:abstractNum w:abstractNumId="17">
    <w:nsid w:val="2CA88611"/>
    <w:multiLevelType w:val="hybridMultilevel"/>
    <w:lvl w:ilvl="0">
      <w:lvlJc w:val="left"/>
      <w:lvlText w:val="%1."/>
      <w:numFmt w:val="decimal"/>
      <w:start w:val="11"/>
    </w:lvl>
    <w:lvl w:ilvl="1">
      <w:lvlJc w:val="left"/>
      <w:lvlText w:val="%2"/>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3"/>
    </w:lvl>
    <w:lvl w:ilvl="1">
      <w:lvlJc w:val="left"/>
      <w:lvlText w:val="%2."/>
      <w:numFmt w:val="decimal"/>
      <w:start w:val="7"/>
    </w:lvl>
  </w:abstractNum>
  <w:abstractNum w:abstractNumId="20">
    <w:nsid w:val="3A95F874"/>
    <w:multiLevelType w:val="hybridMultilevel"/>
    <w:lvl w:ilvl="0">
      <w:lvlJc w:val="left"/>
      <w:lvlText w:val="%1"/>
      <w:numFmt w:val="decimal"/>
      <w:start w:val="1"/>
    </w:lvl>
    <w:lvl w:ilvl="1">
      <w:lvlJc w:val="left"/>
      <w:lvlText w:val="%2."/>
      <w:numFmt w:val="decimal"/>
      <w:start w:val="10"/>
    </w:lvl>
  </w:abstractNum>
  <w:abstractNum w:abstractNumId="21">
    <w:nsid w:val="8138641"/>
    <w:multiLevelType w:val="hybridMultilevel"/>
    <w:lvl w:ilvl="0">
      <w:lvlJc w:val="left"/>
      <w:lvlText w:val="%1."/>
      <w:numFmt w:val="decimal"/>
      <w:start w:val="11"/>
    </w:lvl>
    <w:lvl w:ilvl="1">
      <w:lvlJc w:val="left"/>
      <w:lvlText w:val="%2"/>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3"/>
    </w:lvl>
    <w:lvl w:ilvl="1">
      <w:lvlJc w:val="left"/>
      <w:lvlText w:val="%2."/>
      <w:numFmt w:val="decimal"/>
      <w:start w:val="7"/>
    </w:lvl>
  </w:abstractNum>
  <w:abstractNum w:abstractNumId="24">
    <w:nsid w:val="737B8DDC"/>
    <w:multiLevelType w:val="hybridMultilevel"/>
    <w:lvl w:ilvl="0">
      <w:lvlJc w:val="left"/>
      <w:lvlText w:val="%1"/>
      <w:numFmt w:val="decimal"/>
      <w:start w:val="1"/>
    </w:lvl>
    <w:lvl w:ilvl="1">
      <w:lvlJc w:val="left"/>
      <w:lvlText w:val="%2."/>
      <w:numFmt w:val="decimal"/>
      <w:start w:val="10"/>
    </w:lvl>
  </w:abstractNum>
  <w:abstractNum w:abstractNumId="25">
    <w:nsid w:val="6CEAF087"/>
    <w:multiLevelType w:val="hybridMultilevel"/>
    <w:lvl w:ilvl="0">
      <w:lvlJc w:val="left"/>
      <w:lvlText w:val="%1."/>
      <w:numFmt w:val="decimal"/>
      <w:start w:val="11"/>
    </w:lvl>
    <w:lvl w:ilvl="1">
      <w:lvlJc w:val="left"/>
      <w:lvlText w:val="%2"/>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3"/>
    </w:lvl>
    <w:lvl w:ilvl="1">
      <w:lvlJc w:val="left"/>
      <w:lvlText w:val="%2."/>
      <w:numFmt w:val="decimal"/>
      <w:start w:val="7"/>
    </w:lvl>
  </w:abstractNum>
  <w:abstractNum w:abstractNumId="28">
    <w:nsid w:val="3006C83E"/>
    <w:multiLevelType w:val="hybridMultilevel"/>
    <w:lvl w:ilvl="0">
      <w:lvlJc w:val="left"/>
      <w:lvlText w:val="%1"/>
      <w:numFmt w:val="decimal"/>
      <w:start w:val="1"/>
    </w:lvl>
    <w:lvl w:ilvl="1">
      <w:lvlJc w:val="left"/>
      <w:lvlText w:val="%2."/>
      <w:numFmt w:val="decimal"/>
      <w:start w:val="10"/>
    </w:lvl>
  </w:abstractNum>
  <w:abstractNum w:abstractNumId="29">
    <w:nsid w:val="614FD4A1"/>
    <w:multiLevelType w:val="hybridMultilevel"/>
    <w:lvl w:ilvl="0">
      <w:lvlJc w:val="left"/>
      <w:lvlText w:val="%1."/>
      <w:numFmt w:val="decimal"/>
      <w:start w:val="11"/>
    </w:lvl>
    <w:lvl w:ilvl="1">
      <w:lvlJc w:val="left"/>
      <w:lvlText w:val="%2"/>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3"/>
    </w:lvl>
    <w:lvl w:ilvl="1">
      <w:lvlJc w:val="left"/>
      <w:lvlText w:val="%2."/>
      <w:numFmt w:val="decimal"/>
      <w:start w:val="7"/>
    </w:lvl>
  </w:abstractNum>
  <w:abstractNum w:abstractNumId="32">
    <w:nsid w:val="440BADFC"/>
    <w:multiLevelType w:val="hybridMultilevel"/>
    <w:lvl w:ilvl="0">
      <w:lvlJc w:val="left"/>
      <w:lvlText w:val="%1"/>
      <w:numFmt w:val="decimal"/>
      <w:start w:val="1"/>
    </w:lvl>
    <w:lvl w:ilvl="1">
      <w:lvlJc w:val="left"/>
      <w:lvlText w:val="%2."/>
      <w:numFmt w:val="decimal"/>
      <w:start w:val="10"/>
    </w:lvl>
  </w:abstractNum>
  <w:abstractNum w:abstractNumId="33">
    <w:nsid w:val="5072367"/>
    <w:multiLevelType w:val="hybridMultilevel"/>
    <w:lvl w:ilvl="0">
      <w:lvlJc w:val="left"/>
      <w:lvlText w:val="%1."/>
      <w:numFmt w:val="decimal"/>
      <w:start w:val="11"/>
    </w:lvl>
    <w:lvl w:ilvl="1">
      <w:lvlJc w:val="left"/>
      <w:lvlText w:val="%2"/>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3"/>
    </w:lvl>
  </w:abstractNum>
  <w:abstractNum w:abstractNumId="36">
    <w:nsid w:val="7724C67E"/>
    <w:multiLevelType w:val="hybridMultilevel"/>
    <w:lvl w:ilvl="0">
      <w:lvlJc w:val="left"/>
      <w:lvlText w:val="%1"/>
      <w:numFmt w:val="lowerLetter"/>
      <w:start w:val="1"/>
    </w:lvl>
    <w:lvl w:ilvl="1">
      <w:lvlJc w:val="left"/>
      <w:lvlText w:val="(%2)"/>
      <w:numFmt w:val="decimal"/>
      <w:start w:val="1"/>
    </w:lvl>
  </w:abstractNum>
  <w:abstractNum w:abstractNumId="37">
    <w:nsid w:val="5C482A97"/>
    <w:multiLevelType w:val="hybridMultilevel"/>
    <w:lvl w:ilvl="0">
      <w:lvlJc w:val="left"/>
      <w:lvlText w:val="(%1)"/>
      <w:numFmt w:val="lowerLetter"/>
      <w:start w:val="1"/>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2020-02-12T15:53:41Z</dcterms:created>
  <dcterms:modified xsi:type="dcterms:W3CDTF">2020-02-12T15:53:41Z</dcterms:modified>
</cp:coreProperties>
</file>