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16, 2017</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151"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80"/>
          </w:cols>
          <w:pgMar w:left="240" w:top="679"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3080" w:space="720"/>
            <w:col w:w="2320"/>
          </w:cols>
          <w:pgMar w:left="240" w:top="679"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679"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June 16, 2017, Selecta Biosciences, Inc. (the “Company”) held its Annual Meeting of Stockholders. A total of 13,548,626 shares of common stock were present in person or represented by proxy at the meeting, representing approximately 72.9 percent of the Company’s outstanding common stock as of the April 21, 2017 record date. The following are the voting results for the proposals considered and voted upon at the meeting, all of which were described in the Company’s Definitive Proxy Statement filed with the Securities and Exchange Commission on April 25, 2017.</w:t>
      </w:r>
    </w:p>
    <w:p>
      <w:pPr>
        <w:spacing w:after="0" w:line="3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Item 1 - Election of two Class I directors to serve until the 2020 Annual Meeting of Stockholders, and until their respective successors have been duly elected and qualified.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40" w:type="dxa"/>
            <w:vAlign w:val="bottom"/>
          </w:tcPr>
          <w:p>
            <w:pPr>
              <w:ind w:left="980"/>
              <w:spacing w:after="0"/>
              <w:rPr>
                <w:sz w:val="20"/>
                <w:szCs w:val="20"/>
                <w:color w:val="auto"/>
              </w:rPr>
            </w:pPr>
            <w:r>
              <w:rPr>
                <w:rFonts w:ascii="Arial" w:cs="Arial" w:eastAsia="Arial" w:hAnsi="Arial"/>
                <w:sz w:val="18"/>
                <w:szCs w:val="18"/>
                <w:color w:val="auto"/>
              </w:rPr>
              <w:t>NOMINEE</w:t>
            </w:r>
          </w:p>
        </w:tc>
        <w:tc>
          <w:tcPr>
            <w:tcW w:w="2700" w:type="dxa"/>
            <w:vAlign w:val="bottom"/>
          </w:tcPr>
          <w:p>
            <w:pPr>
              <w:ind w:left="1020"/>
              <w:spacing w:after="0"/>
              <w:rPr>
                <w:sz w:val="20"/>
                <w:szCs w:val="20"/>
                <w:color w:val="auto"/>
              </w:rPr>
            </w:pPr>
            <w:r>
              <w:rPr>
                <w:rFonts w:ascii="Arial" w:cs="Arial" w:eastAsia="Arial" w:hAnsi="Arial"/>
                <w:sz w:val="18"/>
                <w:szCs w:val="18"/>
                <w:color w:val="auto"/>
              </w:rPr>
              <w:t>Votes FOR</w:t>
            </w:r>
          </w:p>
        </w:tc>
        <w:tc>
          <w:tcPr>
            <w:tcW w:w="3020" w:type="dxa"/>
            <w:vAlign w:val="bottom"/>
          </w:tcPr>
          <w:p>
            <w:pPr>
              <w:ind w:left="860"/>
              <w:spacing w:after="0"/>
              <w:rPr>
                <w:sz w:val="20"/>
                <w:szCs w:val="20"/>
                <w:color w:val="auto"/>
              </w:rPr>
            </w:pPr>
            <w:r>
              <w:rPr>
                <w:rFonts w:ascii="Arial" w:cs="Arial" w:eastAsia="Arial" w:hAnsi="Arial"/>
                <w:sz w:val="18"/>
                <w:szCs w:val="18"/>
                <w:color w:val="auto"/>
              </w:rPr>
              <w:t>Votes WITHHELD</w:t>
            </w:r>
          </w:p>
        </w:tc>
        <w:tc>
          <w:tcPr>
            <w:tcW w:w="2060" w:type="dxa"/>
            <w:vAlign w:val="bottom"/>
          </w:tcPr>
          <w:p>
            <w:pPr>
              <w:jc w:val="center"/>
              <w:ind w:left="650"/>
              <w:spacing w:after="0"/>
              <w:rPr>
                <w:sz w:val="20"/>
                <w:szCs w:val="20"/>
                <w:color w:val="auto"/>
              </w:rPr>
            </w:pPr>
            <w:r>
              <w:rPr>
                <w:rFonts w:ascii="Arial" w:cs="Arial" w:eastAsia="Arial" w:hAnsi="Arial"/>
                <w:sz w:val="18"/>
                <w:szCs w:val="18"/>
                <w:color w:val="auto"/>
                <w:w w:val="92"/>
              </w:rPr>
              <w:t>Broker Non-Votes</w:t>
            </w:r>
          </w:p>
        </w:tc>
      </w:tr>
      <w:tr>
        <w:trPr>
          <w:trHeight w:val="270"/>
        </w:trPr>
        <w:tc>
          <w:tcPr>
            <w:tcW w:w="2840" w:type="dxa"/>
            <w:vAlign w:val="bottom"/>
          </w:tcPr>
          <w:p>
            <w:pPr>
              <w:spacing w:after="0"/>
              <w:rPr>
                <w:sz w:val="20"/>
                <w:szCs w:val="20"/>
                <w:color w:val="auto"/>
              </w:rPr>
            </w:pPr>
            <w:r>
              <w:rPr>
                <w:rFonts w:ascii="Arial" w:cs="Arial" w:eastAsia="Arial" w:hAnsi="Arial"/>
                <w:sz w:val="18"/>
                <w:szCs w:val="18"/>
                <w:color w:val="auto"/>
              </w:rPr>
              <w:t>Timothy Springer, Ph.D.</w:t>
            </w:r>
          </w:p>
        </w:tc>
        <w:tc>
          <w:tcPr>
            <w:tcW w:w="2700" w:type="dxa"/>
            <w:vAlign w:val="bottom"/>
          </w:tcPr>
          <w:p>
            <w:pPr>
              <w:ind w:left="1020"/>
              <w:spacing w:after="0"/>
              <w:rPr>
                <w:sz w:val="20"/>
                <w:szCs w:val="20"/>
                <w:color w:val="auto"/>
              </w:rPr>
            </w:pPr>
            <w:r>
              <w:rPr>
                <w:rFonts w:ascii="Arial" w:cs="Arial" w:eastAsia="Arial" w:hAnsi="Arial"/>
                <w:sz w:val="18"/>
                <w:szCs w:val="18"/>
                <w:color w:val="auto"/>
              </w:rPr>
              <w:t>10,776,666</w:t>
            </w:r>
          </w:p>
        </w:tc>
        <w:tc>
          <w:tcPr>
            <w:tcW w:w="3020" w:type="dxa"/>
            <w:vAlign w:val="bottom"/>
          </w:tcPr>
          <w:p>
            <w:pPr>
              <w:jc w:val="right"/>
              <w:ind w:right="1010"/>
              <w:spacing w:after="0"/>
              <w:rPr>
                <w:sz w:val="20"/>
                <w:szCs w:val="20"/>
                <w:color w:val="auto"/>
              </w:rPr>
            </w:pPr>
            <w:r>
              <w:rPr>
                <w:rFonts w:ascii="Arial" w:cs="Arial" w:eastAsia="Arial" w:hAnsi="Arial"/>
                <w:sz w:val="18"/>
                <w:szCs w:val="18"/>
                <w:color w:val="auto"/>
              </w:rPr>
              <w:t>1,115,857</w:t>
            </w:r>
          </w:p>
        </w:tc>
        <w:tc>
          <w:tcPr>
            <w:tcW w:w="2060" w:type="dxa"/>
            <w:vAlign w:val="bottom"/>
          </w:tcPr>
          <w:p>
            <w:pPr>
              <w:jc w:val="center"/>
              <w:ind w:left="650"/>
              <w:spacing w:after="0"/>
              <w:rPr>
                <w:sz w:val="20"/>
                <w:szCs w:val="20"/>
                <w:color w:val="auto"/>
              </w:rPr>
            </w:pPr>
            <w:r>
              <w:rPr>
                <w:rFonts w:ascii="Arial" w:cs="Arial" w:eastAsia="Arial" w:hAnsi="Arial"/>
                <w:sz w:val="18"/>
                <w:szCs w:val="18"/>
                <w:color w:val="auto"/>
                <w:w w:val="89"/>
              </w:rPr>
              <w:t>1,656,103</w:t>
            </w:r>
          </w:p>
        </w:tc>
      </w:tr>
      <w:tr>
        <w:trPr>
          <w:trHeight w:val="270"/>
        </w:trPr>
        <w:tc>
          <w:tcPr>
            <w:tcW w:w="2840" w:type="dxa"/>
            <w:vAlign w:val="bottom"/>
          </w:tcPr>
          <w:p>
            <w:pPr>
              <w:spacing w:after="0"/>
              <w:rPr>
                <w:sz w:val="20"/>
                <w:szCs w:val="20"/>
                <w:color w:val="auto"/>
              </w:rPr>
            </w:pPr>
            <w:r>
              <w:rPr>
                <w:rFonts w:ascii="Arial" w:cs="Arial" w:eastAsia="Arial" w:hAnsi="Arial"/>
                <w:sz w:val="18"/>
                <w:szCs w:val="18"/>
                <w:color w:val="auto"/>
              </w:rPr>
              <w:t>Patrick Zenner</w:t>
            </w:r>
          </w:p>
        </w:tc>
        <w:tc>
          <w:tcPr>
            <w:tcW w:w="2700" w:type="dxa"/>
            <w:vAlign w:val="bottom"/>
          </w:tcPr>
          <w:p>
            <w:pPr>
              <w:ind w:left="1020"/>
              <w:spacing w:after="0"/>
              <w:rPr>
                <w:sz w:val="20"/>
                <w:szCs w:val="20"/>
                <w:color w:val="auto"/>
              </w:rPr>
            </w:pPr>
            <w:r>
              <w:rPr>
                <w:rFonts w:ascii="Arial" w:cs="Arial" w:eastAsia="Arial" w:hAnsi="Arial"/>
                <w:sz w:val="18"/>
                <w:szCs w:val="18"/>
                <w:color w:val="auto"/>
              </w:rPr>
              <w:t>11,885,243</w:t>
            </w:r>
          </w:p>
        </w:tc>
        <w:tc>
          <w:tcPr>
            <w:tcW w:w="3020" w:type="dxa"/>
            <w:vAlign w:val="bottom"/>
          </w:tcPr>
          <w:p>
            <w:pPr>
              <w:jc w:val="right"/>
              <w:ind w:right="1170"/>
              <w:spacing w:after="0"/>
              <w:rPr>
                <w:sz w:val="20"/>
                <w:szCs w:val="20"/>
                <w:color w:val="auto"/>
              </w:rPr>
            </w:pPr>
            <w:r>
              <w:rPr>
                <w:rFonts w:ascii="Arial" w:cs="Arial" w:eastAsia="Arial" w:hAnsi="Arial"/>
                <w:sz w:val="18"/>
                <w:szCs w:val="18"/>
                <w:color w:val="auto"/>
              </w:rPr>
              <w:t>7,280</w:t>
            </w:r>
          </w:p>
        </w:tc>
        <w:tc>
          <w:tcPr>
            <w:tcW w:w="2060" w:type="dxa"/>
            <w:vAlign w:val="bottom"/>
          </w:tcPr>
          <w:p>
            <w:pPr>
              <w:jc w:val="center"/>
              <w:ind w:left="650"/>
              <w:spacing w:after="0"/>
              <w:rPr>
                <w:sz w:val="20"/>
                <w:szCs w:val="20"/>
                <w:color w:val="auto"/>
              </w:rPr>
            </w:pPr>
            <w:r>
              <w:rPr>
                <w:rFonts w:ascii="Arial" w:cs="Arial" w:eastAsia="Arial" w:hAnsi="Arial"/>
                <w:sz w:val="18"/>
                <w:szCs w:val="18"/>
                <w:color w:val="auto"/>
                <w:w w:val="89"/>
              </w:rPr>
              <w:t>1,656,103</w:t>
            </w:r>
          </w:p>
        </w:tc>
      </w:tr>
    </w:tbl>
    <w:p>
      <w:pPr>
        <w:spacing w:after="0" w:line="200" w:lineRule="exact"/>
        <w:rPr>
          <w:sz w:val="20"/>
          <w:szCs w:val="20"/>
          <w:color w:val="auto"/>
        </w:rPr>
      </w:pPr>
    </w:p>
    <w:p>
      <w:pPr>
        <w:spacing w:after="0" w:line="245" w:lineRule="exact"/>
        <w:rPr>
          <w:sz w:val="20"/>
          <w:szCs w:val="20"/>
          <w:color w:val="auto"/>
        </w:rPr>
      </w:pPr>
    </w:p>
    <w:p>
      <w:pPr>
        <w:jc w:val="both"/>
        <w:ind w:right="740"/>
        <w:spacing w:after="0" w:line="277" w:lineRule="auto"/>
        <w:rPr>
          <w:sz w:val="20"/>
          <w:szCs w:val="20"/>
          <w:color w:val="auto"/>
        </w:rPr>
      </w:pPr>
      <w:r>
        <w:rPr>
          <w:rFonts w:ascii="Arial" w:cs="Arial" w:eastAsia="Arial" w:hAnsi="Arial"/>
          <w:sz w:val="18"/>
          <w:szCs w:val="18"/>
          <w:color w:val="auto"/>
        </w:rPr>
        <w:t>Item 2 - Ratification of the appointment of Ernst &amp; Young LLP as the Company’s independent registered public accounting firm for the year ending December 31, 2017.</w:t>
      </w:r>
    </w:p>
    <w:p>
      <w:pPr>
        <w:sectPr>
          <w:pgSz w:w="11900" w:h="16838" w:orient="portrait"/>
          <w:cols w:equalWidth="0" w:num="1">
            <w:col w:w="11400"/>
          </w:cols>
          <w:pgMar w:left="240" w:top="1229" w:right="259" w:bottom="1440" w:gutter="0" w:footer="0" w:header="0"/>
        </w:sectPr>
      </w:pPr>
    </w:p>
    <w:p>
      <w:pPr>
        <w:spacing w:after="0" w:line="33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Votes FOR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Votes AGAINST</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Votes ABSTAINED</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Broker Non-Votes</w:t>
      </w:r>
    </w:p>
    <w:p>
      <w:pPr>
        <w:spacing w:after="0" w:line="86" w:lineRule="exact"/>
        <w:rPr>
          <w:sz w:val="20"/>
          <w:szCs w:val="20"/>
          <w:color w:val="auto"/>
        </w:rPr>
      </w:pPr>
    </w:p>
    <w:p>
      <w:pPr>
        <w:sectPr>
          <w:pgSz w:w="11900" w:h="16838" w:orient="portrait"/>
          <w:cols w:equalWidth="0" w:num="4">
            <w:col w:w="2960" w:space="720"/>
            <w:col w:w="2020" w:space="720"/>
            <w:col w:w="2200" w:space="720"/>
            <w:col w:w="2060"/>
          </w:cols>
          <w:pgMar w:left="240" w:top="1229" w:right="259" w:bottom="1440" w:gutter="0" w:footer="0" w:header="0"/>
          <w:type w:val="continuous"/>
        </w:sectPr>
      </w:pPr>
    </w:p>
    <w:p>
      <w:pPr>
        <w:ind w:left="1040"/>
        <w:spacing w:after="0"/>
        <w:rPr>
          <w:sz w:val="20"/>
          <w:szCs w:val="20"/>
          <w:color w:val="auto"/>
        </w:rPr>
      </w:pPr>
      <w:r>
        <w:rPr>
          <w:rFonts w:ascii="Arial" w:cs="Arial" w:eastAsia="Arial" w:hAnsi="Arial"/>
          <w:sz w:val="15"/>
          <w:szCs w:val="15"/>
          <w:color w:val="auto"/>
        </w:rPr>
        <w:t>13,547,484</w:t>
      </w:r>
    </w:p>
    <w:p>
      <w:pPr>
        <w:spacing w:after="0" w:line="20" w:lineRule="exact"/>
        <w:rPr>
          <w:sz w:val="20"/>
          <w:szCs w:val="20"/>
          <w:color w:val="auto"/>
        </w:rPr>
      </w:pPr>
      <w:r>
        <w:rPr>
          <w:sz w:val="20"/>
          <w:szCs w:val="20"/>
          <w:color w:val="auto"/>
        </w:rPr>
        <w:br w:type="column"/>
      </w:r>
    </w:p>
    <w:p>
      <w:pPr>
        <w:jc w:val="center"/>
        <w:ind w:right="178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br w:type="column"/>
      </w:r>
    </w:p>
    <w:p>
      <w:pPr>
        <w:jc w:val="center"/>
        <w:ind w:right="1900"/>
        <w:spacing w:after="0"/>
        <w:rPr>
          <w:sz w:val="20"/>
          <w:szCs w:val="20"/>
          <w:color w:val="auto"/>
        </w:rPr>
      </w:pPr>
      <w:r>
        <w:rPr>
          <w:rFonts w:ascii="Arial" w:cs="Arial" w:eastAsia="Arial" w:hAnsi="Arial"/>
          <w:sz w:val="15"/>
          <w:szCs w:val="15"/>
          <w:color w:val="auto"/>
        </w:rPr>
        <w:t>1,039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0</w:t>
      </w:r>
    </w:p>
    <w:p>
      <w:pPr>
        <w:spacing w:after="0" w:line="222" w:lineRule="exact"/>
        <w:rPr>
          <w:sz w:val="20"/>
          <w:szCs w:val="20"/>
          <w:color w:val="auto"/>
        </w:rPr>
      </w:pPr>
    </w:p>
    <w:p>
      <w:pPr>
        <w:sectPr>
          <w:pgSz w:w="11900" w:h="16838" w:orient="portrait"/>
          <w:cols w:equalWidth="0" w:num="4">
            <w:col w:w="3440" w:space="720"/>
            <w:col w:w="2060" w:space="720"/>
            <w:col w:w="2300" w:space="720"/>
            <w:col w:w="1440"/>
          </w:cols>
          <w:pgMar w:left="240" w:top="1229" w:right="259" w:bottom="1440" w:gutter="0" w:footer="0" w:header="0"/>
          <w:type w:val="continuous"/>
        </w:sect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Based on the foregoing votes, Timothy Springer, Ph.D. and Patrick Zenner were elected as Class I directors and Item 2 was approved.</w:t>
      </w:r>
    </w:p>
    <w:p>
      <w:pPr>
        <w:sectPr>
          <w:pgSz w:w="11900" w:h="16838" w:orient="portrait"/>
          <w:cols w:equalWidth="0" w:num="1">
            <w:col w:w="11400"/>
          </w:cols>
          <w:pgMar w:left="240" w:top="1229" w:right="259" w:bottom="1440" w:gutter="0" w:footer="0" w:header="0"/>
          <w:type w:val="continuous"/>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June 20,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240" w:top="7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2019-12-07T10:34:49Z</dcterms:created>
  <dcterms:modified xsi:type="dcterms:W3CDTF">2019-12-07T10:34:49Z</dcterms:modified>
</cp:coreProperties>
</file>